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09E7" w14:textId="77777777" w:rsidR="00BD3883" w:rsidRDefault="00BD3883" w:rsidP="00BD3883">
      <w:pPr>
        <w:pStyle w:val="ListParagraph"/>
        <w:numPr>
          <w:ilvl w:val="0"/>
          <w:numId w:val="1"/>
        </w:numPr>
        <w:tabs>
          <w:tab w:val="left" w:pos="1140"/>
        </w:tabs>
        <w:rPr>
          <w:rFonts w:ascii="Segoe UI" w:hAnsi="Segoe UI" w:cs="Segoe UI"/>
          <w:b/>
          <w:bCs/>
          <w:sz w:val="28"/>
          <w:szCs w:val="28"/>
        </w:rPr>
      </w:pPr>
      <w:r>
        <w:rPr>
          <w:rFonts w:ascii="Segoe UI" w:hAnsi="Segoe UI" w:cs="Segoe UI"/>
          <w:b/>
          <w:bCs/>
          <w:sz w:val="28"/>
          <w:szCs w:val="28"/>
        </w:rPr>
        <w:t xml:space="preserve">CQRS (Common and Query Responsibility Segregation) </w:t>
      </w:r>
    </w:p>
    <w:p w14:paraId="1EBBA7DB" w14:textId="77777777" w:rsidR="00BD3883" w:rsidRDefault="00BD3883" w:rsidP="00BD3883">
      <w:pPr>
        <w:tabs>
          <w:tab w:val="left" w:pos="1140"/>
        </w:tabs>
        <w:rPr>
          <w:rFonts w:ascii="Segoe UI" w:hAnsi="Segoe UI" w:cs="Segoe UI"/>
          <w:b/>
          <w:bCs/>
          <w:color w:val="C00000"/>
        </w:rPr>
      </w:pPr>
      <w:r w:rsidRPr="00583453">
        <w:rPr>
          <w:rFonts w:ascii="Segoe UI" w:hAnsi="Segoe UI" w:cs="Segoe UI"/>
        </w:rPr>
        <w:t xml:space="preserve">In CQRS, we split the application into two parts: </w:t>
      </w:r>
      <w:r w:rsidRPr="00583453">
        <w:rPr>
          <w:rFonts w:ascii="Segoe UI" w:hAnsi="Segoe UI" w:cs="Segoe UI"/>
          <w:b/>
          <w:bCs/>
          <w:color w:val="C00000"/>
        </w:rPr>
        <w:t>Command-Side</w:t>
      </w:r>
      <w:r w:rsidRPr="00583453">
        <w:rPr>
          <w:rFonts w:ascii="Segoe UI" w:hAnsi="Segoe UI" w:cs="Segoe UI"/>
        </w:rPr>
        <w:t xml:space="preserve"> and </w:t>
      </w:r>
      <w:r w:rsidRPr="00583453">
        <w:rPr>
          <w:rFonts w:ascii="Segoe UI" w:hAnsi="Segoe UI" w:cs="Segoe UI"/>
          <w:b/>
          <w:bCs/>
          <w:color w:val="C00000"/>
        </w:rPr>
        <w:t xml:space="preserve">Query-Side. </w:t>
      </w:r>
    </w:p>
    <w:p w14:paraId="2023343C" w14:textId="77777777" w:rsidR="00BD3883" w:rsidRPr="00583453" w:rsidRDefault="00BD3883" w:rsidP="00BD3883">
      <w:pPr>
        <w:pStyle w:val="ListParagraph"/>
        <w:numPr>
          <w:ilvl w:val="0"/>
          <w:numId w:val="2"/>
        </w:numPr>
        <w:tabs>
          <w:tab w:val="left" w:pos="1140"/>
        </w:tabs>
        <w:rPr>
          <w:rFonts w:ascii="Segoe UI" w:hAnsi="Segoe UI" w:cs="Segoe UI"/>
        </w:rPr>
      </w:pPr>
      <w:r w:rsidRPr="00583453">
        <w:rPr>
          <w:rFonts w:ascii="Segoe UI" w:hAnsi="Segoe UI" w:cs="Segoe UI"/>
          <w:b/>
          <w:bCs/>
          <w:color w:val="C00000"/>
        </w:rPr>
        <w:t>Commands</w:t>
      </w:r>
      <w:r w:rsidRPr="00583453">
        <w:rPr>
          <w:rFonts w:ascii="Segoe UI" w:hAnsi="Segoe UI" w:cs="Segoe UI"/>
        </w:rPr>
        <w:t xml:space="preserve"> change the state of the object or entity, also called modifiers or mutators.</w:t>
      </w:r>
    </w:p>
    <w:p w14:paraId="019793B4" w14:textId="77777777" w:rsidR="00BD3883" w:rsidRPr="00583453" w:rsidRDefault="00BD3883" w:rsidP="00BD3883">
      <w:pPr>
        <w:pStyle w:val="ListParagraph"/>
        <w:numPr>
          <w:ilvl w:val="0"/>
          <w:numId w:val="2"/>
        </w:numPr>
        <w:tabs>
          <w:tab w:val="left" w:pos="1140"/>
        </w:tabs>
        <w:rPr>
          <w:rFonts w:ascii="Segoe UI" w:hAnsi="Segoe UI" w:cs="Segoe UI"/>
        </w:rPr>
      </w:pPr>
      <w:r w:rsidRPr="00583453">
        <w:rPr>
          <w:rFonts w:ascii="Segoe UI" w:hAnsi="Segoe UI" w:cs="Segoe UI"/>
          <w:b/>
          <w:bCs/>
          <w:color w:val="C00000"/>
        </w:rPr>
        <w:t>Queries</w:t>
      </w:r>
      <w:r w:rsidRPr="00583453">
        <w:rPr>
          <w:rFonts w:ascii="Segoe UI" w:hAnsi="Segoe UI" w:cs="Segoe UI"/>
        </w:rPr>
        <w:t xml:space="preserve"> return the state of the entity and do not change anything. Another term for them is “accessors”.</w:t>
      </w:r>
    </w:p>
    <w:p w14:paraId="2F0A12D2" w14:textId="77777777" w:rsidR="00BD3883" w:rsidRPr="0064123A" w:rsidRDefault="00BD3883" w:rsidP="00BD3883">
      <w:pPr>
        <w:pStyle w:val="NormalWeb"/>
        <w:shd w:val="clear" w:color="auto" w:fill="FFFFFF"/>
        <w:rPr>
          <w:rFonts w:ascii="Segoe UI" w:hAnsi="Segoe UI" w:cs="Segoe UI"/>
          <w:b/>
          <w:bCs/>
          <w:noProof/>
          <w:sz w:val="28"/>
          <w:szCs w:val="28"/>
        </w:rPr>
      </w:pPr>
      <w:r w:rsidRPr="0064123A">
        <w:rPr>
          <w:rFonts w:ascii="Segoe UI" w:hAnsi="Segoe UI" w:cs="Segoe UI"/>
          <w:b/>
          <w:bCs/>
          <w:noProof/>
          <w:sz w:val="28"/>
          <w:szCs w:val="28"/>
        </w:rPr>
        <w:t>Why Is it required?</w:t>
      </w:r>
    </w:p>
    <w:p w14:paraId="3080BF22" w14:textId="77777777" w:rsidR="00BD3883" w:rsidRDefault="00BD3883" w:rsidP="00BD3883">
      <w:pPr>
        <w:pStyle w:val="NormalWeb"/>
        <w:shd w:val="clear" w:color="auto" w:fill="FFFFFF"/>
        <w:rPr>
          <w:rFonts w:ascii="Segoe UI" w:hAnsi="Segoe UI" w:cs="Segoe UI"/>
          <w:b/>
          <w:bCs/>
          <w:noProof/>
          <w:color w:val="C00000"/>
          <w:sz w:val="22"/>
          <w:szCs w:val="22"/>
        </w:rPr>
      </w:pPr>
      <w:r>
        <w:rPr>
          <w:rFonts w:ascii="Segoe UI" w:hAnsi="Segoe UI" w:cs="Segoe UI"/>
          <w:noProof/>
          <w:sz w:val="22"/>
          <w:szCs w:val="22"/>
        </w:rPr>
        <w:t xml:space="preserve">In traditional data management systems, </w:t>
      </w:r>
      <w:r w:rsidRPr="0064123A">
        <w:rPr>
          <w:rFonts w:ascii="Segoe UI" w:hAnsi="Segoe UI" w:cs="Segoe UI"/>
          <w:b/>
          <w:bCs/>
          <w:noProof/>
          <w:color w:val="C00000"/>
          <w:sz w:val="22"/>
          <w:szCs w:val="22"/>
        </w:rPr>
        <w:t>both commands and queries are executed against the same set of entities</w:t>
      </w:r>
      <w:r>
        <w:rPr>
          <w:rFonts w:ascii="Segoe UI" w:hAnsi="Segoe UI" w:cs="Segoe UI"/>
          <w:noProof/>
          <w:sz w:val="22"/>
          <w:szCs w:val="22"/>
        </w:rPr>
        <w:t xml:space="preserve">, having a single representation or view. Different clients want different views across sets of data. CRUD operations are applied to a single datastore and the </w:t>
      </w:r>
      <w:r w:rsidRPr="0064123A">
        <w:rPr>
          <w:rFonts w:ascii="Segoe UI" w:hAnsi="Segoe UI" w:cs="Segoe UI"/>
          <w:b/>
          <w:bCs/>
          <w:noProof/>
          <w:color w:val="C00000"/>
          <w:sz w:val="22"/>
          <w:szCs w:val="22"/>
        </w:rPr>
        <w:t>same entity or object is accessed to handle both read and write operations.</w:t>
      </w:r>
    </w:p>
    <w:p w14:paraId="56314D36" w14:textId="77777777" w:rsidR="00BD3883" w:rsidRDefault="00BD3883" w:rsidP="00BD3883">
      <w:pPr>
        <w:pStyle w:val="NormalWeb"/>
        <w:shd w:val="clear" w:color="auto" w:fill="FFFFFF"/>
        <w:rPr>
          <w:rFonts w:ascii="Segoe UI" w:hAnsi="Segoe UI" w:cs="Segoe UI"/>
          <w:noProof/>
          <w:sz w:val="22"/>
          <w:szCs w:val="22"/>
        </w:rPr>
      </w:pPr>
      <w:r>
        <w:rPr>
          <w:rFonts w:ascii="Segoe UI" w:hAnsi="Segoe UI" w:cs="Segoe UI"/>
          <w:noProof/>
          <w:sz w:val="22"/>
          <w:szCs w:val="22"/>
        </w:rPr>
        <w:t>There are issues with having a single view for both read and write sides.</w:t>
      </w:r>
    </w:p>
    <w:p w14:paraId="3C6BE83F" w14:textId="77777777" w:rsidR="00BD3883" w:rsidRDefault="00BD3883" w:rsidP="00BD3883">
      <w:pPr>
        <w:pStyle w:val="NormalWeb"/>
        <w:numPr>
          <w:ilvl w:val="0"/>
          <w:numId w:val="3"/>
        </w:numPr>
        <w:shd w:val="clear" w:color="auto" w:fill="FFFFFF"/>
        <w:rPr>
          <w:rFonts w:ascii="Segoe UI" w:hAnsi="Segoe UI" w:cs="Segoe UI"/>
          <w:noProof/>
          <w:sz w:val="22"/>
          <w:szCs w:val="22"/>
        </w:rPr>
      </w:pPr>
      <w:r>
        <w:rPr>
          <w:rFonts w:ascii="Segoe UI" w:hAnsi="Segoe UI" w:cs="Segoe UI"/>
          <w:noProof/>
          <w:sz w:val="22"/>
          <w:szCs w:val="22"/>
        </w:rPr>
        <w:t>Introduces the risk of data contention.</w:t>
      </w:r>
    </w:p>
    <w:p w14:paraId="12B98FF5" w14:textId="77777777" w:rsidR="00BD3883" w:rsidRDefault="00BD3883" w:rsidP="00BD3883">
      <w:pPr>
        <w:pStyle w:val="NormalWeb"/>
        <w:numPr>
          <w:ilvl w:val="0"/>
          <w:numId w:val="3"/>
        </w:numPr>
        <w:shd w:val="clear" w:color="auto" w:fill="FFFFFF"/>
        <w:rPr>
          <w:rFonts w:ascii="Segoe UI" w:hAnsi="Segoe UI" w:cs="Segoe UI"/>
          <w:sz w:val="22"/>
          <w:szCs w:val="22"/>
        </w:rPr>
      </w:pPr>
      <w:r>
        <w:rPr>
          <w:rFonts w:ascii="Segoe UI" w:hAnsi="Segoe UI" w:cs="Segoe UI"/>
          <w:noProof/>
          <w:sz w:val="22"/>
          <w:szCs w:val="22"/>
        </w:rPr>
        <w:t>Managing permissions and security become complex  as the same objects are exposed to both read and write operations. Different clients that are updating the data unknowingly conflict.</w:t>
      </w:r>
    </w:p>
    <w:p w14:paraId="73D46006" w14:textId="77777777" w:rsidR="00BD3883" w:rsidRDefault="00BD3883" w:rsidP="00BD3883">
      <w:pPr>
        <w:pStyle w:val="NormalWeb"/>
        <w:shd w:val="clear" w:color="auto" w:fill="FFFFFF"/>
        <w:ind w:left="720"/>
        <w:rPr>
          <w:rFonts w:ascii="Segoe UI" w:hAnsi="Segoe UI" w:cs="Segoe UI"/>
          <w:sz w:val="22"/>
          <w:szCs w:val="22"/>
        </w:rPr>
      </w:pPr>
    </w:p>
    <w:p w14:paraId="3574C4F6" w14:textId="77777777" w:rsidR="00BD3883" w:rsidRPr="0064123A" w:rsidRDefault="00BD3883" w:rsidP="00BD3883">
      <w:pPr>
        <w:pStyle w:val="NormalWeb"/>
        <w:shd w:val="clear" w:color="auto" w:fill="FFFFFF"/>
        <w:rPr>
          <w:rFonts w:ascii="Segoe UI" w:hAnsi="Segoe UI" w:cs="Segoe UI"/>
          <w:b/>
          <w:bCs/>
          <w:noProof/>
          <w:sz w:val="28"/>
          <w:szCs w:val="28"/>
        </w:rPr>
      </w:pPr>
      <w:r>
        <w:rPr>
          <w:rFonts w:ascii="Segoe UI" w:hAnsi="Segoe UI" w:cs="Segoe UI"/>
          <w:b/>
          <w:bCs/>
          <w:noProof/>
          <w:sz w:val="28"/>
          <w:szCs w:val="28"/>
        </w:rPr>
        <w:t>How CQRS sloves This Problem ??</w:t>
      </w:r>
    </w:p>
    <w:p w14:paraId="5BB4D1BB" w14:textId="77777777" w:rsidR="00BD3883" w:rsidRDefault="00BD3883" w:rsidP="00BD3883">
      <w:pPr>
        <w:pStyle w:val="NormalWeb"/>
        <w:shd w:val="clear" w:color="auto" w:fill="FFFFFF"/>
        <w:rPr>
          <w:rFonts w:ascii="Segoe UI" w:hAnsi="Segoe UI" w:cs="Segoe UI"/>
          <w:color w:val="171717"/>
          <w:sz w:val="22"/>
          <w:szCs w:val="22"/>
        </w:rPr>
      </w:pPr>
      <w:r>
        <w:rPr>
          <w:rFonts w:ascii="Segoe UI" w:hAnsi="Segoe UI" w:cs="Segoe UI"/>
          <w:color w:val="171717"/>
          <w:sz w:val="22"/>
          <w:szCs w:val="22"/>
        </w:rPr>
        <w:t xml:space="preserve">The CQRS pattern holds the idea that </w:t>
      </w:r>
      <w:r w:rsidRPr="00121BCD">
        <w:rPr>
          <w:rFonts w:ascii="Segoe UI" w:hAnsi="Segoe UI" w:cs="Segoe UI"/>
          <w:b/>
          <w:bCs/>
          <w:i/>
          <w:iCs/>
          <w:color w:val="C00000"/>
          <w:sz w:val="22"/>
          <w:szCs w:val="22"/>
        </w:rPr>
        <w:t>the method should either change the state of the entity or return the result, but not both</w:t>
      </w:r>
      <w:r>
        <w:rPr>
          <w:rFonts w:ascii="Segoe UI" w:hAnsi="Segoe UI" w:cs="Segoe UI"/>
          <w:color w:val="171717"/>
          <w:sz w:val="22"/>
          <w:szCs w:val="22"/>
        </w:rPr>
        <w:t>. Segregating models for the read and write sides reduces the complexity that comes with having a single view for both of them.</w:t>
      </w:r>
    </w:p>
    <w:p w14:paraId="42DECDE6" w14:textId="77777777" w:rsidR="00BD3883" w:rsidRPr="007C40BF" w:rsidRDefault="00BD3883" w:rsidP="00BD3883">
      <w:pPr>
        <w:pStyle w:val="NormalWeb"/>
        <w:shd w:val="clear" w:color="auto" w:fill="FFFFFF"/>
        <w:rPr>
          <w:rFonts w:ascii="Segoe UI" w:hAnsi="Segoe UI" w:cs="Segoe UI"/>
          <w:b/>
          <w:bCs/>
          <w:color w:val="171717"/>
        </w:rPr>
      </w:pPr>
      <w:r w:rsidRPr="007C40BF">
        <w:rPr>
          <w:rFonts w:ascii="Segoe UI" w:hAnsi="Segoe UI" w:cs="Segoe UI"/>
          <w:b/>
          <w:bCs/>
          <w:color w:val="171717"/>
        </w:rPr>
        <w:t>Benefits of CQRS:</w:t>
      </w:r>
    </w:p>
    <w:p w14:paraId="788DB7A9" w14:textId="77777777" w:rsidR="00BD3883" w:rsidRDefault="00BD3883" w:rsidP="00BD3883">
      <w:pPr>
        <w:pStyle w:val="NormalWeb"/>
        <w:numPr>
          <w:ilvl w:val="0"/>
          <w:numId w:val="4"/>
        </w:numPr>
        <w:shd w:val="clear" w:color="auto" w:fill="FFFFFF"/>
        <w:rPr>
          <w:rFonts w:ascii="Segoe UI" w:hAnsi="Segoe UI" w:cs="Segoe UI"/>
          <w:color w:val="171717"/>
          <w:sz w:val="22"/>
          <w:szCs w:val="22"/>
        </w:rPr>
      </w:pPr>
      <w:r w:rsidRPr="007C40BF">
        <w:rPr>
          <w:rFonts w:ascii="Segoe UI" w:hAnsi="Segoe UI" w:cs="Segoe UI"/>
          <w:b/>
          <w:bCs/>
          <w:color w:val="C00000"/>
          <w:sz w:val="22"/>
          <w:szCs w:val="22"/>
        </w:rPr>
        <w:t>Separate command and query models</w:t>
      </w:r>
      <w:r>
        <w:rPr>
          <w:rFonts w:ascii="Segoe UI" w:hAnsi="Segoe UI" w:cs="Segoe UI"/>
          <w:color w:val="171717"/>
          <w:sz w:val="22"/>
          <w:szCs w:val="22"/>
        </w:rPr>
        <w:t>, resulting in simplified design and implementation of the system and overall reduction of complexity.</w:t>
      </w:r>
    </w:p>
    <w:p w14:paraId="6FCBB6B1" w14:textId="77777777" w:rsidR="00BD3883" w:rsidRDefault="00BD3883" w:rsidP="00BD3883">
      <w:pPr>
        <w:pStyle w:val="NormalWeb"/>
        <w:numPr>
          <w:ilvl w:val="0"/>
          <w:numId w:val="4"/>
        </w:numPr>
        <w:shd w:val="clear" w:color="auto" w:fill="FFFFFF"/>
        <w:rPr>
          <w:rFonts w:ascii="Segoe UI" w:hAnsi="Segoe UI" w:cs="Segoe UI"/>
          <w:color w:val="171717"/>
          <w:sz w:val="22"/>
          <w:szCs w:val="22"/>
        </w:rPr>
      </w:pPr>
      <w:r>
        <w:rPr>
          <w:rFonts w:ascii="Segoe UI" w:hAnsi="Segoe UI" w:cs="Segoe UI"/>
          <w:color w:val="171717"/>
          <w:sz w:val="22"/>
          <w:szCs w:val="22"/>
        </w:rPr>
        <w:t>One can easily optimize the read side of the system separately from the write side, allowing scaling of each differently as per the load on the side. For example, read datastores often encounter greater load, and hence can be scaled without affecting the write datastores.</w:t>
      </w:r>
    </w:p>
    <w:p w14:paraId="752C9E82" w14:textId="77777777" w:rsidR="00BD3883" w:rsidRDefault="00BD3883" w:rsidP="00BD3883">
      <w:pPr>
        <w:pStyle w:val="NormalWeb"/>
        <w:numPr>
          <w:ilvl w:val="0"/>
          <w:numId w:val="4"/>
        </w:numPr>
        <w:shd w:val="clear" w:color="auto" w:fill="FFFFFF"/>
        <w:rPr>
          <w:rFonts w:ascii="Segoe UI" w:hAnsi="Segoe UI" w:cs="Segoe UI"/>
          <w:color w:val="171717"/>
          <w:sz w:val="22"/>
          <w:szCs w:val="22"/>
        </w:rPr>
      </w:pPr>
      <w:r>
        <w:rPr>
          <w:rFonts w:ascii="Segoe UI" w:hAnsi="Segoe UI" w:cs="Segoe UI"/>
          <w:color w:val="171717"/>
          <w:sz w:val="22"/>
          <w:szCs w:val="22"/>
        </w:rPr>
        <w:t>Can provide multiple views of your data for querying purposes depending on the use cases.</w:t>
      </w:r>
    </w:p>
    <w:p w14:paraId="4BC9C4F5" w14:textId="77777777" w:rsidR="00BD3883" w:rsidRDefault="00BD3883" w:rsidP="00BD3883">
      <w:pPr>
        <w:pStyle w:val="NormalWeb"/>
        <w:shd w:val="clear" w:color="auto" w:fill="FFFFFF"/>
        <w:rPr>
          <w:rFonts w:ascii="Segoe UI" w:hAnsi="Segoe UI" w:cs="Segoe UI"/>
          <w:color w:val="171717"/>
          <w:sz w:val="22"/>
          <w:szCs w:val="22"/>
        </w:rPr>
      </w:pPr>
    </w:p>
    <w:p w14:paraId="1695BBDB" w14:textId="77777777" w:rsidR="00BD3883" w:rsidRDefault="00BD3883" w:rsidP="00BD3883">
      <w:pPr>
        <w:pStyle w:val="NormalWeb"/>
        <w:shd w:val="clear" w:color="auto" w:fill="FFFFFF"/>
        <w:rPr>
          <w:rFonts w:ascii="Segoe UI" w:hAnsi="Segoe UI" w:cs="Segoe UI"/>
          <w:color w:val="171717"/>
          <w:sz w:val="22"/>
          <w:szCs w:val="22"/>
        </w:rPr>
      </w:pPr>
    </w:p>
    <w:p w14:paraId="095473AA" w14:textId="77777777" w:rsidR="00BD3883" w:rsidRDefault="00BD3883" w:rsidP="00BD3883">
      <w:pPr>
        <w:pStyle w:val="NormalWeb"/>
        <w:shd w:val="clear" w:color="auto" w:fill="FFFFFF"/>
        <w:rPr>
          <w:rFonts w:ascii="Segoe UI" w:hAnsi="Segoe UI" w:cs="Segoe UI"/>
          <w:color w:val="171717"/>
          <w:sz w:val="22"/>
          <w:szCs w:val="22"/>
        </w:rPr>
      </w:pPr>
    </w:p>
    <w:p w14:paraId="07E5EF97" w14:textId="77777777" w:rsidR="00BD3883" w:rsidRDefault="00BD3883" w:rsidP="00BD3883">
      <w:pPr>
        <w:pStyle w:val="NormalWeb"/>
        <w:shd w:val="clear" w:color="auto" w:fill="FFFFFF"/>
        <w:rPr>
          <w:rFonts w:ascii="Segoe UI" w:hAnsi="Segoe UI" w:cs="Segoe UI"/>
          <w:b/>
          <w:bCs/>
          <w:noProof/>
          <w:sz w:val="28"/>
          <w:szCs w:val="28"/>
        </w:rPr>
      </w:pPr>
      <w:r>
        <w:rPr>
          <w:rFonts w:ascii="Segoe UI" w:hAnsi="Segoe UI" w:cs="Segoe UI"/>
          <w:b/>
          <w:bCs/>
          <w:noProof/>
          <w:sz w:val="28"/>
          <w:szCs w:val="28"/>
        </w:rPr>
        <w:lastRenderedPageBreak/>
        <w:t>How CQRS Works</w:t>
      </w:r>
    </w:p>
    <w:p w14:paraId="1B253B7D" w14:textId="77777777" w:rsidR="00BD3883" w:rsidRDefault="00BD3883" w:rsidP="00BD3883">
      <w:pPr>
        <w:pStyle w:val="NormalWeb"/>
        <w:shd w:val="clear" w:color="auto" w:fill="FFFFFF"/>
        <w:rPr>
          <w:rFonts w:ascii="Segoe UI" w:hAnsi="Segoe UI" w:cs="Segoe UI"/>
          <w:noProof/>
          <w:sz w:val="22"/>
          <w:szCs w:val="22"/>
        </w:rPr>
      </w:pPr>
      <w:r>
        <w:rPr>
          <w:rFonts w:ascii="Segoe UI" w:hAnsi="Segoe UI" w:cs="Segoe UI"/>
          <w:noProof/>
          <w:sz w:val="22"/>
          <w:szCs w:val="22"/>
        </w:rPr>
        <w:t xml:space="preserve">CQRS is </w:t>
      </w:r>
      <w:r w:rsidRPr="007C40BF">
        <w:rPr>
          <w:rFonts w:ascii="Segoe UI" w:hAnsi="Segoe UI" w:cs="Segoe UI"/>
          <w:b/>
          <w:bCs/>
          <w:i/>
          <w:iCs/>
          <w:noProof/>
          <w:color w:val="C00000"/>
          <w:sz w:val="22"/>
          <w:szCs w:val="22"/>
        </w:rPr>
        <w:t>mainly used in conjunction with Event Sourcing</w:t>
      </w:r>
      <w:r>
        <w:rPr>
          <w:rFonts w:ascii="Segoe UI" w:hAnsi="Segoe UI" w:cs="Segoe UI"/>
          <w:noProof/>
          <w:sz w:val="22"/>
          <w:szCs w:val="22"/>
        </w:rPr>
        <w:t xml:space="preserve">. The </w:t>
      </w:r>
      <w:r w:rsidRPr="008D0CB7">
        <w:rPr>
          <w:rFonts w:ascii="Segoe UI" w:hAnsi="Segoe UI" w:cs="Segoe UI"/>
          <w:b/>
          <w:bCs/>
          <w:noProof/>
          <w:color w:val="C00000"/>
          <w:sz w:val="22"/>
          <w:szCs w:val="22"/>
        </w:rPr>
        <w:t>write side</w:t>
      </w:r>
      <w:r>
        <w:rPr>
          <w:rFonts w:ascii="Segoe UI" w:hAnsi="Segoe UI" w:cs="Segoe UI"/>
          <w:noProof/>
          <w:sz w:val="22"/>
          <w:szCs w:val="22"/>
        </w:rPr>
        <w:t xml:space="preserve"> model of the CQRS-based system </w:t>
      </w:r>
      <w:r w:rsidRPr="008D0CB7">
        <w:rPr>
          <w:rFonts w:ascii="Segoe UI" w:hAnsi="Segoe UI" w:cs="Segoe UI"/>
          <w:b/>
          <w:bCs/>
          <w:noProof/>
          <w:color w:val="C00000"/>
          <w:sz w:val="22"/>
          <w:szCs w:val="22"/>
        </w:rPr>
        <w:t>handles the events persistence</w:t>
      </w:r>
      <w:r>
        <w:rPr>
          <w:rFonts w:ascii="Segoe UI" w:hAnsi="Segoe UI" w:cs="Segoe UI"/>
          <w:noProof/>
          <w:sz w:val="22"/>
          <w:szCs w:val="22"/>
        </w:rPr>
        <w:t xml:space="preserve">, </w:t>
      </w:r>
      <w:r w:rsidRPr="008D0CB7">
        <w:rPr>
          <w:rFonts w:ascii="Segoe UI" w:hAnsi="Segoe UI" w:cs="Segoe UI"/>
          <w:b/>
          <w:bCs/>
          <w:noProof/>
          <w:color w:val="323E4F" w:themeColor="text2" w:themeShade="BF"/>
          <w:sz w:val="22"/>
          <w:szCs w:val="22"/>
        </w:rPr>
        <w:t>acting as a source of information for the read side.</w:t>
      </w:r>
      <w:r>
        <w:rPr>
          <w:rFonts w:ascii="Segoe UI" w:hAnsi="Segoe UI" w:cs="Segoe UI"/>
          <w:noProof/>
          <w:sz w:val="22"/>
          <w:szCs w:val="22"/>
        </w:rPr>
        <w:t xml:space="preserve"> The read model of the system provides materialized views of the data, typically as hightly denormalized views.</w:t>
      </w:r>
    </w:p>
    <w:p w14:paraId="7E67F6C2" w14:textId="77777777" w:rsidR="00BD3883" w:rsidRDefault="00BD3883" w:rsidP="00BD3883">
      <w:pPr>
        <w:pStyle w:val="NormalWeb"/>
        <w:shd w:val="clear" w:color="auto" w:fill="FFFFFF"/>
        <w:rPr>
          <w:rFonts w:ascii="Segoe UI" w:hAnsi="Segoe UI" w:cs="Segoe UI"/>
          <w:noProof/>
          <w:sz w:val="22"/>
          <w:szCs w:val="22"/>
        </w:rPr>
      </w:pPr>
      <w:r>
        <w:rPr>
          <w:rFonts w:ascii="Segoe UI" w:hAnsi="Segoe UI" w:cs="Segoe UI"/>
          <w:noProof/>
          <w:sz w:val="22"/>
          <w:szCs w:val="22"/>
        </w:rPr>
        <w:t xml:space="preserve">Details of CQRS-based system : </w:t>
      </w:r>
    </w:p>
    <w:p w14:paraId="75727433" w14:textId="77777777" w:rsidR="00BD3883" w:rsidRDefault="00BD3883" w:rsidP="00BD3883">
      <w:pPr>
        <w:pStyle w:val="NormalWeb"/>
        <w:shd w:val="clear" w:color="auto" w:fill="FFFFFF"/>
        <w:rPr>
          <w:rFonts w:ascii="Segoe UI" w:hAnsi="Segoe UI" w:cs="Segoe UI"/>
          <w:noProof/>
          <w:sz w:val="22"/>
          <w:szCs w:val="22"/>
        </w:rPr>
      </w:pPr>
      <w:r>
        <w:rPr>
          <w:noProof/>
        </w:rPr>
        <w:drawing>
          <wp:inline distT="0" distB="0" distL="0" distR="0" wp14:anchorId="2304C37F" wp14:editId="08CC9E91">
            <wp:extent cx="5731510" cy="37299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9990"/>
                    </a:xfrm>
                    <a:prstGeom prst="rect">
                      <a:avLst/>
                    </a:prstGeom>
                  </pic:spPr>
                </pic:pic>
              </a:graphicData>
            </a:graphic>
          </wp:inline>
        </w:drawing>
      </w:r>
    </w:p>
    <w:p w14:paraId="42E0AEF4" w14:textId="77777777" w:rsidR="00BD3883" w:rsidRDefault="00BD3883" w:rsidP="00BD3883">
      <w:pPr>
        <w:pStyle w:val="NormalWeb"/>
        <w:shd w:val="clear" w:color="auto" w:fill="FFFFFF"/>
        <w:rPr>
          <w:rFonts w:ascii="Segoe UI" w:hAnsi="Segoe UI" w:cs="Segoe UI"/>
          <w:noProof/>
          <w:sz w:val="22"/>
          <w:szCs w:val="22"/>
        </w:rPr>
      </w:pPr>
    </w:p>
    <w:p w14:paraId="40A4AC2B" w14:textId="404735F8" w:rsidR="00BD3883" w:rsidRDefault="00BD3883" w:rsidP="00BD3883">
      <w:pPr>
        <w:pStyle w:val="NormalWeb"/>
        <w:shd w:val="clear" w:color="auto" w:fill="FFFFFF"/>
        <w:rPr>
          <w:rFonts w:ascii="Segoe UI" w:hAnsi="Segoe UI" w:cs="Segoe UI"/>
          <w:noProof/>
          <w:sz w:val="22"/>
          <w:szCs w:val="22"/>
        </w:rPr>
      </w:pPr>
      <w:r>
        <w:rPr>
          <w:rFonts w:ascii="Segoe UI" w:hAnsi="Segoe UI" w:cs="Segoe UI"/>
          <w:noProof/>
          <w:sz w:val="22"/>
          <w:szCs w:val="22"/>
        </w:rPr>
        <w:t xml:space="preserve">Refernce Site: </w:t>
      </w:r>
      <w:hyperlink r:id="rId6" w:history="1">
        <w:r w:rsidRPr="00562CEA">
          <w:rPr>
            <w:rStyle w:val="Hyperlink"/>
            <w:rFonts w:ascii="Segoe UI" w:hAnsi="Segoe UI" w:cs="Segoe UI"/>
            <w:noProof/>
            <w:sz w:val="22"/>
            <w:szCs w:val="22"/>
          </w:rPr>
          <w:t>https://www.kindsonthegenius.com/microservices/understanding-the-files-and-components-of-a-cqrs-applicationwith-axonframework/</w:t>
        </w:r>
      </w:hyperlink>
    </w:p>
    <w:p w14:paraId="7D0935BF" w14:textId="77777777" w:rsidR="00BD3883" w:rsidRDefault="00BD3883" w:rsidP="00BD3883">
      <w:pPr>
        <w:pStyle w:val="NormalWeb"/>
        <w:shd w:val="clear" w:color="auto" w:fill="FFFFFF"/>
        <w:rPr>
          <w:rFonts w:ascii="Segoe UI" w:hAnsi="Segoe UI" w:cs="Segoe UI"/>
          <w:noProof/>
          <w:sz w:val="22"/>
          <w:szCs w:val="22"/>
        </w:rPr>
      </w:pPr>
    </w:p>
    <w:p w14:paraId="086DCC2F" w14:textId="77777777" w:rsidR="00BD3883" w:rsidRDefault="00BD3883" w:rsidP="00BD3883">
      <w:pPr>
        <w:pStyle w:val="NormalWeb"/>
        <w:shd w:val="clear" w:color="auto" w:fill="FFFFFF"/>
        <w:rPr>
          <w:rFonts w:ascii="Segoe UI" w:hAnsi="Segoe UI" w:cs="Segoe UI"/>
          <w:noProof/>
          <w:sz w:val="22"/>
          <w:szCs w:val="22"/>
        </w:rPr>
      </w:pPr>
    </w:p>
    <w:p w14:paraId="773EE363" w14:textId="77777777" w:rsidR="00BD3883" w:rsidRDefault="00BD3883" w:rsidP="00BD3883">
      <w:pPr>
        <w:pStyle w:val="NormalWeb"/>
        <w:shd w:val="clear" w:color="auto" w:fill="FFFFFF"/>
        <w:rPr>
          <w:rFonts w:ascii="Segoe UI" w:hAnsi="Segoe UI" w:cs="Segoe UI"/>
          <w:noProof/>
          <w:sz w:val="22"/>
          <w:szCs w:val="22"/>
        </w:rPr>
      </w:pPr>
    </w:p>
    <w:p w14:paraId="42A655A2" w14:textId="77777777" w:rsidR="00BD3883" w:rsidRDefault="00BD3883" w:rsidP="00BD3883">
      <w:pPr>
        <w:pStyle w:val="NormalWeb"/>
        <w:shd w:val="clear" w:color="auto" w:fill="FFFFFF"/>
        <w:rPr>
          <w:rFonts w:ascii="Segoe UI" w:hAnsi="Segoe UI" w:cs="Segoe UI"/>
          <w:noProof/>
          <w:sz w:val="22"/>
          <w:szCs w:val="22"/>
        </w:rPr>
      </w:pPr>
    </w:p>
    <w:p w14:paraId="02300DAF" w14:textId="77777777" w:rsidR="00BD3883" w:rsidRDefault="00BD3883" w:rsidP="00BD3883">
      <w:pPr>
        <w:pStyle w:val="NormalWeb"/>
        <w:shd w:val="clear" w:color="auto" w:fill="FFFFFF"/>
        <w:rPr>
          <w:rFonts w:ascii="Segoe UI" w:hAnsi="Segoe UI" w:cs="Segoe UI"/>
          <w:noProof/>
          <w:sz w:val="22"/>
          <w:szCs w:val="22"/>
        </w:rPr>
      </w:pPr>
    </w:p>
    <w:p w14:paraId="0889A049" w14:textId="77777777" w:rsidR="00BD3883" w:rsidRDefault="00BD3883" w:rsidP="00BD3883">
      <w:pPr>
        <w:pStyle w:val="NormalWeb"/>
        <w:shd w:val="clear" w:color="auto" w:fill="FFFFFF"/>
        <w:rPr>
          <w:rFonts w:ascii="Segoe UI" w:hAnsi="Segoe UI" w:cs="Segoe UI"/>
          <w:noProof/>
          <w:sz w:val="22"/>
          <w:szCs w:val="22"/>
        </w:rPr>
      </w:pPr>
    </w:p>
    <w:p w14:paraId="22D6BC5B" w14:textId="77777777" w:rsidR="00BD3883" w:rsidRDefault="00BD3883" w:rsidP="00BD3883">
      <w:pPr>
        <w:pStyle w:val="NormalWeb"/>
        <w:shd w:val="clear" w:color="auto" w:fill="FFFFFF"/>
        <w:rPr>
          <w:rFonts w:ascii="Segoe UI" w:hAnsi="Segoe UI" w:cs="Segoe UI"/>
          <w:noProof/>
          <w:sz w:val="22"/>
          <w:szCs w:val="22"/>
        </w:rPr>
      </w:pPr>
    </w:p>
    <w:p w14:paraId="59D07145" w14:textId="77777777" w:rsidR="006B1319" w:rsidRDefault="006B1319"/>
    <w:sectPr w:rsidR="006B1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592"/>
    <w:multiLevelType w:val="hybridMultilevel"/>
    <w:tmpl w:val="CEAAD236"/>
    <w:lvl w:ilvl="0" w:tplc="AF025DC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EF2E6A"/>
    <w:multiLevelType w:val="hybridMultilevel"/>
    <w:tmpl w:val="CBAAD3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024289C"/>
    <w:multiLevelType w:val="hybridMultilevel"/>
    <w:tmpl w:val="50ECFB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DE29ED"/>
    <w:multiLevelType w:val="hybridMultilevel"/>
    <w:tmpl w:val="3928FC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53627058">
    <w:abstractNumId w:val="0"/>
  </w:num>
  <w:num w:numId="2" w16cid:durableId="1445534123">
    <w:abstractNumId w:val="3"/>
  </w:num>
  <w:num w:numId="3" w16cid:durableId="1574464781">
    <w:abstractNumId w:val="2"/>
  </w:num>
  <w:num w:numId="4" w16cid:durableId="183502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19"/>
    <w:rsid w:val="006B1319"/>
    <w:rsid w:val="00BD3883"/>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968D"/>
  <w15:chartTrackingRefBased/>
  <w15:docId w15:val="{46C2EEC0-84F5-42C9-8EAC-5A9AE25F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83"/>
    <w:pPr>
      <w:ind w:left="720"/>
      <w:contextualSpacing/>
    </w:pPr>
  </w:style>
  <w:style w:type="paragraph" w:styleId="NormalWeb">
    <w:name w:val="Normal (Web)"/>
    <w:basedOn w:val="Normal"/>
    <w:uiPriority w:val="99"/>
    <w:unhideWhenUsed/>
    <w:rsid w:val="00BD38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883"/>
    <w:rPr>
      <w:color w:val="0563C1" w:themeColor="hyperlink"/>
      <w:u w:val="single"/>
    </w:rPr>
  </w:style>
  <w:style w:type="character" w:styleId="UnresolvedMention">
    <w:name w:val="Unresolved Mention"/>
    <w:basedOn w:val="DefaultParagraphFont"/>
    <w:uiPriority w:val="99"/>
    <w:semiHidden/>
    <w:unhideWhenUsed/>
    <w:rsid w:val="00BD3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ndsonthegenius.com/microservices/understanding-the-files-and-components-of-a-cqrs-applicationwith-axonframewor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 Myat Noe</dc:creator>
  <cp:keywords/>
  <dc:description/>
  <cp:lastModifiedBy>Thet Myat Noe</cp:lastModifiedBy>
  <cp:revision>2</cp:revision>
  <dcterms:created xsi:type="dcterms:W3CDTF">2022-05-05T02:29:00Z</dcterms:created>
  <dcterms:modified xsi:type="dcterms:W3CDTF">2022-05-05T02:31:00Z</dcterms:modified>
</cp:coreProperties>
</file>