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682" w:rsidRDefault="00DC5C5C" w:rsidP="00516919">
      <w:pPr>
        <w:rPr>
          <w:rFonts w:ascii="Times New Roman" w:hAnsi="Times New Roman" w:cs="Times New Roman"/>
          <w:b/>
          <w:color w:val="C0504D" w:themeColor="accent2"/>
          <w:sz w:val="44"/>
          <w:szCs w:val="44"/>
        </w:rPr>
      </w:pPr>
      <w:r>
        <w:rPr>
          <w:rFonts w:ascii="Times New Roman" w:hAnsi="Times New Roman" w:cs="Times New Roman"/>
          <w:b/>
          <w:noProof/>
          <w:color w:val="C0504D" w:themeColor="accent2"/>
          <w:sz w:val="44"/>
          <w:szCs w:val="44"/>
        </w:rPr>
        <mc:AlternateContent>
          <mc:Choice Requires="wps">
            <w:drawing>
              <wp:anchor distT="0" distB="0" distL="114300" distR="114300" simplePos="0" relativeHeight="251657215" behindDoc="1" locked="0" layoutInCell="1" allowOverlap="1">
                <wp:simplePos x="0" y="0"/>
                <wp:positionH relativeFrom="column">
                  <wp:posOffset>-209550</wp:posOffset>
                </wp:positionH>
                <wp:positionV relativeFrom="paragraph">
                  <wp:posOffset>-228600</wp:posOffset>
                </wp:positionV>
                <wp:extent cx="7229475" cy="9477375"/>
                <wp:effectExtent l="38100" t="38100" r="38100" b="3810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9475" cy="9477375"/>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33717" id="Rectangle 5" o:spid="_x0000_s1026" style="position:absolute;margin-left:-16.5pt;margin-top:-18pt;width:569.25pt;height:746.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" fillcolor="white [3201]" strokecolor="#4f81bd [3204]" strokeweight="5pt">
                <v:stroke linestyle="thickThin"/>
                <v:shadow color="#868686"/>
              </v:rect>
            </w:pict>
          </mc:Fallback>
        </mc:AlternateContent>
      </w:r>
      <w:r w:rsidR="0032737D">
        <w:rPr>
          <w:rFonts w:ascii="Times New Roman" w:hAnsi="Times New Roman" w:cs="Times New Roman"/>
          <w:b/>
          <w:noProof/>
          <w:color w:val="C0504D" w:themeColor="accent2"/>
          <w:sz w:val="44"/>
          <w:szCs w:val="44"/>
        </w:rPr>
        <w:drawing>
          <wp:anchor distT="0" distB="0" distL="114300" distR="114300" simplePos="0" relativeHeight="251658240" behindDoc="1" locked="0" layoutInCell="1" allowOverlap="1" wp14:anchorId="11300D12" wp14:editId="7B722648">
            <wp:simplePos x="0" y="0"/>
            <wp:positionH relativeFrom="column">
              <wp:align>left</wp:align>
            </wp:positionH>
            <wp:positionV relativeFrom="paragraph">
              <wp:posOffset>133350</wp:posOffset>
            </wp:positionV>
            <wp:extent cx="1266825" cy="977900"/>
            <wp:effectExtent l="19050" t="0" r="9525" b="0"/>
            <wp:wrapTight wrapText="bothSides">
              <wp:wrapPolygon edited="0">
                <wp:start x="-325" y="0"/>
                <wp:lineTo x="-325" y="21039"/>
                <wp:lineTo x="21762" y="21039"/>
                <wp:lineTo x="21762" y="0"/>
                <wp:lineTo x="-325" y="0"/>
              </wp:wrapPolygon>
            </wp:wrapTight>
            <wp:docPr id="1" name="Picture 0" descr="theta 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 web1.jpg"/>
                    <pic:cNvPicPr/>
                  </pic:nvPicPr>
                  <pic:blipFill>
                    <a:blip r:embed="rId5" cstate="print"/>
                    <a:stretch>
                      <a:fillRect/>
                    </a:stretch>
                  </pic:blipFill>
                  <pic:spPr>
                    <a:xfrm>
                      <a:off x="0" y="0"/>
                      <a:ext cx="1266825" cy="977900"/>
                    </a:xfrm>
                    <a:prstGeom prst="rect">
                      <a:avLst/>
                    </a:prstGeom>
                  </pic:spPr>
                </pic:pic>
              </a:graphicData>
            </a:graphic>
            <wp14:sizeRelV relativeFrom="margin">
              <wp14:pctHeight>0</wp14:pctHeight>
            </wp14:sizeRelV>
          </wp:anchor>
        </w:drawing>
      </w:r>
      <w:r w:rsidR="00DE4682">
        <w:rPr>
          <w:rFonts w:ascii="Times New Roman" w:hAnsi="Times New Roman" w:cs="Times New Roman"/>
          <w:b/>
          <w:color w:val="C0504D" w:themeColor="accent2"/>
          <w:sz w:val="44"/>
          <w:szCs w:val="44"/>
        </w:rPr>
        <w:t>School Office System</w:t>
      </w:r>
    </w:p>
    <w:p w:rsidR="00757EF9" w:rsidRPr="00AE4D96" w:rsidRDefault="00757EF9" w:rsidP="00516919">
      <w:pPr>
        <w:rPr>
          <w:rFonts w:ascii="Times New Roman" w:hAnsi="Times New Roman" w:cs="Times New Roman"/>
          <w:b/>
          <w:sz w:val="18"/>
          <w:szCs w:val="18"/>
        </w:rPr>
      </w:pPr>
      <w:r w:rsidRPr="00925812">
        <w:rPr>
          <w:rFonts w:ascii="Times New Roman" w:hAnsi="Times New Roman" w:cs="Times New Roman"/>
          <w:color w:val="548DD4" w:themeColor="text2" w:themeTint="99"/>
          <w:sz w:val="24"/>
          <w:szCs w:val="24"/>
        </w:rPr>
        <w:t>by Theta Discoveries, Inc.</w:t>
      </w:r>
    </w:p>
    <w:p w:rsidR="00911ABB" w:rsidRDefault="001F5E7C" w:rsidP="001F5E7C">
      <w:pPr>
        <w:rPr>
          <w:rFonts w:ascii="Times New Roman" w:hAnsi="Times New Roman" w:cs="Times New Roman"/>
          <w:b/>
        </w:rPr>
      </w:pPr>
      <w:r>
        <w:rPr>
          <w:rFonts w:ascii="Times New Roman" w:hAnsi="Times New Roman" w:cs="Times New Roman"/>
          <w:b/>
          <w:sz w:val="24"/>
          <w:szCs w:val="24"/>
        </w:rPr>
        <w:t xml:space="preserve">        </w:t>
      </w:r>
      <w:r w:rsidR="007A2564">
        <w:rPr>
          <w:rFonts w:ascii="Times New Roman" w:hAnsi="Times New Roman" w:cs="Times New Roman"/>
          <w:b/>
          <w:sz w:val="24"/>
          <w:szCs w:val="24"/>
        </w:rPr>
        <w:t>WEB</w:t>
      </w:r>
      <w:r w:rsidR="00AC4C2A">
        <w:rPr>
          <w:rFonts w:ascii="Times New Roman" w:hAnsi="Times New Roman" w:cs="Times New Roman"/>
          <w:b/>
          <w:sz w:val="24"/>
          <w:szCs w:val="24"/>
        </w:rPr>
        <w:t xml:space="preserve"> BASED</w:t>
      </w:r>
    </w:p>
    <w:p w:rsidR="00757EF9" w:rsidRDefault="00F91231" w:rsidP="001F5E7C">
      <w:pPr>
        <w:rPr>
          <w:rFonts w:ascii="Times New Roman" w:hAnsi="Times New Roman" w:cs="Times New Roman"/>
          <w:b/>
        </w:rPr>
      </w:pPr>
      <w:r>
        <w:rPr>
          <w:rFonts w:ascii="Times New Roman" w:hAnsi="Times New Roman" w:cs="Times New Roman"/>
          <w:b/>
        </w:rPr>
        <w:t xml:space="preserve"> </w:t>
      </w:r>
      <w:r w:rsidR="00757EF9" w:rsidRPr="00AC4C2A">
        <w:rPr>
          <w:rFonts w:ascii="Times New Roman" w:hAnsi="Times New Roman" w:cs="Times New Roman"/>
          <w:b/>
        </w:rPr>
        <w:t xml:space="preserve">*Save Time * Save Money * Professional Reports * </w:t>
      </w:r>
      <w:r w:rsidR="007E6F71" w:rsidRPr="00AC4C2A">
        <w:rPr>
          <w:rFonts w:ascii="Times New Roman" w:hAnsi="Times New Roman" w:cs="Times New Roman"/>
          <w:b/>
        </w:rPr>
        <w:t>Extensive Networkability*</w:t>
      </w:r>
    </w:p>
    <w:p w:rsidR="007A2564" w:rsidRPr="00AC4C2A" w:rsidRDefault="00911ABB" w:rsidP="007A2564">
      <w:pPr>
        <w:rPr>
          <w:rFonts w:ascii="Times New Roman" w:hAnsi="Times New Roman" w:cs="Times New Roman"/>
          <w:b/>
        </w:rPr>
      </w:pPr>
      <w:r>
        <w:rPr>
          <w:rFonts w:ascii="Times New Roman" w:hAnsi="Times New Roman" w:cs="Times New Roman"/>
          <w:b/>
        </w:rPr>
        <w:t xml:space="preserve">                                     </w:t>
      </w:r>
      <w:bookmarkStart w:id="0" w:name="_GoBack"/>
      <w:bookmarkEnd w:id="0"/>
      <w:r w:rsidR="007A2564">
        <w:rPr>
          <w:rFonts w:ascii="Times New Roman" w:hAnsi="Times New Roman" w:cs="Times New Roman"/>
          <w:b/>
        </w:rPr>
        <w:t>*Easy to Learn &amp; Easy to Teach*</w:t>
      </w:r>
      <w:r>
        <w:rPr>
          <w:rFonts w:ascii="Times New Roman" w:hAnsi="Times New Roman" w:cs="Times New Roman"/>
          <w:b/>
        </w:rPr>
        <w:t xml:space="preserve">     </w:t>
      </w:r>
    </w:p>
    <w:p w:rsidR="00DE4682" w:rsidRPr="007A2564" w:rsidRDefault="00F91231" w:rsidP="007A2564">
      <w:pPr>
        <w:spacing w:before="240"/>
        <w:rPr>
          <w:rFonts w:ascii="Times New Roman" w:hAnsi="Times New Roman" w:cs="Times New Roman"/>
          <w:b/>
          <w:color w:val="548DD4" w:themeColor="text2" w:themeTint="99"/>
          <w:sz w:val="20"/>
          <w:szCs w:val="20"/>
          <w:u w:val="single"/>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55245</wp:posOffset>
                </wp:positionV>
                <wp:extent cx="6905625" cy="0"/>
                <wp:effectExtent l="9525" t="11430" r="9525" b="76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393DA1" id="_x0000_t32" coordsize="21600,21600" o:spt="32" o:oned="t" path="m,l21600,21600e" filled="f">
                <v:path arrowok="t" fillok="f" o:connecttype="none"/>
                <o:lock v:ext="edit" shapetype="t"/>
              </v:shapetype>
              <v:shape id="AutoShape 3" o:spid="_x0000_s1026" type="#_x0000_t32" style="position:absolute;margin-left:-6pt;margin-top:4.35pt;width:54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uQGwIAADs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"/>
            </w:pict>
          </mc:Fallback>
        </mc:AlternateContent>
      </w:r>
      <w:r w:rsidR="007A2564" w:rsidRPr="007A2564">
        <w:rPr>
          <w:rFonts w:ascii="Times New Roman" w:hAnsi="Times New Roman" w:cs="Times New Roman"/>
          <w:b/>
          <w:color w:val="548DD4" w:themeColor="text2" w:themeTint="99"/>
          <w:sz w:val="20"/>
          <w:szCs w:val="20"/>
          <w:u w:val="single"/>
        </w:rPr>
        <w:t>STUDENT LISTS</w:t>
      </w:r>
    </w:p>
    <w:p w:rsidR="007E6F71" w:rsidRPr="00925812" w:rsidRDefault="007E6F71" w:rsidP="007A2564">
      <w:pPr>
        <w:ind w:firstLine="720"/>
        <w:rPr>
          <w:rFonts w:ascii="Times New Roman" w:hAnsi="Times New Roman" w:cs="Times New Roman"/>
          <w:sz w:val="18"/>
          <w:szCs w:val="18"/>
        </w:rPr>
      </w:pPr>
      <w:r w:rsidRPr="00925812">
        <w:rPr>
          <w:rFonts w:ascii="Times New Roman" w:hAnsi="Times New Roman" w:cs="Times New Roman"/>
          <w:sz w:val="18"/>
          <w:szCs w:val="18"/>
        </w:rPr>
        <w:t xml:space="preserve">Alphabetical lists- choice of additional listing; parents, emergency </w:t>
      </w:r>
      <w:r w:rsidR="00DE4682">
        <w:rPr>
          <w:rFonts w:ascii="Times New Roman" w:hAnsi="Times New Roman" w:cs="Times New Roman"/>
          <w:sz w:val="18"/>
          <w:szCs w:val="18"/>
        </w:rPr>
        <w:t>contact, home phone/cell phone</w:t>
      </w:r>
      <w:r w:rsidRPr="00925812">
        <w:rPr>
          <w:rFonts w:ascii="Times New Roman" w:hAnsi="Times New Roman" w:cs="Times New Roman"/>
          <w:sz w:val="18"/>
          <w:szCs w:val="18"/>
        </w:rPr>
        <w:t>, addresses, etc.</w:t>
      </w:r>
    </w:p>
    <w:p w:rsidR="00DE4682" w:rsidRPr="00DE4682" w:rsidRDefault="00DE4682" w:rsidP="00DE4682">
      <w:pPr>
        <w:spacing w:line="240" w:lineRule="auto"/>
        <w:ind w:left="360"/>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       </w:t>
      </w:r>
      <w:r w:rsidRPr="00DE4682">
        <w:rPr>
          <w:rFonts w:ascii="Times New Roman" w:eastAsia="Times New Roman" w:hAnsi="Times New Roman" w:cs="Times New Roman"/>
          <w:sz w:val="20"/>
          <w:szCs w:val="24"/>
        </w:rPr>
        <w:t>Total student listings - all grades or selected grades with choice of additional listings; parents, emergency contact, phone numbers, addresses, etc.</w:t>
      </w:r>
    </w:p>
    <w:p w:rsidR="00DE4682" w:rsidRPr="00DE4682" w:rsidRDefault="00DE4682" w:rsidP="00DE4682">
      <w:pPr>
        <w:spacing w:line="240" w:lineRule="auto"/>
        <w:ind w:left="360" w:firstLine="36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Summary student reports; school districts, ethnic background, print out of numbers for BEDS report</w:t>
      </w:r>
    </w:p>
    <w:p w:rsidR="00DE4682" w:rsidRPr="00DE4682" w:rsidRDefault="00DE4682" w:rsidP="00DE4682">
      <w:pPr>
        <w:spacing w:line="240" w:lineRule="auto"/>
        <w:ind w:left="360" w:firstLine="36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School District lists of students, including options for parents’ names, addresses, phone numbers, date of birth and grade.  Ability to separate by grade or entire listing of school population.</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Mailing Labels; all children, oldest child, new children in school.</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Rolodex cards listing parents, emergency information.</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Emergency Cards</w:t>
      </w:r>
    </w:p>
    <w:p w:rsidR="007E6F71" w:rsidRPr="00925812" w:rsidRDefault="007E6F71" w:rsidP="00DE4682">
      <w:pPr>
        <w:rPr>
          <w:rFonts w:ascii="Times New Roman" w:hAnsi="Times New Roman" w:cs="Times New Roman"/>
          <w:b/>
          <w:color w:val="548DD4" w:themeColor="text2" w:themeTint="99"/>
          <w:sz w:val="20"/>
          <w:szCs w:val="20"/>
          <w:u w:val="single"/>
        </w:rPr>
      </w:pPr>
      <w:r w:rsidRPr="00925812">
        <w:rPr>
          <w:rFonts w:ascii="Times New Roman" w:hAnsi="Times New Roman" w:cs="Times New Roman"/>
          <w:b/>
          <w:color w:val="548DD4" w:themeColor="text2" w:themeTint="99"/>
          <w:sz w:val="20"/>
          <w:szCs w:val="20"/>
          <w:u w:val="single"/>
        </w:rPr>
        <w:t>CLASS LISTS</w:t>
      </w:r>
    </w:p>
    <w:p w:rsidR="00DE4682" w:rsidRPr="00DE4682" w:rsidRDefault="00DE4682" w:rsidP="00DE4682">
      <w:pPr>
        <w:spacing w:line="240" w:lineRule="auto"/>
        <w:ind w:firstLine="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Current grades or grades next year; all grades, listed grades or one grade.</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Class lists of special classes, i.e. Choir, Altar servers, Chapter I, etc.</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Option to indicate oldest and/or new students in school.</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Options to separate boys and girls, listing parents, phone, emergency information, school district, lined. non-lined, or grid reports.</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Bus lists</w:t>
      </w:r>
    </w:p>
    <w:p w:rsidR="007E6F71" w:rsidRPr="00925812" w:rsidRDefault="007E6F71" w:rsidP="00925812">
      <w:pPr>
        <w:jc w:val="both"/>
        <w:rPr>
          <w:rFonts w:ascii="Times New Roman" w:hAnsi="Times New Roman" w:cs="Times New Roman"/>
          <w:color w:val="548DD4" w:themeColor="text2" w:themeTint="99"/>
          <w:sz w:val="20"/>
          <w:szCs w:val="20"/>
        </w:rPr>
      </w:pPr>
      <w:r w:rsidRPr="00925812">
        <w:rPr>
          <w:rFonts w:ascii="Times New Roman" w:hAnsi="Times New Roman" w:cs="Times New Roman"/>
          <w:b/>
          <w:color w:val="548DD4" w:themeColor="text2" w:themeTint="99"/>
          <w:sz w:val="20"/>
          <w:szCs w:val="20"/>
          <w:u w:val="single"/>
        </w:rPr>
        <w:t>FAMILY LISTS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Total and summary family lists with ability to list current families, next year’s families and families that have not registered their children for the following school year.</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Listing of families with new students in the school.</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All listings are cross-referenced (last names of parents and students differ) for easy access.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Re-registration forms.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Mailing labels; all families, families with new children.</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Rolodex cards listing emergency information and students in family in school</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Family summary report listing Contributing families, Non-Contributing, etc. for 1, 2 3, etc. children in family.</w:t>
      </w:r>
    </w:p>
    <w:p w:rsidR="00DC4AC9" w:rsidRPr="00925812" w:rsidRDefault="00DE4682" w:rsidP="00925812">
      <w:pPr>
        <w:rPr>
          <w:rFonts w:ascii="Times New Roman" w:hAnsi="Times New Roman" w:cs="Times New Roman"/>
          <w:color w:val="548DD4" w:themeColor="text2" w:themeTint="99"/>
          <w:sz w:val="20"/>
          <w:szCs w:val="20"/>
        </w:rPr>
      </w:pPr>
      <w:r>
        <w:rPr>
          <w:rFonts w:ascii="Times New Roman" w:hAnsi="Times New Roman" w:cs="Times New Roman"/>
          <w:b/>
          <w:color w:val="548DD4" w:themeColor="text2" w:themeTint="99"/>
          <w:sz w:val="20"/>
          <w:szCs w:val="20"/>
          <w:u w:val="single"/>
        </w:rPr>
        <w:t>TEACHER</w:t>
      </w:r>
      <w:r w:rsidR="00DC4AC9" w:rsidRPr="00925812">
        <w:rPr>
          <w:rFonts w:ascii="Times New Roman" w:hAnsi="Times New Roman" w:cs="Times New Roman"/>
          <w:b/>
          <w:color w:val="548DD4" w:themeColor="text2" w:themeTint="99"/>
          <w:sz w:val="20"/>
          <w:szCs w:val="20"/>
          <w:u w:val="single"/>
        </w:rPr>
        <w:t xml:space="preserve"> REPORTS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Organizational sheet of program listing teachers grades and sections with totals.</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Teacher fact sheet; years in school, courses taken, etc.</w:t>
      </w:r>
    </w:p>
    <w:p w:rsidR="00DC4AC9" w:rsidRPr="00925812" w:rsidRDefault="00DC4AC9" w:rsidP="00925812">
      <w:pPr>
        <w:rPr>
          <w:rFonts w:ascii="Times New Roman" w:hAnsi="Times New Roman" w:cs="Times New Roman"/>
          <w:color w:val="548DD4" w:themeColor="text2" w:themeTint="99"/>
          <w:sz w:val="20"/>
          <w:szCs w:val="20"/>
        </w:rPr>
      </w:pPr>
      <w:r w:rsidRPr="00925812">
        <w:rPr>
          <w:rFonts w:ascii="Times New Roman" w:hAnsi="Times New Roman" w:cs="Times New Roman"/>
          <w:b/>
          <w:color w:val="548DD4" w:themeColor="text2" w:themeTint="99"/>
          <w:sz w:val="20"/>
          <w:szCs w:val="20"/>
          <w:u w:val="single"/>
        </w:rPr>
        <w:t>SACRAMENTAL INFORMATION</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Natural parents and religion.</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Church of reception of each of the sacraments with location and date.</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Confirmation cards</w:t>
      </w:r>
    </w:p>
    <w:p w:rsidR="00DC4AC9" w:rsidRPr="00925812" w:rsidRDefault="00DC4AC9" w:rsidP="00925812">
      <w:pPr>
        <w:rPr>
          <w:rFonts w:ascii="Times New Roman" w:hAnsi="Times New Roman" w:cs="Times New Roman"/>
          <w:color w:val="548DD4" w:themeColor="text2" w:themeTint="99"/>
          <w:sz w:val="20"/>
          <w:szCs w:val="20"/>
        </w:rPr>
      </w:pPr>
      <w:r w:rsidRPr="00925812">
        <w:rPr>
          <w:rFonts w:ascii="Times New Roman" w:hAnsi="Times New Roman" w:cs="Times New Roman"/>
          <w:b/>
          <w:color w:val="548DD4" w:themeColor="text2" w:themeTint="99"/>
          <w:sz w:val="20"/>
          <w:szCs w:val="20"/>
          <w:u w:val="single"/>
        </w:rPr>
        <w:t>FINANCIAL CAPABILITIES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Automatically assigns fees to families based on selected criteria; number of children in the family, grades the students are in, affiliation of the family, etc.</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Bills are generated by the program; includes a summary of the billing and a billing stub.</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Bills are self-addressed and fit conveniently into a dual window envelope.</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Multiple reports available; arrears, payment record, billing ledger, etc.</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Ability to generate a late fee if desired.</w:t>
      </w:r>
    </w:p>
    <w:p w:rsid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Ability to add a fee for a bounced check.</w:t>
      </w:r>
    </w:p>
    <w:p w:rsidR="00DC4AC9" w:rsidRPr="00925812" w:rsidRDefault="00DC4AC9" w:rsidP="00925812">
      <w:pPr>
        <w:rPr>
          <w:rFonts w:ascii="Times New Roman" w:hAnsi="Times New Roman" w:cs="Times New Roman"/>
          <w:b/>
          <w:color w:val="548DD4" w:themeColor="text2" w:themeTint="99"/>
          <w:sz w:val="20"/>
          <w:szCs w:val="20"/>
          <w:u w:val="single"/>
        </w:rPr>
      </w:pPr>
      <w:r w:rsidRPr="00925812">
        <w:rPr>
          <w:rFonts w:ascii="Times New Roman" w:hAnsi="Times New Roman" w:cs="Times New Roman"/>
          <w:b/>
          <w:color w:val="548DD4" w:themeColor="text2" w:themeTint="99"/>
          <w:sz w:val="20"/>
          <w:szCs w:val="20"/>
          <w:u w:val="single"/>
        </w:rPr>
        <w:t>OTHER OPTIONS</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Automatic promotion of students - advancing students to next grade level and putting 8</w:t>
      </w:r>
      <w:r w:rsidRPr="00DE4682">
        <w:rPr>
          <w:rFonts w:ascii="Times New Roman" w:eastAsia="Times New Roman" w:hAnsi="Times New Roman" w:cs="Times New Roman"/>
          <w:sz w:val="20"/>
          <w:szCs w:val="24"/>
          <w:vertAlign w:val="superscript"/>
        </w:rPr>
        <w:t>th</w:t>
      </w:r>
      <w:r w:rsidRPr="00DE4682">
        <w:rPr>
          <w:rFonts w:ascii="Times New Roman" w:eastAsia="Times New Roman" w:hAnsi="Times New Roman" w:cs="Times New Roman"/>
          <w:sz w:val="20"/>
          <w:szCs w:val="24"/>
        </w:rPr>
        <w:t xml:space="preserve"> grade students into an alumnae file.</w:t>
      </w:r>
    </w:p>
    <w:p w:rsidR="00DE4682" w:rsidRPr="00DE4682" w:rsidRDefault="00DE4682" w:rsidP="00DE4682">
      <w:pPr>
        <w:spacing w:line="240" w:lineRule="auto"/>
        <w:ind w:left="720"/>
        <w:rPr>
          <w:rFonts w:ascii="Times New Roman" w:eastAsia="Times New Roman" w:hAnsi="Times New Roman" w:cs="Times New Roman"/>
          <w:sz w:val="20"/>
          <w:szCs w:val="24"/>
        </w:rPr>
      </w:pPr>
      <w:r w:rsidRPr="00DE4682">
        <w:rPr>
          <w:rFonts w:ascii="Times New Roman" w:eastAsia="Times New Roman" w:hAnsi="Times New Roman" w:cs="Times New Roman"/>
          <w:sz w:val="20"/>
          <w:szCs w:val="24"/>
        </w:rPr>
        <w:t xml:space="preserve">Ability to assign room numbers or sections to a </w:t>
      </w:r>
      <w:proofErr w:type="gramStart"/>
      <w:r w:rsidRPr="00DE4682">
        <w:rPr>
          <w:rFonts w:ascii="Times New Roman" w:eastAsia="Times New Roman" w:hAnsi="Times New Roman" w:cs="Times New Roman"/>
          <w:sz w:val="20"/>
          <w:szCs w:val="24"/>
        </w:rPr>
        <w:t>particular grade</w:t>
      </w:r>
      <w:proofErr w:type="gramEnd"/>
      <w:r w:rsidRPr="00DE4682">
        <w:rPr>
          <w:rFonts w:ascii="Times New Roman" w:eastAsia="Times New Roman" w:hAnsi="Times New Roman" w:cs="Times New Roman"/>
          <w:sz w:val="20"/>
          <w:szCs w:val="24"/>
        </w:rPr>
        <w:t xml:space="preserve"> prior to or after promotion.  Ability to print all the reports for the current as well as the next school year.  Ability to print birthday reports for the entire school for each month; includes date, student and grade.</w:t>
      </w:r>
    </w:p>
    <w:p w:rsidR="00516919" w:rsidRDefault="00F91231" w:rsidP="007E6F71">
      <w:pPr>
        <w:ind w:firstLine="720"/>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0288" behindDoc="1" locked="0" layoutInCell="1" allowOverlap="1">
                <wp:simplePos x="0" y="0"/>
                <wp:positionH relativeFrom="column">
                  <wp:posOffset>-76200</wp:posOffset>
                </wp:positionH>
                <wp:positionV relativeFrom="paragraph">
                  <wp:posOffset>80010</wp:posOffset>
                </wp:positionV>
                <wp:extent cx="6905625" cy="247650"/>
                <wp:effectExtent l="19050" t="24130" r="19050" b="234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5625" cy="2476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3F5BBA" id="AutoShape 4" o:spid="_x0000_s1026" style="position:absolute;margin-left:-6pt;margin-top:6.3pt;width:543.7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" fillcolor="#4f81bd [3204]" strokecolor="#f2f2f2 [3041]" strokeweight="3pt">
                <v:shadow color="#243f60 [1604]" opacity=".5" offset="1pt"/>
              </v:roundrect>
            </w:pict>
          </mc:Fallback>
        </mc:AlternateContent>
      </w:r>
    </w:p>
    <w:p w:rsidR="00DC4AC9" w:rsidRPr="00F527F0" w:rsidRDefault="00516919" w:rsidP="00F527F0">
      <w:pPr>
        <w:jc w:val="center"/>
        <w:rPr>
          <w:rFonts w:ascii="Times New Roman" w:hAnsi="Times New Roman" w:cs="Times New Roman"/>
          <w:color w:val="FFFFFF" w:themeColor="background1"/>
          <w:sz w:val="18"/>
          <w:szCs w:val="18"/>
        </w:rPr>
      </w:pPr>
      <w:r w:rsidRPr="00F527F0">
        <w:rPr>
          <w:rFonts w:ascii="Times New Roman" w:hAnsi="Times New Roman" w:cs="Times New Roman"/>
          <w:color w:val="FFFFFF" w:themeColor="background1"/>
          <w:sz w:val="18"/>
          <w:szCs w:val="18"/>
        </w:rPr>
        <w:t xml:space="preserve">Theta Discoveries, Inc., 734 Franklin Avenue, #322, Garden City, NY 11530 – 516-358-0998 – </w:t>
      </w:r>
      <w:hyperlink r:id="rId6" w:history="1">
        <w:r w:rsidRPr="00F527F0">
          <w:rPr>
            <w:rStyle w:val="Hyperlink"/>
            <w:rFonts w:ascii="Times New Roman" w:hAnsi="Times New Roman" w:cs="Times New Roman"/>
            <w:color w:val="FFFFFF" w:themeColor="background1"/>
            <w:sz w:val="18"/>
            <w:szCs w:val="18"/>
          </w:rPr>
          <w:t>www.thetadiscoveries.com</w:t>
        </w:r>
      </w:hyperlink>
    </w:p>
    <w:sectPr w:rsidR="00DC4AC9" w:rsidRPr="00F527F0" w:rsidSect="00AE4D96">
      <w:pgSz w:w="12240" w:h="15840" w:code="1"/>
      <w:pgMar w:top="720" w:right="720" w:bottom="720" w:left="72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F9"/>
    <w:rsid w:val="001E38B8"/>
    <w:rsid w:val="001F5E7C"/>
    <w:rsid w:val="002C5E8B"/>
    <w:rsid w:val="0032737D"/>
    <w:rsid w:val="00516919"/>
    <w:rsid w:val="00585264"/>
    <w:rsid w:val="0060672A"/>
    <w:rsid w:val="0066171A"/>
    <w:rsid w:val="00757EF9"/>
    <w:rsid w:val="00770859"/>
    <w:rsid w:val="007A2564"/>
    <w:rsid w:val="007E6F71"/>
    <w:rsid w:val="00911ABB"/>
    <w:rsid w:val="00925812"/>
    <w:rsid w:val="00A273AB"/>
    <w:rsid w:val="00AC4C2A"/>
    <w:rsid w:val="00AE4D96"/>
    <w:rsid w:val="00B33DCE"/>
    <w:rsid w:val="00DC4AC9"/>
    <w:rsid w:val="00DC5C5C"/>
    <w:rsid w:val="00DE4682"/>
    <w:rsid w:val="00E16EBD"/>
    <w:rsid w:val="00F527F0"/>
    <w:rsid w:val="00F9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2CC56C1C"/>
  <w15:docId w15:val="{CD96A8D1-A4C5-44E7-90DB-5BB53579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6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19"/>
    <w:rPr>
      <w:color w:val="0000FF" w:themeColor="hyperlink"/>
      <w:u w:val="single"/>
    </w:rPr>
  </w:style>
  <w:style w:type="paragraph" w:styleId="BalloonText">
    <w:name w:val="Balloon Text"/>
    <w:basedOn w:val="Normal"/>
    <w:link w:val="BalloonTextChar"/>
    <w:uiPriority w:val="99"/>
    <w:semiHidden/>
    <w:unhideWhenUsed/>
    <w:rsid w:val="005169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adiscoverie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LStattel</dc:creator>
  <cp:lastModifiedBy>Laura Mulvey</cp:lastModifiedBy>
  <cp:revision>2</cp:revision>
  <cp:lastPrinted>2017-04-21T17:15:00Z</cp:lastPrinted>
  <dcterms:created xsi:type="dcterms:W3CDTF">2017-08-18T14:14:00Z</dcterms:created>
  <dcterms:modified xsi:type="dcterms:W3CDTF">2017-08-18T14:14:00Z</dcterms:modified>
</cp:coreProperties>
</file>