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0F2B" w14:textId="77777777" w:rsidR="00BE26A8" w:rsidRPr="00335C63" w:rsidRDefault="00BE26A8" w:rsidP="000F4170">
      <w:pPr>
        <w:spacing w:line="276" w:lineRule="auto" w:after="80" w:before="0"/>
        <w:jc w:val="center"/>
        <w:rPr>
          <w:rFonts w:ascii="Times New Roman" w:eastAsia="DengXian" w:hAnsi="Times New Roman" w:cs="Times New Roman"/>
          <w:b/>
          <w:noProof/>
          <w:kern w:val="20"/>
          <w:sz w:val="24"/>
          <w:szCs w:val="24"/>
          <w:lang w:val="en-MY" w:eastAsia="en-MY"/>
        </w:rPr>
      </w:pPr>
    </w:p>
    <w:p w14:paraId="3BD1B3D2" w14:textId="77777777" w:rsidR="00BE26A8" w:rsidRPr="000F4170" w:rsidRDefault="00BE26A8" w:rsidP="000F4170">
      <w:pPr>
        <w:spacing w:line="276" w:lineRule="auto" w:after="120" w:before="0"/>
        <w:jc w:val="center"/>
        <w:rPr>
          <w:rFonts w:ascii="Times New Roman" w:eastAsia="DengXian" w:hAnsi="Times New Roman" w:cs="Times New Roman"/>
          <w:b/>
          <w:noProof/>
          <w:kern w:val="20"/>
          <w:sz w:val="28"/>
          <w:szCs w:val="28"/>
          <w:lang w:val="en-MY" w:eastAsia="en-MY"/>
        </w:rPr>
      </w:pPr>
      <w:r w:rsidRPr="000F4170">
        <w:rPr>
          <w:rFonts w:ascii="Times New Roman" w:eastAsia="Times New Roman" w:hAnsi="Times New Roman" w:cs="Times New Roman"/>
          <w:b/>
          <w:noProof/>
          <w:kern w:val="20"/>
          <w:sz w:val="32"/>
          <w:szCs w:val="28"/>
          <w:lang w:val="en-MY" w:eastAsia="en-MY"/>
        </w:rPr>
        <w:t>CAPSTONE PROJECT 1</w:t>
      </w:r>
    </w:p>
    <w:p w14:paraId="76EC58E6" w14:textId="77777777" w:rsidR="00BE26A8" w:rsidRPr="000F4170" w:rsidRDefault="00BE26A8" w:rsidP="000F4170">
      <w:pPr>
        <w:spacing w:line="276" w:lineRule="auto" w:after="560" w:before="0"/>
        <w:jc w:val="center"/>
        <w:rPr>
          <w:rFonts w:ascii="Times New Roman" w:eastAsia="DengXian" w:hAnsi="Times New Roman" w:cs="Times New Roman"/>
          <w:b/>
          <w:noProof/>
          <w:kern w:val="20"/>
          <w:sz w:val="28"/>
          <w:szCs w:val="28"/>
          <w:lang w:val="en-MY" w:eastAsia="en-MY"/>
        </w:rPr>
      </w:pPr>
      <w:r w:rsidRPr="000F4170">
        <w:rPr>
          <w:rFonts w:ascii="Times New Roman" w:eastAsia="Times New Roman" w:hAnsi="Times New Roman" w:cs="Times New Roman"/>
          <w:b/>
          <w:noProof/>
          <w:kern w:val="20"/>
          <w:sz w:val="28"/>
          <w:szCs w:val="28"/>
          <w:lang w:val="en-MY" w:eastAsia="en-MY"/>
        </w:rPr>
        <w:t>Proposal</w:t>
      </w:r>
    </w:p>
    <w:p w14:paraId="641B790C" w14:textId="77777777" w:rsidR="00BE26A8" w:rsidRPr="00335C63" w:rsidRDefault="00BE26A8" w:rsidP="000F4170">
      <w:pPr>
        <w:spacing w:line="276" w:lineRule="auto" w:after="80" w:before="0"/>
        <w:jc w:val="center"/>
        <w:rPr>
          <w:rFonts w:ascii="Times New Roman" w:eastAsia="DengXian" w:hAnsi="Times New Roman" w:cs="Times New Roman"/>
          <w:b/>
          <w:kern w:val="20"/>
          <w:sz w:val="24"/>
          <w:szCs w:val="24"/>
          <w:lang w:val="en-MY" w:eastAsia="zh-CN"/>
        </w:rPr>
      </w:pPr>
    </w:p>
    <w:p w14:paraId="0CFFA731" w14:textId="77777777" w:rsidR="00BE26A8" w:rsidRPr="000F4170" w:rsidRDefault="00BE26A8" w:rsidP="000F4170">
      <w:pPr>
        <w:spacing w:line="276" w:lineRule="auto" w:after="160" w:before="0"/>
        <w:jc w:val="center"/>
        <w:rPr>
          <w:rFonts w:ascii="Times New Roman" w:eastAsia="DengXian" w:hAnsi="Times New Roman" w:cs="Times New Roman"/>
          <w:bCs/>
          <w:kern w:val="20"/>
          <w:sz w:val="24"/>
          <w:szCs w:val="24"/>
          <w:lang w:val="en-MY" w:eastAsia="zh-CN"/>
        </w:rPr>
      </w:pPr>
      <w:r w:rsidRPr="000F4170">
        <w:rPr>
          <w:rFonts w:ascii="Times New Roman" w:eastAsia="Times New Roman" w:hAnsi="Times New Roman" w:cs="Times New Roman"/>
          <w:b/>
          <w:bCs/>
          <w:kern w:val="20"/>
          <w:sz w:val="24"/>
          <w:szCs w:val="24"/>
          <w:lang w:val="en-MY" w:eastAsia="zh-CN"/>
        </w:rPr>
        <w:t>Project Title</w:t>
      </w:r>
    </w:p>
    <w:p w14:paraId="46BDB082" w14:textId="77777777" w:rsidR="00BE26A8" w:rsidRPr="00335C63" w:rsidRDefault="00BE26A8" w:rsidP="000F4170">
      <w:pPr>
        <w:spacing w:line="276" w:lineRule="auto" w:after="560" w:before="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8"/>
          <w:szCs w:val="24"/>
          <w:lang w:val="en-MY" w:eastAsia="zh-CN"/>
        </w:rPr>
        <w:t>Machine Learning-Based Spatial-Temporal Analytics for Pest Recurrence and Optimization of Pest Control Operations</w:t>
      </w:r>
    </w:p>
    <w:p w14:paraId="76293D6B" w14:textId="77777777" w:rsidR="00BE26A8" w:rsidRPr="00335C63" w:rsidRDefault="00BE26A8" w:rsidP="000F4170">
      <w:pPr>
        <w:spacing w:line="276" w:lineRule="auto" w:after="80" w:before="0"/>
        <w:jc w:val="center"/>
        <w:rPr>
          <w:rFonts w:ascii="Times New Roman" w:eastAsia="DengXian" w:hAnsi="Times New Roman" w:cs="Times New Roman"/>
          <w:b/>
          <w:bCs/>
          <w:kern w:val="20"/>
          <w:sz w:val="24"/>
          <w:szCs w:val="24"/>
          <w:lang w:val="en-MY" w:eastAsia="zh-CN"/>
        </w:rPr>
      </w:pPr>
    </w:p>
    <w:p w14:paraId="27263C0A" w14:textId="77777777" w:rsidR="00BE26A8" w:rsidRPr="000F4170" w:rsidRDefault="00BE26A8" w:rsidP="000F4170">
      <w:pPr>
        <w:spacing w:line="276" w:lineRule="auto" w:after="160" w:before="0"/>
        <w:jc w:val="center"/>
        <w:rPr>
          <w:rFonts w:ascii="Times New Roman" w:eastAsia="DengXian" w:hAnsi="Times New Roman" w:cs="Times New Roman"/>
          <w:kern w:val="20"/>
          <w:sz w:val="24"/>
          <w:szCs w:val="24"/>
          <w:lang w:val="en-MY" w:eastAsia="zh-CN"/>
        </w:rPr>
      </w:pPr>
      <w:r w:rsidRPr="000F4170">
        <w:rPr>
          <w:rFonts w:ascii="Times New Roman" w:eastAsia="Times New Roman" w:hAnsi="Times New Roman" w:cs="Times New Roman"/>
          <w:b/>
          <w:kern w:val="20"/>
          <w:sz w:val="24"/>
          <w:szCs w:val="24"/>
          <w:lang w:val="en-MY" w:eastAsia="zh-CN"/>
        </w:rPr>
        <w:t>By</w:t>
      </w:r>
    </w:p>
    <w:p w14:paraId="00DA2361" w14:textId="77777777" w:rsidR="00BE26A8" w:rsidRPr="00335C63" w:rsidRDefault="00BE26A8" w:rsidP="000F4170">
      <w:pPr>
        <w:spacing w:line="276" w:lineRule="auto" w:after="40" w:before="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Thevesh A/L Chandran</w:t>
      </w:r>
    </w:p>
    <w:p w14:paraId="4B8BE840" w14:textId="77777777" w:rsidR="00BE26A8" w:rsidRPr="00335C63" w:rsidRDefault="00BE26A8" w:rsidP="000F4170">
      <w:pPr>
        <w:spacing w:line="276" w:lineRule="auto" w:after="480" w:before="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24017717</w:t>
      </w:r>
    </w:p>
    <w:p w14:paraId="5159B8F1" w14:textId="77777777" w:rsidR="00BE26A8" w:rsidRPr="00335C63" w:rsidRDefault="00BE26A8" w:rsidP="000F4170">
      <w:pPr>
        <w:spacing w:line="276" w:lineRule="auto" w:after="80" w:before="0"/>
        <w:jc w:val="center"/>
        <w:rPr>
          <w:rFonts w:ascii="Times New Roman" w:eastAsia="DengXian" w:hAnsi="Times New Roman" w:cs="Times New Roman"/>
          <w:b/>
          <w:bCs/>
          <w:kern w:val="20"/>
          <w:sz w:val="24"/>
          <w:szCs w:val="24"/>
          <w:lang w:val="en-MY" w:eastAsia="zh-CN"/>
        </w:rPr>
      </w:pPr>
    </w:p>
    <w:p w14:paraId="7A18C4BF" w14:textId="77777777" w:rsidR="00BE26A8" w:rsidRPr="000F4170" w:rsidRDefault="00BE26A8" w:rsidP="000F4170">
      <w:pPr>
        <w:spacing w:line="276" w:lineRule="auto" w:after="160" w:before="0"/>
        <w:jc w:val="center"/>
        <w:rPr>
          <w:rFonts w:ascii="Times New Roman" w:eastAsia="Arial"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Program Name</w:t>
      </w:r>
    </w:p>
    <w:p w14:paraId="2340D35E" w14:textId="77777777" w:rsidR="00BE26A8" w:rsidRPr="00335C63" w:rsidRDefault="00BE26A8" w:rsidP="000F4170">
      <w:pPr>
        <w:spacing w:line="276" w:lineRule="auto" w:after="480" w:before="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sz w:val="24"/>
          <w:szCs w:val="24"/>
          <w:lang w:val="en" w:eastAsia="en-GB"/>
        </w:rPr>
        <w:t>Bachelor of Information Systems Honours (Data Analytics)</w:t>
      </w:r>
    </w:p>
    <w:p w14:paraId="08F979EB" w14:textId="77777777" w:rsidR="00BE26A8" w:rsidRPr="00335C63" w:rsidRDefault="00BE26A8" w:rsidP="000F4170">
      <w:pPr>
        <w:spacing w:line="276" w:lineRule="auto" w:after="80" w:before="0"/>
        <w:jc w:val="center"/>
        <w:rPr>
          <w:rFonts w:ascii="Times New Roman" w:eastAsia="DengXian" w:hAnsi="Times New Roman" w:cs="Times New Roman"/>
          <w:b/>
          <w:sz w:val="24"/>
          <w:szCs w:val="24"/>
          <w:lang w:val="en-MY" w:eastAsia="zh-CN"/>
        </w:rPr>
      </w:pPr>
    </w:p>
    <w:p w14:paraId="65C6EBC2" w14:textId="77777777" w:rsidR="00BE26A8" w:rsidRPr="000F4170" w:rsidRDefault="00BE26A8" w:rsidP="000F4170">
      <w:pPr>
        <w:spacing w:line="276" w:lineRule="auto" w:after="160" w:before="0"/>
        <w:jc w:val="center"/>
        <w:rPr>
          <w:rFonts w:ascii="Times New Roman" w:eastAsia="Times New Roman"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Supervisor</w:t>
      </w:r>
    </w:p>
    <w:p w14:paraId="1B4F64F2" w14:textId="77777777" w:rsidR="00BE26A8" w:rsidRPr="00AC6BFC" w:rsidRDefault="00BE26A8" w:rsidP="000F4170">
      <w:pPr>
        <w:spacing w:line="276" w:lineRule="auto" w:after="720" w:before="0"/>
        <w:jc w:val="center"/>
        <w:rPr>
          <w:rFonts w:ascii="Times New Roman" w:eastAsia="Times New Roman" w:hAnsi="Times New Roman" w:cs="Times New Roman"/>
          <w:b/>
          <w:bCs/>
          <w:sz w:val="24"/>
          <w:szCs w:val="24"/>
          <w:lang w:val="en" w:eastAsia="en-GB"/>
        </w:rPr>
      </w:pPr>
      <w:r w:rsidRPr="00335C63">
        <w:rPr>
          <w:rFonts w:ascii="Times New Roman" w:hAnsi="Times New Roman" w:cs="Times New Roman" w:eastAsia="Times New Roman"/>
          <w:b/>
          <w:bCs/>
          <w:sz w:val="24"/>
          <w:szCs w:val="24"/>
        </w:rPr>
        <w:t>FARIS SYAHMI SAMIDI</w:t>
      </w:r>
    </w:p>
    <w:p w14:paraId="4FE047DE" w14:textId="77777777" w:rsidR="00BE26A8" w:rsidRDefault="00BE26A8" w:rsidP="000F4170">
      <w:pPr>
        <w:spacing w:line="276" w:lineRule="auto" w:after="80" w:before="0"/>
        <w:jc w:val="center"/>
        <w:rPr>
          <w:rFonts w:ascii="Times New Roman" w:eastAsia="Times New Roman" w:hAnsi="Times New Roman" w:cs="Times New Roman"/>
          <w:sz w:val="24"/>
          <w:szCs w:val="24"/>
          <w:lang w:val="en" w:eastAsia="en-GB"/>
        </w:rPr>
      </w:pPr>
    </w:p>
    <w:p w14:paraId="6A31F313" w14:textId="77777777" w:rsidR="00552BF9" w:rsidRPr="00335C63" w:rsidRDefault="00552BF9" w:rsidP="000F4170">
      <w:pPr>
        <w:spacing w:line="276" w:lineRule="auto" w:after="80" w:before="0"/>
        <w:jc w:val="center"/>
        <w:rPr>
          <w:rFonts w:ascii="Times New Roman" w:eastAsia="Times New Roman" w:hAnsi="Times New Roman" w:cs="Times New Roman"/>
          <w:sz w:val="24"/>
          <w:szCs w:val="24"/>
          <w:lang w:val="en" w:eastAsia="en-GB"/>
        </w:rPr>
      </w:pPr>
    </w:p>
    <w:p w14:paraId="19472188" w14:textId="77777777" w:rsidR="00BE26A8" w:rsidRPr="00335C63" w:rsidRDefault="00BE26A8" w:rsidP="000F4170">
      <w:pPr>
        <w:spacing w:line="276" w:lineRule="auto" w:after="80" w:before="0"/>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b w:val="0"/>
          <w:sz w:val="24"/>
          <w:szCs w:val="24"/>
          <w:lang w:val="en" w:eastAsia="en-GB"/>
        </w:rPr>
        <w:t>Semester: April 2026</w:t>
      </w:r>
    </w:p>
    <w:p w14:paraId="58DE1B06" w14:textId="77777777" w:rsidR="00BE26A8" w:rsidRPr="00335C63" w:rsidRDefault="00BE26A8" w:rsidP="000F4170">
      <w:pPr>
        <w:spacing w:line="276" w:lineRule="auto" w:after="880" w:before="0"/>
        <w:jc w:val="center"/>
        <w:rPr>
          <w:rFonts w:ascii="Times New Roman" w:eastAsia="Arial" w:hAnsi="Times New Roman" w:cs="Times New Roman"/>
          <w:sz w:val="24"/>
          <w:szCs w:val="24"/>
          <w:lang w:val="en" w:eastAsia="en-GB"/>
        </w:rPr>
      </w:pPr>
      <w:r w:rsidRPr="00335C63">
        <w:rPr>
          <w:rFonts w:ascii="Times New Roman" w:eastAsia="Times New Roman" w:hAnsi="Times New Roman" w:cs="Times New Roman"/>
          <w:b w:val="0"/>
          <w:sz w:val="24"/>
          <w:szCs w:val="24"/>
          <w:lang w:val="en" w:eastAsia="en-GB"/>
        </w:rPr>
        <w:t xml:space="preserve">Date: </w:t>
      </w:r>
      <w:r w:rsidR="00891518">
        <w:rPr>
          <w:rFonts w:ascii="Times New Roman" w:eastAsia="Times New Roman" w:hAnsi="Times New Roman" w:cs="Times New Roman"/>
          <w:b w:val="0"/>
          <w:noProof/>
          <w:sz w:val="24"/>
          <w:szCs w:val="24"/>
          <w:lang w:val="en-MY" w:eastAsia="en-GB"/>
        </w:rPr>
        <w:t>23 June, 2026</w:t>
      </w:r>
    </w:p>
    <w:p w14:paraId="5BBF8CFF" w14:textId="77777777" w:rsidR="00BE26A8" w:rsidRDefault="00BE26A8" w:rsidP="000F4170">
      <w:pPr>
        <w:spacing w:line="276" w:lineRule="auto" w:after="80" w:before="0"/>
        <w:jc w:val="center"/>
        <w:rPr>
          <w:rFonts w:ascii="Times New Roman" w:eastAsia="Times New Roman" w:hAnsi="Times New Roman" w:cs="Times New Roman"/>
          <w:sz w:val="24"/>
          <w:szCs w:val="24"/>
          <w:lang w:val="en" w:eastAsia="en-GB"/>
        </w:rPr>
      </w:pPr>
    </w:p>
    <w:p w14:paraId="5E90E7FA" w14:textId="77777777" w:rsidR="00552BF9" w:rsidRPr="00335C63" w:rsidRDefault="00552BF9" w:rsidP="000F4170">
      <w:pPr>
        <w:spacing w:line="276" w:lineRule="auto" w:after="80" w:before="0"/>
        <w:jc w:val="center"/>
        <w:rPr>
          <w:rFonts w:ascii="Times New Roman" w:eastAsia="Times New Roman" w:hAnsi="Times New Roman" w:cs="Times New Roman"/>
          <w:sz w:val="24"/>
          <w:szCs w:val="24"/>
          <w:lang w:val="en" w:eastAsia="en-GB"/>
        </w:rPr>
      </w:pPr>
    </w:p>
    <w:p w14:paraId="78205DC0" w14:textId="77777777" w:rsidR="00BE26A8" w:rsidRPr="00335C63" w:rsidRDefault="00BE26A8" w:rsidP="000F4170">
      <w:pPr>
        <w:spacing w:line="276" w:lineRule="auto" w:after="80" w:before="0"/>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b/>
          <w:sz w:val="24"/>
          <w:szCs w:val="24"/>
          <w:lang w:val="en" w:eastAsia="en-GB"/>
        </w:rPr>
        <w:t>School of Computing and Artificial Intelligence</w:t>
      </w:r>
    </w:p>
    <w:p w14:paraId="0CB9793A" w14:textId="77777777" w:rsidR="00BE26A8" w:rsidRPr="00335C63" w:rsidRDefault="00BE26A8" w:rsidP="000F4170">
      <w:pPr>
        <w:spacing w:line="276" w:lineRule="auto" w:after="80" w:before="0"/>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b/>
          <w:sz w:val="24"/>
          <w:szCs w:val="24"/>
          <w:lang w:val="en" w:eastAsia="en-GB"/>
        </w:rPr>
        <w:t>Faculty of Engineering and Technology</w:t>
      </w:r>
    </w:p>
    <w:p w14:paraId="426C5DE4" w14:textId="77777777" w:rsidR="00E9478E" w:rsidRPr="00335C63" w:rsidRDefault="00BE26A8" w:rsidP="000F4170">
      <w:pPr>
        <w:spacing w:line="276" w:lineRule="auto" w:after="0" w:before="0"/>
        <w:jc w:val="center"/>
        <w:rPr>
          <w:rFonts w:ascii="Times New Roman" w:eastAsia="Times New Roman" w:hAnsi="Times New Roman" w:cs="Times New Roman"/>
          <w:sz w:val="24"/>
          <w:szCs w:val="24"/>
          <w:lang w:val="en" w:eastAsia="en-GB"/>
        </w:rPr>
        <w:sectPr w:rsidR="00E9478E" w:rsidRPr="00335C63" w:rsidSect="00E9478E">
          <w:footerReference w:type="default" r:id="rId8"/>
          <w:headerReference w:type="default" r:id="rId12"/>
          <w:pgSz w:w="11906" w:h="16838" w:code="9"/>
          <w:pgMar w:top="1440" w:right="1440" w:bottom="1440" w:left="1440" w:header="720" w:footer="720" w:gutter="0"/>
          <w:cols w:space="720"/>
          <w:docGrid w:linePitch="360"/>
        </w:sectPr>
      </w:pPr>
      <w:r w:rsidRPr="00335C63">
        <w:rPr>
          <w:rFonts w:ascii="Times New Roman" w:eastAsia="Times New Roman" w:hAnsi="Times New Roman" w:cs="Times New Roman"/>
          <w:b/>
          <w:sz w:val="24"/>
          <w:szCs w:val="24"/>
          <w:lang w:val="en" w:eastAsia="en-GB"/>
        </w:rPr>
        <w:t>Sunway Universit</w:t>
      </w:r>
      <w:r w:rsidR="00E9478E" w:rsidRPr="00335C63">
        <w:rPr>
          <w:rFonts w:ascii="Times New Roman" w:eastAsia="Times New Roman" w:hAnsi="Times New Roman" w:cs="Times New Roman"/>
          <w:b/>
          <w:sz w:val="24"/>
          <w:szCs w:val="24"/>
          <w:lang w:val="en" w:eastAsia="en-GB"/>
        </w:rPr>
        <w:t>y</w:t>
      </w:r>
    </w:p>
    <w:p w14:paraId="525ADA08" w14:textId="77777777" w:rsidR="0084730D" w:rsidRPr="000F4170" w:rsidRDefault="00357319" w:rsidP="000F4170">
      <w:pPr>
        <w:pStyle w:val="Heading1"/>
        <w:spacing w:before="240" w:line="360" w:lineRule="auto" w:after="120"/>
        <w:jc w:val="left"/>
        <w:rPr>
          <w:rFonts w:ascii="Times New Roman" w:hAnsi="Times New Roman" w:cs="Times New Roman"/>
          <w:sz w:val="28"/>
        </w:rPr>
      </w:pPr>
      <w:r w:rsidRPr="000F4170">
        <w:rPr>
          <w:rFonts w:ascii="Times New Roman" w:hAnsi="Times New Roman" w:cs="Times New Roman" w:eastAsia="Times New Roman"/>
          <w:b/>
          <w:color w:val="000000"/>
          <w:sz w:val="24"/>
        </w:rPr>
        <w:lastRenderedPageBreak/>
        <w:t>Abstract</w:t>
      </w:r>
    </w:p>
    <w:p w14:paraId="026B3575" w14:textId="77777777" w:rsidR="00891518"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This Capstone Project 1 (CP1) proposal presents the planning and design phase for </w:t>
      </w:r>
      <w:r w:rsidR="009656FF" w:rsidRPr="00335C63">
        <w:rPr>
          <w:rFonts w:ascii="Times New Roman" w:hAnsi="Times New Roman" w:cs="Times New Roman" w:eastAsia="Times New Roman"/>
          <w:sz w:val="24"/>
          <w:szCs w:val="24"/>
        </w:rPr>
        <w:t xml:space="preserve">the upcoming </w:t>
      </w:r>
      <w:r w:rsidRPr="00335C63">
        <w:rPr>
          <w:rFonts w:ascii="Times New Roman" w:hAnsi="Times New Roman" w:cs="Times New Roman" w:eastAsia="Times New Roman"/>
          <w:sz w:val="24"/>
          <w:szCs w:val="24"/>
        </w:rPr>
        <w:t>Capstone Project 2 (CP2) implementation.</w:t>
      </w:r>
      <w:r w:rsidR="009656FF" w:rsidRPr="00335C63">
        <w:rPr>
          <w:rFonts w:ascii="Times New Roman" w:hAnsi="Times New Roman" w:cs="Times New Roman" w:eastAsia="Times New Roman"/>
          <w:sz w:val="24"/>
          <w:szCs w:val="24"/>
        </w:rPr>
        <w:t xml:space="preserve"> The company that I have chosen to implement this project is </w:t>
      </w:r>
      <w:proofErr w:type="spellStart"/>
      <w:r w:rsidRPr="00335C63">
        <w:rPr>
          <w:rFonts w:ascii="Times New Roman" w:hAnsi="Times New Roman" w:cs="Times New Roman" w:eastAsia="Times New Roman"/>
          <w:sz w:val="24"/>
          <w:szCs w:val="24"/>
        </w:rPr>
        <w:t>Nomobug</w:t>
      </w:r>
      <w:proofErr w:type="spellEnd"/>
      <w:r w:rsidRPr="00335C63">
        <w:rPr>
          <w:rFonts w:ascii="Times New Roman" w:hAnsi="Times New Roman" w:cs="Times New Roman" w:eastAsia="Times New Roman"/>
          <w:sz w:val="24"/>
          <w:szCs w:val="24"/>
        </w:rPr>
        <w:t xml:space="preserve"> Pest Control Services</w:t>
      </w:r>
      <w:r w:rsidR="009656FF" w:rsidRPr="00335C63">
        <w:rPr>
          <w:rFonts w:ascii="Times New Roman" w:hAnsi="Times New Roman" w:cs="Times New Roman" w:eastAsia="Times New Roman"/>
          <w:sz w:val="24"/>
          <w:szCs w:val="24"/>
        </w:rPr>
        <w:t xml:space="preserve"> because I have been working </w:t>
      </w:r>
      <w:r w:rsidR="00106A8F" w:rsidRPr="00335C63">
        <w:rPr>
          <w:rFonts w:ascii="Times New Roman" w:hAnsi="Times New Roman" w:cs="Times New Roman" w:eastAsia="Times New Roman"/>
          <w:sz w:val="24"/>
          <w:szCs w:val="24"/>
        </w:rPr>
        <w:t>with</w:t>
      </w:r>
      <w:r w:rsidR="009656FF" w:rsidRPr="00335C63">
        <w:rPr>
          <w:rFonts w:ascii="Times New Roman" w:hAnsi="Times New Roman" w:cs="Times New Roman" w:eastAsia="Times New Roman"/>
          <w:sz w:val="24"/>
          <w:szCs w:val="24"/>
        </w:rPr>
        <w:t xml:space="preserve"> them as a part-time admin and I have managed to identify many gaps in their current workflow</w:t>
      </w:r>
      <w:r w:rsidR="00106A8F" w:rsidRPr="00335C63">
        <w:rPr>
          <w:rFonts w:ascii="Times New Roman" w:hAnsi="Times New Roman" w:cs="Times New Roman" w:eastAsia="Times New Roman"/>
          <w:sz w:val="24"/>
          <w:szCs w:val="24"/>
        </w:rPr>
        <w:t>. C</w:t>
      </w:r>
      <w:r w:rsidRPr="00335C63">
        <w:rPr>
          <w:rFonts w:ascii="Times New Roman" w:hAnsi="Times New Roman" w:cs="Times New Roman" w:eastAsia="Times New Roman"/>
          <w:sz w:val="24"/>
          <w:szCs w:val="24"/>
        </w:rPr>
        <w:t xml:space="preserve">urrently </w:t>
      </w:r>
      <w:r w:rsidR="00106A8F" w:rsidRPr="00335C63">
        <w:rPr>
          <w:rFonts w:ascii="Times New Roman" w:hAnsi="Times New Roman" w:cs="Times New Roman" w:eastAsia="Times New Roman"/>
          <w:sz w:val="24"/>
          <w:szCs w:val="24"/>
        </w:rPr>
        <w:t xml:space="preserve">the company </w:t>
      </w:r>
      <w:r w:rsidRPr="00335C63">
        <w:rPr>
          <w:rFonts w:ascii="Times New Roman" w:hAnsi="Times New Roman" w:cs="Times New Roman" w:eastAsia="Times New Roman"/>
          <w:sz w:val="24"/>
          <w:szCs w:val="24"/>
        </w:rPr>
        <w:t xml:space="preserve">records valuable operational data in Google Sheets and Google Calendar, including leads, sales, services, warranty claims, refunds, payments,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records, technician assignments, and service scheduling. However, the data is distributed across separate files and is mainly used for recording rather than business intelligence. This limits management's ability to identify high-risk service areas, recurring pest problems, weather-associated service risks, treatment difficulty, technician review indicators, and effective upsell opportunities.</w:t>
      </w:r>
    </w:p>
    <w:p w14:paraId="65EE8718" w14:textId="77777777" w:rsidR="00891518" w:rsidRDefault="00891518" w:rsidP="000F4170">
      <w:pPr>
        <w:spacing w:line="360" w:lineRule="auto" w:after="120"/>
        <w:jc w:val="both"/>
        <w:rPr>
          <w:rFonts w:ascii="Times New Roman" w:hAnsi="Times New Roman" w:cs="Times New Roman"/>
          <w:sz w:val="24"/>
          <w:szCs w:val="24"/>
        </w:rPr>
      </w:pPr>
    </w:p>
    <w:p w14:paraId="0AC18967" w14:textId="77777777" w:rsidR="00891518" w:rsidRPr="003E4481" w:rsidRDefault="00357319" w:rsidP="000F4170">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This project proposes a web-based decision-support dashboard supported by a data engineering pipeline. In CP2, the system is planned to extract operational data from Google Sheets, Google Calendar, CSV/Excel files, and weather APIs, then clean, validate, transform, and present the results through management dashboards. Possible platforms for this workflow include BigQuery or another cloud analytics warehouse for storage, dbt Core or SQL-based scripts for transformation and testing, Apache Airflow or scheduled Python jobs for orchestration, and Apache Superset or another BI platform for visualisation. These tools are treated as possible platform choices at CP1 stage, not fixed implementation decisions. The final selection will be confirmed in CP2 after data profiling, feasibility testing, setup effort, cost, and supervisor/company feedback.</w:t>
      </w:r>
    </w:p>
    <w:p w14:paraId="3DC0EB31" w14:textId="77777777" w:rsidR="00891518" w:rsidRDefault="00891518" w:rsidP="000F4170">
      <w:pPr>
        <w:spacing w:line="360" w:lineRule="auto" w:after="120"/>
        <w:jc w:val="both"/>
        <w:rPr>
          <w:rFonts w:ascii="Times New Roman" w:hAnsi="Times New Roman" w:cs="Times New Roman"/>
          <w:sz w:val="24"/>
          <w:szCs w:val="24"/>
        </w:rPr>
      </w:pPr>
    </w:p>
    <w:p w14:paraId="2D0B882D" w14:textId="77777777" w:rsidR="0084730D"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project deliberately avoids over-complex machine learning because the available warranty dataset is expected to contain approximately 200+ records. Instead, it prioritises explainable spatial-temporal analytics, careful weather association analysis, privacy-conscious reporting, recommendation logging, and prescriptive business rules that are suitable for a real SME environment. A future enhancement may include a local AI explanation layer, such as Ollama or a similar offline model, to generate plain-language suggestions without relying on paid external AI APIs. The expected CP2 outcome is a company-usable analytics system that helps management improve service planning, reduce repeat-problem blind spots, monitor warranty and refund patterns, and make more data-driven upsell and operational decisions.</w:t>
      </w:r>
    </w:p>
    <w:p w14:paraId="0086B1D4" w14:textId="77777777" w:rsidR="003E4481" w:rsidRPr="00335C63" w:rsidRDefault="003E4481" w:rsidP="000F4170">
      <w:pPr>
        <w:spacing w:line="360" w:lineRule="auto" w:after="120"/>
        <w:jc w:val="both"/>
        <w:rPr>
          <w:rFonts w:ascii="Times New Roman" w:hAnsi="Times New Roman" w:cs="Times New Roman"/>
          <w:sz w:val="24"/>
          <w:szCs w:val="24"/>
        </w:rPr>
      </w:pPr>
    </w:p>
    <w:p w14:paraId="2E73E3DD"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Contents</w:t>
      </w:r>
    </w:p>
    <w:p w14:paraId="2EF973FF"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Abstract</w:t>
      </w:r>
    </w:p>
    <w:p w14:paraId="32E3C7E4"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1: Introduction</w:t>
      </w:r>
    </w:p>
    <w:p w14:paraId="67784FE4"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2: Literature Review</w:t>
      </w:r>
    </w:p>
    <w:p w14:paraId="0D9DC469"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3: Methodology</w:t>
      </w:r>
    </w:p>
    <w:p w14:paraId="788496CE"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4: Work Plan and Timeline</w:t>
      </w:r>
    </w:p>
    <w:p w14:paraId="119A528D"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References</w:t>
      </w:r>
    </w:p>
    <w:p w14:paraId="685DAC7C" w14:textId="77777777" w:rsidR="0084730D" w:rsidRPr="00335C63" w:rsidRDefault="00357319" w:rsidP="000F4170">
      <w:pPr>
        <w:keepNext w:val="0"/>
        <w:pageBreakBefore w:val="0"/>
        <w:spacing w:line="360" w:lineRule="auto" w:after="120"/>
        <w:jc w:val="both"/>
        <w:rPr>
          <w:rFonts w:ascii="Times New Roman" w:hAnsi="Times New Roman" w:cs="Times New Roman"/>
          <w:sz w:val="24"/>
          <w:szCs w:val="24"/>
        </w:rPr>
      </w:pPr>
      <w:r>
        <w:rPr>
          <w:rFonts w:ascii="Times New Roman" w:hAnsi="Times New Roman" w:eastAsia="Times New Roman"/>
          <w:sz w:val="24"/>
        </w:rPr>
        <w:t>Appendix A: Data Sources and Planned Use</w:t>
      </w:r>
    </w:p>
    <w:p w14:paraId="6CAEF2E7" w14:textId="77777777" w:rsidR="0084730D" w:rsidRPr="00335C63" w:rsidRDefault="00357319" w:rsidP="000F4170">
      <w:pPr>
        <w:keepNext w:val="0"/>
        <w:pageBreakBefore w:val="0"/>
        <w:spacing w:line="360" w:lineRule="auto" w:after="120"/>
        <w:jc w:val="both"/>
        <w:rPr>
          <w:rFonts w:ascii="Times New Roman" w:hAnsi="Times New Roman" w:cs="Times New Roman"/>
          <w:sz w:val="24"/>
          <w:szCs w:val="24"/>
        </w:rPr>
      </w:pPr>
      <w:r>
        <w:rPr>
          <w:rFonts w:ascii="Times New Roman" w:hAnsi="Times New Roman" w:eastAsia="Times New Roman"/>
          <w:sz w:val="24"/>
        </w:rPr>
        <w:t>Appendix B: Planned Dashboard Outputs</w:t>
      </w:r>
    </w:p>
    <w:p w14:paraId="0EA96A4D" w14:textId="77777777" w:rsidR="0084730D" w:rsidRPr="00335C63" w:rsidRDefault="0084730D" w:rsidP="000F4170">
      <w:pPr>
        <w:spacing w:line="360" w:lineRule="auto" w:after="120"/>
        <w:jc w:val="both"/>
        <w:rPr>
          <w:rFonts w:ascii="Times New Roman" w:hAnsi="Times New Roman" w:cs="Times New Roman"/>
          <w:sz w:val="24"/>
          <w:szCs w:val="24"/>
        </w:rPr>
      </w:pPr>
    </w:p>
    <w:p w14:paraId="145FD27C" w14:textId="77777777" w:rsidR="0084730D" w:rsidRPr="00335C63" w:rsidRDefault="00357319" w:rsidP="00A017C9">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1: Introduction</w:t>
      </w:r>
    </w:p>
    <w:p w14:paraId="3B1A8F9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1.1 Background Study</w:t>
      </w:r>
    </w:p>
    <w:p w14:paraId="0503D566" w14:textId="77777777" w:rsidR="008D6A1A" w:rsidRDefault="00357319" w:rsidP="008D6A1A">
      <w:pPr>
        <w:spacing w:line="360" w:lineRule="auto" w:after="120"/>
        <w:jc w:val="both"/>
        <w:rPr>
          <w:rFonts w:ascii="Times New Roman" w:hAnsi="Times New Roman" w:cs="Times New Roman"/>
          <w:sz w:val="24"/>
          <w:szCs w:val="24"/>
        </w:rPr>
      </w:pPr>
      <w:proofErr w:type="spellStart"/>
      <w:proofErr w:type="spellEnd"/>
      <w:r>
        <w:rPr>
          <w:rFonts w:ascii="Times New Roman" w:hAnsi="Times New Roman" w:eastAsia="Times New Roman"/>
          <w:sz w:val="24"/>
        </w:rPr>
        <w:t>Pest control service companies depend heavily on operational data: customer enquiries, confirmed bookings, pest type, premise type, service date, technician or team assignment, payment status, warranty claims, refund records, and follow-up actions. For small and medium-sized enterprises (SMEs), these records are often maintained in spreadsheets because spreadsheets are flexible, familiar, and low-cost. However, as data volume grows, spreadsheet-based workflows become difficult to analyse across business functions, which is why business intelligence is often recommended for converting scattered operational data into management insight (Ragazou et al., 2023; Gurcan et al., 2023).</w:t>
      </w:r>
    </w:p>
    <w:p w14:paraId="7F1E6458" w14:textId="77777777" w:rsidR="008D6A1A" w:rsidRDefault="008D6A1A" w:rsidP="008D6A1A">
      <w:pPr>
        <w:spacing w:line="360" w:lineRule="auto" w:after="120"/>
        <w:jc w:val="both"/>
        <w:rPr>
          <w:rFonts w:ascii="Times New Roman" w:hAnsi="Times New Roman" w:cs="Times New Roman"/>
          <w:sz w:val="24"/>
          <w:szCs w:val="24"/>
        </w:rPr>
      </w:pPr>
    </w:p>
    <w:p w14:paraId="4BFC904F" w14:textId="77777777" w:rsidR="0084730D" w:rsidRDefault="00357319" w:rsidP="008D6A1A">
      <w:pPr>
        <w:spacing w:line="360" w:lineRule="auto" w:after="120"/>
        <w:jc w:val="both"/>
        <w:rPr>
          <w:rFonts w:ascii="Times New Roman" w:hAnsi="Times New Roman" w:cs="Times New Roman"/>
          <w:sz w:val="24"/>
          <w:szCs w:val="24"/>
        </w:rPr>
      </w:pPr>
      <w:proofErr w:type="spellStart"/>
      <w:r w:rsidRPr="00335C63">
        <w:rPr>
          <w:rFonts w:ascii="Times New Roman" w:hAnsi="Times New Roman" w:cs="Times New Roman" w:eastAsia="Times New Roman"/>
          <w:sz w:val="24"/>
          <w:szCs w:val="24"/>
        </w:rPr>
        <w:t>Nomobug</w:t>
      </w:r>
      <w:proofErr w:type="spellEnd"/>
      <w:r w:rsidRPr="00335C63">
        <w:rPr>
          <w:rFonts w:ascii="Times New Roman" w:hAnsi="Times New Roman" w:cs="Times New Roman" w:eastAsia="Times New Roman"/>
          <w:sz w:val="24"/>
          <w:szCs w:val="24"/>
        </w:rPr>
        <w:t xml:space="preserve"> Pest Control Services is a pest control SME serving residential and commercial customers across Klang Valley and surrounding areas. The company already has multiple operational data sources, including prospect tracking, sales records, payment received records, payment links, warranty claims, refunds, upsell records, and Google Calendar scheduling. These sources contain enough information to support better management decisions, but they are not currently integrated into a structured analytics platform.</w:t>
      </w:r>
    </w:p>
    <w:p w14:paraId="333908C8" w14:textId="77777777" w:rsidR="008D6A1A" w:rsidRPr="00335C63" w:rsidRDefault="008D6A1A" w:rsidP="008D6A1A">
      <w:pPr>
        <w:spacing w:line="360" w:lineRule="auto" w:after="120"/>
        <w:jc w:val="both"/>
        <w:rPr>
          <w:rFonts w:ascii="Times New Roman" w:hAnsi="Times New Roman" w:cs="Times New Roman"/>
          <w:sz w:val="24"/>
          <w:szCs w:val="24"/>
        </w:rPr>
      </w:pPr>
    </w:p>
    <w:p w14:paraId="2E12B195" w14:textId="77777777" w:rsidR="0084730D"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Weather and environmental context are also relevant to the pest control domain. Recent pest and urban ecology studies show that rainfall, flooding, temperature, climate warming, and urban conditions may be associated with pest behaviour or public pest reports, although these relationships are affected by many confounding factors (Hiscox et al., 2025; Richardson et al., 2025; Brimblecombe et al., 2023). Therefore, this project will not claim that weather directly causes pest activity or warranty claims. Instead, it will treat weather data as an associated risk indicator that can help management identify areas requiring closer monitoring.</w:t>
      </w:r>
    </w:p>
    <w:p w14:paraId="1E335B33" w14:textId="77777777" w:rsidR="008D6A1A" w:rsidRPr="00335C63" w:rsidRDefault="008D6A1A" w:rsidP="008D6A1A">
      <w:pPr>
        <w:spacing w:line="360" w:lineRule="auto" w:after="120"/>
        <w:jc w:val="both"/>
        <w:rPr>
          <w:rFonts w:ascii="Times New Roman" w:hAnsi="Times New Roman" w:cs="Times New Roman"/>
          <w:sz w:val="24"/>
          <w:szCs w:val="24"/>
        </w:rPr>
      </w:pPr>
    </w:p>
    <w:p w14:paraId="333E849A" w14:textId="77777777" w:rsidR="0084730D" w:rsidRPr="003E4481" w:rsidRDefault="00357319" w:rsidP="008D6A1A">
      <w:pPr>
        <w:spacing w:line="360" w:lineRule="auto" w:after="120"/>
        <w:jc w:val="both"/>
        <w:rPr>
          <w:rFonts w:ascii="Times New Roman" w:hAnsi="Times New Roman" w:cs="Times New Roman"/>
          <w:sz w:val="28"/>
          <w:szCs w:val="28"/>
        </w:rPr>
      </w:pPr>
      <w:r>
        <w:rPr>
          <w:rFonts w:ascii="Times New Roman" w:hAnsi="Times New Roman" w:eastAsia="Times New Roman"/>
          <w:sz w:val="24"/>
        </w:rPr>
        <w:t>The proposed system is therefore a web-based analytics and decision-support dashboard built on a governed data engineering pipeline. Digital dashboard literature highlights that dashboards are most useful when they combine reliable data, clear visual design, and action-oriented communication (Schulze et al., 2023), while data quality research shows that users need visibility into completeness and reliability before trusting analytical outputs (Blacketer et al., 2021; Fu et al., 2024). During CP2, the system will process operational data from Google Sheets and Google Calendar, enrich service records with weather and location features, store raw and transformed outputs in a suitable analytics storage platform, and present insights through a BI dashboard layer. Specific tools such as BigQuery, dbt Core, Apache Airflow, Docker, and Apache Superset are proposed as possible platforms only. The final platform choices will remain flexible until the actual data structure, cost, deployment effort, and company requirements are tested. The system is intended to support management decision-making, not replace the company's existing workflow.</w:t>
      </w:r>
    </w:p>
    <w:p w14:paraId="0071CFF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1.2 Problem Statement</w:t>
      </w:r>
    </w:p>
    <w:p w14:paraId="29438C79" w14:textId="77777777" w:rsidR="0084730D" w:rsidRPr="00335C63"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Nomobug has useful data, but the data is fragmented and not fully used for decision-making. This is a common challenge in SME analytics, where operational records may exist but are not yet organised into a trusted decision-support workflow (Ragazou et al., 2023; Fu et al., 2024). Management must manually compare separate sheets to understand warranty trends, refund causes, technician review signals, upsell outcomes, and area-based repeat problems. This makes it difficult to answer operational questions quickly and consistently.</w:t>
      </w:r>
    </w:p>
    <w:p w14:paraId="1F70C6B7"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Marketing performance is measured mainly by lead source or campaign volume, not by customer quality, payment completion, refund risk, or repeat purchase behaviour.</w:t>
      </w:r>
    </w:p>
    <w:p w14:paraId="448427C5"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Warranty claims, refunds, and complimentary service records are not consistently linked with original service data, pest type, technician, area, and weather context.</w:t>
      </w:r>
    </w:p>
    <w:p w14:paraId="1CF6852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Treatment difficulty is not measured systematically, so areas with high repeat-problem rate, refund rate, or extra-session demand are not visible in one dashboard.</w:t>
      </w:r>
    </w:p>
    <w:p w14:paraId="385DE29C"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Pest recurrence timing is not analysed, making it difficult to know when follow-up should happen after treatment.</w:t>
      </w:r>
    </w:p>
    <w:p w14:paraId="04CB472D"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Weather and flood indicators are not connected to service dates, even though rainfall and humidity may be useful risk indicators for planning.</w:t>
      </w:r>
    </w:p>
    <w:p w14:paraId="05764E4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Upsell performance is difficult to evaluate because some records show package uptake but not rejected or no-response offers.</w:t>
      </w:r>
    </w:p>
    <w:p w14:paraId="26A5FE31"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Management lacks a single browser-based dashboard that summarises service quality, scheduling, financial, warranty,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patterns by day, week, and month.</w:t>
      </w:r>
    </w:p>
    <w:p w14:paraId="49157611" w14:textId="77777777" w:rsidR="00BB18A2" w:rsidRPr="003E4481" w:rsidRDefault="00000000">
      <w:pPr>
        <w:pStyle w:val="ListBullet"/>
        <w:spacing w:line="360" w:lineRule="auto" w:after="120"/>
        <w:jc w:val="both"/>
        <w:rPr>
          <w:rFonts w:ascii="Times New Roman" w:hAnsi="Times New Roman" w:cs="Times New Roman"/>
          <w:sz w:val="24"/>
          <w:szCs w:val="24"/>
        </w:rPr>
      </w:pPr>
      <w:r w:rsidRPr="003E4481">
        <w:rPr>
          <w:rFonts w:ascii="Times New Roman" w:hAnsi="Times New Roman" w:cs="Times New Roman" w:eastAsia="Times New Roman"/>
          <w:sz w:val="24"/>
          <w:szCs w:val="24"/>
        </w:rPr>
        <w:t>There is no automated and monitored data pipeline that can extract, validate, transform, test, and refresh these records into trusted dashboard-ready tables.</w:t>
      </w:r>
    </w:p>
    <w:p w14:paraId="575F42F7"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1.3 Project Aim</w:t>
      </w:r>
    </w:p>
    <w:p w14:paraId="7C98E0EF"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aim of this CP1 proposal is to design a weather-aware pest control decision-support dashboard that will be developed in CP2. The planned system will transform Nomobug's Google Sheets, Google Calendar, service, warranty, refund, payment, and upsell records into actionable business intelligence for service quality, treatment difficulty, recurrence monitoring, </w:t>
      </w:r>
      <w:r w:rsidR="0019763A">
        <w:rPr>
          <w:rFonts w:ascii="Times New Roman" w:hAnsi="Times New Roman" w:cs="Times New Roman" w:eastAsia="Times New Roman"/>
          <w:sz w:val="24"/>
          <w:szCs w:val="24"/>
        </w:rPr>
        <w:tab/>
      </w:r>
      <w:r w:rsidRPr="00335C63">
        <w:rPr>
          <w:rFonts w:ascii="Times New Roman" w:hAnsi="Times New Roman" w:cs="Times New Roman" w:eastAsia="Times New Roman"/>
          <w:sz w:val="24"/>
          <w:szCs w:val="24"/>
        </w:rPr>
        <w:t xml:space="preserve"> planning, and upsell strategy.</w:t>
      </w:r>
    </w:p>
    <w:p w14:paraId="0FFA1D8C"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1.4 Project Objectives</w:t>
      </w:r>
    </w:p>
    <w:p w14:paraId="094C4CEB"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review existing business intelligence, pest decision-support, weather-risk, spatial hotspot, and explainable analytics methods relevant to pest-control SME operations.</w:t>
      </w:r>
    </w:p>
    <w:p w14:paraId="4F2F8AAB"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design a weather-aware analytics architecture that integrates Nomobug Google Sheets, Google Calendar, service records, warranty claims, refunds, payments, upsell records, and external weather data.</w:t>
      </w:r>
    </w:p>
    <w:p w14:paraId="6DE79DE8" w14:textId="77777777" w:rsidR="00984EB3" w:rsidRPr="003E4481" w:rsidRDefault="003C0C08" w:rsidP="008D6A1A">
      <w:pPr>
        <w:pStyle w:val="ListNumber"/>
        <w:spacing w:line="360" w:lineRule="auto" w:after="120"/>
        <w:jc w:val="both"/>
        <w:rPr>
          <w:rFonts w:ascii="Times New Roman" w:hAnsi="Times New Roman" w:cs="Times New Roman"/>
          <w:sz w:val="28"/>
          <w:szCs w:val="28"/>
        </w:rPr>
      </w:pPr>
      <w:r>
        <w:rPr>
          <w:rFonts w:ascii="Times New Roman" w:hAnsi="Times New Roman" w:eastAsia="Times New Roman"/>
          <w:sz w:val="24"/>
        </w:rPr>
        <w:t>To develop, in CP2, an ELT prototype using Python, a suitable analytics storage platform, possible workflow orchestration, flexible data contracts, and data quality checks, with the exact tools and source fields refined after final Google Sheet and Calendar data profiling.</w:t>
      </w:r>
    </w:p>
    <w:p w14:paraId="69A1BAAD"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To implement dashboard-ready descriptive and diagnostic analytics, with selected predictive or prescriptive indicators such as treatment difficulty, warranty review factors, recurrence windows, hotspot detection, scheduling capacity, and upsell package fit where the available data is sufficient.</w:t>
      </w:r>
    </w:p>
    <w:p w14:paraId="7C83602D"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evaluate the proposed dashboard in CP2 using data quality checks, dashboard usability feedback, insight usefulness, and the reliability of selected analytics outputs.</w:t>
      </w:r>
    </w:p>
    <w:p w14:paraId="570D9CA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1.5 Scope and Limitations</w:t>
      </w:r>
    </w:p>
    <w:tbl>
      <w:tblPr>
        <w:tblStyle w:val="TableGrid"/>
        <w:tblW w:w="0" w:type="auto"/>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710"/>
        <w:gridCol w:w="4306"/>
      </w:tblGrid>
      <w:tr w:rsidR="0084730D" w:rsidRPr="00335C63" w14:paraId="019F7B12" w14:textId="77777777" w:rsidTr="00CD7B49">
        <w:trPr>
          <w:cantSplit/>
          <w:tblHeader/>
          <w:jc w:val="center"/>
        </w:trPr>
        <w:tc>
          <w:tcPr>
            <w:tcW w:w="0" w:type="auto"/>
            <w:shd w:val="clear" w:color="auto" w:fill="E8F1FA"/>
            <w:tcMar>
              <w:top w:w="90" w:type="dxa"/>
              <w:left w:w="90" w:type="dxa"/>
              <w:bottom w:w="90" w:type="dxa"/>
              <w:right w:w="90" w:type="dxa"/>
            </w:tcMar>
            <w:vAlign w:val="center"/>
            <w:shd w:fill="DCEAF7"/>
          </w:tcPr>
          <w:p w14:paraId="40407C4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In Scope</w:t>
            </w:r>
          </w:p>
        </w:tc>
        <w:tc>
          <w:tcPr>
            <w:tcW w:w="0" w:type="auto"/>
            <w:shd w:val="clear" w:color="auto" w:fill="E8F1FA"/>
            <w:tcMar>
              <w:top w:w="90" w:type="dxa"/>
              <w:left w:w="90" w:type="dxa"/>
              <w:bottom w:w="90" w:type="dxa"/>
              <w:right w:w="90" w:type="dxa"/>
            </w:tcMar>
            <w:vAlign w:val="center"/>
            <w:shd w:fill="DCEAF7"/>
          </w:tcPr>
          <w:p w14:paraId="04EC8B0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Out of Scope / Limitation</w:t>
            </w:r>
          </w:p>
        </w:tc>
      </w:tr>
      <w:tr w:rsidR="0084730D" w:rsidRPr="00335C63" w14:paraId="0400E16F" w14:textId="77777777" w:rsidTr="00CD7B49">
        <w:trPr>
          <w:cantSplit/>
          <w:jc w:val="center"/>
        </w:trPr>
        <w:tc>
          <w:tcPr>
            <w:tcW w:w="0" w:type="auto"/>
            <w:tcMar>
              <w:top w:w="90" w:type="dxa"/>
              <w:left w:w="90" w:type="dxa"/>
              <w:bottom w:w="90" w:type="dxa"/>
              <w:right w:w="90" w:type="dxa"/>
            </w:tcMar>
            <w:vAlign w:val="center"/>
          </w:tcPr>
          <w:p w14:paraId="5E4112F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integration from company sheets, calendar, and uploaded files</w:t>
            </w:r>
          </w:p>
        </w:tc>
        <w:tc>
          <w:tcPr>
            <w:tcW w:w="0" w:type="auto"/>
            <w:tcMar>
              <w:top w:w="90" w:type="dxa"/>
              <w:left w:w="90" w:type="dxa"/>
              <w:bottom w:w="90" w:type="dxa"/>
              <w:right w:w="90" w:type="dxa"/>
            </w:tcMar>
            <w:vAlign w:val="center"/>
          </w:tcPr>
          <w:p w14:paraId="01826F9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Not </w:t>
            </w:r>
            <w:proofErr w:type="gramStart"/>
            <w:r w:rsidRPr="00335C63">
              <w:rPr>
                <w:rFonts w:ascii="Times New Roman" w:hAnsi="Times New Roman" w:cs="Times New Roman" w:eastAsia="Times New Roman"/>
                <w:sz w:val="20"/>
                <w:szCs w:val="24"/>
              </w:rPr>
              <w:t>a full</w:t>
            </w:r>
            <w:proofErr w:type="gramEnd"/>
            <w:r w:rsidRPr="00335C63">
              <w:rPr>
                <w:rFonts w:ascii="Times New Roman" w:hAnsi="Times New Roman" w:cs="Times New Roman" w:eastAsia="Times New Roman"/>
                <w:sz w:val="20"/>
                <w:szCs w:val="24"/>
              </w:rPr>
              <w:t xml:space="preserve"> CRM, job dispatch system, WhatsApp automation, or payment gateway</w:t>
            </w:r>
          </w:p>
        </w:tc>
      </w:tr>
      <w:tr w:rsidR="0084730D" w:rsidRPr="00335C63" w14:paraId="0F4F4867" w14:textId="77777777" w:rsidTr="00CD7B49">
        <w:trPr>
          <w:cantSplit/>
          <w:jc w:val="center"/>
        </w:trPr>
        <w:tc>
          <w:tcPr>
            <w:tcW w:w="0" w:type="auto"/>
            <w:tcMar>
              <w:top w:w="90" w:type="dxa"/>
              <w:left w:w="90" w:type="dxa"/>
              <w:bottom w:w="90" w:type="dxa"/>
              <w:right w:w="90" w:type="dxa"/>
            </w:tcMar>
            <w:vAlign w:val="center"/>
          </w:tcPr>
          <w:p w14:paraId="30D51B6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Descriptive analytics by day, week, month, area, pest, package, team, and technician</w:t>
            </w:r>
          </w:p>
        </w:tc>
        <w:tc>
          <w:tcPr>
            <w:tcW w:w="0" w:type="auto"/>
            <w:tcMar>
              <w:top w:w="90" w:type="dxa"/>
              <w:left w:w="90" w:type="dxa"/>
              <w:bottom w:w="90" w:type="dxa"/>
              <w:right w:w="90" w:type="dxa"/>
            </w:tcMar>
            <w:vAlign w:val="center"/>
          </w:tcPr>
          <w:p w14:paraId="7A89B0C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Results depend on the quality and consistency of existing company records</w:t>
            </w:r>
          </w:p>
        </w:tc>
      </w:tr>
      <w:tr w:rsidR="0084730D" w:rsidRPr="00335C63" w14:paraId="2E3EF2C5" w14:textId="77777777" w:rsidTr="00CD7B49">
        <w:trPr>
          <w:cantSplit/>
          <w:jc w:val="center"/>
        </w:trPr>
        <w:tc>
          <w:tcPr>
            <w:tcW w:w="0" w:type="auto"/>
            <w:tcMar>
              <w:top w:w="90" w:type="dxa"/>
              <w:left w:w="90" w:type="dxa"/>
              <w:bottom w:w="90" w:type="dxa"/>
              <w:right w:w="90" w:type="dxa"/>
            </w:tcMar>
            <w:vAlign w:val="center"/>
          </w:tcPr>
          <w:p w14:paraId="6F99569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Weather-associated risk indicators using historical rainfall and humidity features</w:t>
            </w:r>
          </w:p>
        </w:tc>
        <w:tc>
          <w:tcPr>
            <w:tcW w:w="0" w:type="auto"/>
            <w:tcMar>
              <w:top w:w="90" w:type="dxa"/>
              <w:left w:w="90" w:type="dxa"/>
              <w:bottom w:w="90" w:type="dxa"/>
              <w:right w:w="90" w:type="dxa"/>
            </w:tcMar>
            <w:vAlign w:val="center"/>
          </w:tcPr>
          <w:p w14:paraId="689B70B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 will be treated as association/risk indicator, not proof of causation</w:t>
            </w:r>
          </w:p>
        </w:tc>
      </w:tr>
      <w:tr w:rsidR="0084730D" w:rsidRPr="00335C63" w14:paraId="72D5DCD1" w14:textId="77777777" w:rsidTr="00CD7B49">
        <w:trPr>
          <w:cantSplit/>
          <w:jc w:val="center"/>
        </w:trPr>
        <w:tc>
          <w:tcPr>
            <w:tcW w:w="0" w:type="auto"/>
            <w:tcMar>
              <w:top w:w="90" w:type="dxa"/>
              <w:left w:w="90" w:type="dxa"/>
              <w:bottom w:w="90" w:type="dxa"/>
              <w:right w:w="90" w:type="dxa"/>
            </w:tcMar>
            <w:vAlign w:val="center"/>
          </w:tcPr>
          <w:p w14:paraId="3FF4397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DBSCAN/KDE hotspot analysis using coordinates or postcode centroids</w:t>
            </w:r>
          </w:p>
        </w:tc>
        <w:tc>
          <w:tcPr>
            <w:tcW w:w="0" w:type="auto"/>
            <w:tcMar>
              <w:top w:w="90" w:type="dxa"/>
              <w:left w:w="90" w:type="dxa"/>
              <w:bottom w:w="90" w:type="dxa"/>
              <w:right w:w="90" w:type="dxa"/>
            </w:tcMar>
            <w:vAlign w:val="center"/>
          </w:tcPr>
          <w:p w14:paraId="174CA80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Exact customer addresses are not required in the academic report</w:t>
            </w:r>
          </w:p>
        </w:tc>
      </w:tr>
      <w:tr w:rsidR="0084730D" w:rsidRPr="00335C63" w14:paraId="08097F17" w14:textId="77777777" w:rsidTr="00CD7B49">
        <w:trPr>
          <w:cantSplit/>
          <w:jc w:val="center"/>
        </w:trPr>
        <w:tc>
          <w:tcPr>
            <w:tcW w:w="0" w:type="auto"/>
            <w:tcMar>
              <w:top w:w="90" w:type="dxa"/>
              <w:left w:w="90" w:type="dxa"/>
              <w:bottom w:w="90" w:type="dxa"/>
              <w:right w:w="90" w:type="dxa"/>
            </w:tcMar>
            <w:vAlign w:val="center"/>
          </w:tcPr>
          <w:p w14:paraId="11852F7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Treatment difficulty, recurrence window, warranty factor, refund root cause, and upsell package-fit analysis</w:t>
            </w:r>
          </w:p>
        </w:tc>
        <w:tc>
          <w:tcPr>
            <w:tcW w:w="0" w:type="auto"/>
            <w:tcMar>
              <w:top w:w="90" w:type="dxa"/>
              <w:left w:w="90" w:type="dxa"/>
              <w:bottom w:w="90" w:type="dxa"/>
              <w:right w:w="90" w:type="dxa"/>
            </w:tcMar>
            <w:vAlign w:val="center"/>
          </w:tcPr>
          <w:p w14:paraId="3D79E31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Upsell prediction is limited until rejected/no-response offers are recorded</w:t>
            </w:r>
          </w:p>
        </w:tc>
      </w:tr>
      <w:tr w:rsidR="0084730D" w:rsidRPr="00335C63" w14:paraId="231A5344" w14:textId="77777777" w:rsidTr="00CD7B49">
        <w:trPr>
          <w:cantSplit/>
          <w:jc w:val="center"/>
        </w:trPr>
        <w:tc>
          <w:tcPr>
            <w:tcW w:w="0" w:type="auto"/>
            <w:tcMar>
              <w:top w:w="90" w:type="dxa"/>
              <w:left w:w="90" w:type="dxa"/>
              <w:bottom w:w="90" w:type="dxa"/>
              <w:right w:w="90" w:type="dxa"/>
            </w:tcMar>
            <w:vAlign w:val="center"/>
          </w:tcPr>
          <w:p w14:paraId="6F5D3C64"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Data quality reporting, flexible data contracts, Airflow scheduled refresh, dbt transformations/tests, anonymised reporting views, and recommendation logging</w:t>
            </w:r>
          </w:p>
        </w:tc>
        <w:tc>
          <w:tcPr>
            <w:tcW w:w="0" w:type="auto"/>
            <w:tcMar>
              <w:top w:w="90" w:type="dxa"/>
              <w:left w:w="90" w:type="dxa"/>
              <w:bottom w:w="90" w:type="dxa"/>
              <w:right w:w="90" w:type="dxa"/>
            </w:tcMar>
            <w:vAlign w:val="center"/>
          </w:tcPr>
          <w:p w14:paraId="66E2BA84"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Near-real-time refresh is scheduled batch processing, not streaming real-time, and depends on Google Sheets/API access</w:t>
            </w:r>
          </w:p>
        </w:tc>
      </w:tr>
      <w:tr w:rsidR="0084730D" w:rsidRPr="00335C63" w14:paraId="1BAB6BBB" w14:textId="77777777" w:rsidTr="00CD7B49">
        <w:trPr>
          <w:cantSplit/>
          <w:jc w:val="center"/>
        </w:trPr>
        <w:tc>
          <w:tcPr>
            <w:tcW w:w="0" w:type="auto"/>
            <w:tcMar>
              <w:top w:w="90" w:type="dxa"/>
              <w:left w:w="90" w:type="dxa"/>
              <w:bottom w:w="90" w:type="dxa"/>
              <w:right w:w="90" w:type="dxa"/>
            </w:tcMar>
            <w:vAlign w:val="center"/>
          </w:tcPr>
          <w:p w14:paraId="43F90E1A" w14:textId="77777777" w:rsidR="0084730D" w:rsidRPr="003E4481"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Optional future local AI explanation layer, such as Ollama</w:t>
            </w:r>
          </w:p>
        </w:tc>
        <w:tc>
          <w:tcPr>
            <w:tcW w:w="0" w:type="auto"/>
            <w:tcMar>
              <w:top w:w="90" w:type="dxa"/>
              <w:left w:w="90" w:type="dxa"/>
              <w:bottom w:w="90" w:type="dxa"/>
              <w:right w:w="90" w:type="dxa"/>
            </w:tcMar>
            <w:vAlign w:val="center"/>
          </w:tcPr>
          <w:p w14:paraId="449ED057" w14:textId="77777777" w:rsidR="0084730D" w:rsidRPr="003E4481" w:rsidRDefault="00357319" w:rsidP="000F4170">
            <w:pPr>
              <w:spacing w:after="40" w:line="276" w:lineRule="auto"/>
              <w:jc w:val="left"/>
              <w:rPr>
                <w:rFonts w:ascii="Times New Roman" w:hAnsi="Times New Roman" w:cs="Times New Roman"/>
                <w:sz w:val="24"/>
                <w:szCs w:val="24"/>
              </w:rPr>
            </w:pPr>
            <w:r w:rsidRPr="003E4481">
              <w:rPr>
                <w:rFonts w:ascii="Times New Roman" w:hAnsi="Times New Roman" w:cs="Times New Roman" w:eastAsia="Times New Roman"/>
                <w:sz w:val="20"/>
                <w:szCs w:val="24"/>
              </w:rPr>
              <w:t>The AI layer will not make final decisions; it will explain analytics-backed recommendations</w:t>
            </w:r>
          </w:p>
        </w:tc>
      </w:tr>
      <w:tr w:rsidR="00BB18A2" w14:paraId="7DF947F0" w14:textId="77777777">
        <w:trPr>
          <w:jc w:val="center"/>
        </w:trPr>
        <w:tc>
          <w:tcPr>
            <w:tcW w:w="4710" w:type="dxa"/>
            <w:vAlign w:val="center"/>
          </w:tcPr>
          <w:p w14:paraId="1A509B69" w14:textId="77777777" w:rsidR="00BB18A2" w:rsidRPr="003E4481" w:rsidRDefault="00000000">
            <w:pPr>
              <w:spacing w:line="276" w:lineRule="auto" w:after="40"/>
              <w:jc w:val="left"/>
              <w:rPr>
                <w:rFonts w:ascii="Times New Roman" w:hAnsi="Times New Roman" w:cs="Times New Roman"/>
                <w:sz w:val="24"/>
                <w:szCs w:val="24"/>
              </w:rPr>
            </w:pPr>
            <w:r>
              <w:rPr>
                <w:rFonts w:ascii="Times New Roman" w:hAnsi="Times New Roman" w:eastAsia="Times New Roman"/>
                <w:sz w:val="20"/>
              </w:rPr>
              <w:t>Layered analytics storage, pipeline logs, lineage documentation, and dashboard-ready marts</w:t>
            </w:r>
          </w:p>
        </w:tc>
        <w:tc>
          <w:tcPr>
            <w:tcW w:w="4306" w:type="dxa"/>
            <w:vAlign w:val="center"/>
          </w:tcPr>
          <w:p w14:paraId="2166C0A5"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The project will not attempt enterprise-scale streaming, complex MLOps, or production-grade multi-user access control</w:t>
            </w:r>
          </w:p>
        </w:tc>
      </w:tr>
    </w:tbl>
    <w:p w14:paraId="5F49C5C3" w14:textId="77777777" w:rsidR="0084730D" w:rsidRPr="00335C63" w:rsidRDefault="0084730D" w:rsidP="000F4170">
      <w:pPr>
        <w:spacing w:line="360" w:lineRule="auto" w:after="120"/>
        <w:jc w:val="both"/>
        <w:rPr>
          <w:rFonts w:ascii="Times New Roman" w:hAnsi="Times New Roman" w:cs="Times New Roman"/>
          <w:sz w:val="24"/>
          <w:szCs w:val="24"/>
        </w:rPr>
      </w:pPr>
    </w:p>
    <w:p w14:paraId="2C34A22F"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1.6 Research Significance</w:t>
      </w:r>
    </w:p>
    <w:p w14:paraId="7A3E9E77" w14:textId="77777777" w:rsidR="008D6A1A"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The project is significant because it addresses a real computing and business problem faced by an SME: turning fragmented operational records into reliable decision support. Prior studies show that decision-support systems are valuable when they connect data sources, analytical models, and user-facing recommendations in a practical way (Tonle et al., 2024; Marinko et al., 2025). This project contributes to the company by reducing manual cross-checking, improving visibility into service quality, and supporting better area planning. It contributes academically by combining data warehousing, business intelligence, spatial analysis, weather-associated risk modelling, and prescriptive analytics in a practical SME setting.</w:t>
      </w:r>
    </w:p>
    <w:p w14:paraId="4F5240AD" w14:textId="77777777" w:rsidR="008D6A1A" w:rsidRDefault="008D6A1A" w:rsidP="008D6A1A">
      <w:pPr>
        <w:spacing w:line="360" w:lineRule="auto" w:after="120"/>
        <w:jc w:val="both"/>
        <w:rPr>
          <w:rFonts w:ascii="Times New Roman" w:hAnsi="Times New Roman" w:cs="Times New Roman"/>
          <w:sz w:val="24"/>
          <w:szCs w:val="24"/>
        </w:rPr>
      </w:pPr>
    </w:p>
    <w:p w14:paraId="21881A05"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sustainability value is also relevant. Better area planning and recurrence monitoring can reduce unnecessary repeat visits, wasted travel, and unplanned service costs. A local or low-cost analytics stack also supports SME adoption by reducing dependence on expensive enterprise software. Privacy is considered through anonymised academic and reporting views, </w:t>
      </w:r>
      <w:r w:rsidRPr="00335C63">
        <w:rPr>
          <w:rFonts w:ascii="Times New Roman" w:hAnsi="Times New Roman" w:cs="Times New Roman" w:eastAsia="Times New Roman"/>
          <w:sz w:val="24"/>
          <w:szCs w:val="24"/>
        </w:rPr>
        <w:lastRenderedPageBreak/>
        <w:t>customer IDs, area/postcode-level location, controlled access, and careful wording for technician-related review indicators.</w:t>
      </w:r>
    </w:p>
    <w:p w14:paraId="7D5AFE3D"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2: Literature Review</w:t>
      </w:r>
    </w:p>
    <w:p w14:paraId="26D874DB" w14:textId="77777777" w:rsidR="0084730D" w:rsidRPr="003E4481" w:rsidRDefault="00357319" w:rsidP="008D6A1A">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This literature review reviews recent academic papers, technical documentation, and decision-support references related to the proposed system. In line with supervisor feedback, the cited literature focuses on 2020 onwards and expands the review to cover approximately 25 academic or research-based sources, with separate technical references for APIs and tools. Older foundation methods such as DBSCAN, logistic regression, KDE, and SHAP are discussed only as methodological concepts, while the cited support is drawn from recent studies and documentation. The chapter is organised around business intelligence for SMEs, weather-aware pest management, digital pest decision-support systems, spatial-temporal hotspot detection, weather-based prediction, explainable modelling, and AI-assisted recommendations.</w:t>
      </w:r>
    </w:p>
    <w:p w14:paraId="5907B16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2.1 Business Intelligence and SME Decision Support</w:t>
      </w:r>
    </w:p>
    <w:p w14:paraId="172E8176"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Ragazou et al. (2023) argue that SMEs can benefit from business intelligence because BI converts scattered operational data into information that supports faster and more competitive decision-making. Their work is relevant to Nomobug because the company already collects operational data but lacks a structured analytics model. Gurcan et al. (2023) further show that modern BI research increasingly emphasises data mining, big data analytics, visualization, and AI applications, which supports the proposed combination of descriptive, predictive, and prescriptive dashboard modules.</w:t>
      </w:r>
    </w:p>
    <w:p w14:paraId="6E293DB1" w14:textId="77777777" w:rsidR="008D6A1A" w:rsidRDefault="008D6A1A" w:rsidP="008D6A1A">
      <w:pPr>
        <w:spacing w:line="360" w:lineRule="auto" w:after="120"/>
        <w:jc w:val="both"/>
        <w:rPr>
          <w:rFonts w:ascii="Times New Roman" w:hAnsi="Times New Roman" w:cs="Times New Roman"/>
          <w:sz w:val="24"/>
          <w:szCs w:val="24"/>
        </w:rPr>
      </w:pPr>
    </w:p>
    <w:p w14:paraId="3F30A77C"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For this project, the literature supports treating BI as more than simple reporting. The dashboard should not only show </w:t>
      </w:r>
      <w:proofErr w:type="gramStart"/>
      <w:r w:rsidRPr="00335C63">
        <w:rPr>
          <w:rFonts w:ascii="Times New Roman" w:hAnsi="Times New Roman" w:cs="Times New Roman" w:eastAsia="Times New Roman"/>
          <w:sz w:val="24"/>
          <w:szCs w:val="24"/>
        </w:rPr>
        <w:t>totals, but</w:t>
      </w:r>
      <w:proofErr w:type="gramEnd"/>
      <w:r w:rsidRPr="00335C63">
        <w:rPr>
          <w:rFonts w:ascii="Times New Roman" w:hAnsi="Times New Roman" w:cs="Times New Roman" w:eastAsia="Times New Roman"/>
          <w:sz w:val="24"/>
          <w:szCs w:val="24"/>
        </w:rPr>
        <w:t xml:space="preserve"> also connect business questions across sources: which ad sources produce better customers, which areas generate repeat problems, which service types cause higher refunds, and which package-fit recommendations are supported by historical patterns.</w:t>
      </w:r>
    </w:p>
    <w:p w14:paraId="4896275F" w14:textId="77777777" w:rsidR="00BF3F6C"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Schulze et al. (2023) provide a systematic review of digital dashboards and show that dashboards are most useful when they combine clear visual design, reliable data, and action-oriented communication. This supports the proposed use of a BI dashboard platform for management users who need to scan key service, warranty, payment, and scheduling indicators quickly. Blacketer et al. (2021) further demonstrate the value of a dedicated data quality dashboard, showing that decision-makers need visibility into completeness, conformance, and data reliability before trusting analytical outputs. For Nomobug, this supports including a Data Quality and Refresh module rather than treating cleaning as a hidden technical step.</w:t>
      </w:r>
      <w:proofErr w:type="gramStart"/>
      <w:r w:rsidRPr="00EF6C0D">
        <w:rPr>
          <w:rFonts w:ascii="Times New Roman" w:hAnsi="Times New Roman" w:cs="Times New Roman" w:eastAsia="Times New Roman"/>
          <w:sz w:val="24"/>
          <w:szCs w:val="24"/>
        </w:rPr>
      </w:r>
      <w:proofErr w:type="gramEnd"/>
      <w:r w:rsidRPr="00EF6C0D">
        <w:rPr>
          <w:rFonts w:ascii="Times New Roman" w:hAnsi="Times New Roman" w:cs="Times New Roman" w:eastAsia="Times New Roman"/>
          <w:sz w:val="24"/>
          <w:szCs w:val="24"/>
        </w:rPr>
      </w:r>
      <w:proofErr w:type="gramStart"/>
      <w:r w:rsidRPr="00EF6C0D">
        <w:rPr>
          <w:rFonts w:ascii="Times New Roman" w:hAnsi="Times New Roman" w:cs="Times New Roman" w:eastAsia="Times New Roman"/>
          <w:sz w:val="24"/>
          <w:szCs w:val="24"/>
        </w:rPr>
      </w:r>
      <w:proofErr w:type="gramEnd"/>
      <w:r w:rsidRPr="00EF6C0D">
        <w:rPr>
          <w:rFonts w:ascii="Times New Roman" w:hAnsi="Times New Roman" w:cs="Times New Roman" w:eastAsia="Times New Roman"/>
          <w:sz w:val="24"/>
          <w:szCs w:val="24"/>
        </w:rPr>
      </w:r>
      <w:r w:rsidRPr="00EF6C0D">
        <w:rPr>
          <w:rFonts w:ascii="Times New Roman" w:hAnsi="Times New Roman" w:cs="Times New Roman" w:eastAsia="Times New Roman"/>
          <w:sz w:val="24"/>
          <w:szCs w:val="24"/>
        </w:rPr>
      </w:r>
      <w:proofErr w:type="gramStart"/>
      <w:r w:rsidRPr="00EF6C0D">
        <w:rPr>
          <w:rFonts w:ascii="Times New Roman" w:hAnsi="Times New Roman" w:cs="Times New Roman" w:eastAsia="Times New Roman"/>
          <w:sz w:val="24"/>
          <w:szCs w:val="24"/>
        </w:rPr>
      </w:r>
      <w:proofErr w:type="gramEnd"/>
      <w:r w:rsidRPr="00EF6C0D">
        <w:rPr>
          <w:rFonts w:ascii="Times New Roman" w:hAnsi="Times New Roman" w:cs="Times New Roman" w:eastAsia="Times New Roman"/>
          <w:sz w:val="24"/>
          <w:szCs w:val="24"/>
        </w:rPr>
      </w:r>
    </w:p>
    <w:p w14:paraId="437153DC" w14:textId="77777777" w:rsidR="00EF6C0D" w:rsidRPr="00EF6C0D" w:rsidRDefault="00EF6C0D" w:rsidP="00EF6C0D">
      <w:pPr>
        <w:spacing w:line="360" w:lineRule="auto" w:after="120"/>
        <w:jc w:val="both"/>
        <w:rPr>
          <w:rFonts w:ascii="Times New Roman" w:hAnsi="Times New Roman" w:cs="Times New Roman"/>
          <w:sz w:val="24"/>
          <w:szCs w:val="24"/>
        </w:rPr>
      </w:pPr>
    </w:p>
    <w:p w14:paraId="6DAAEB6C"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Fu et al. (2024) argue that data quality in industry should be understood as part of a wider data-driven workflow, not only as a technical database issue. Their review is relevant because Nomobug's raw data comes from practical operational sources such as Google Sheets and Google Calendar, where inconsistent labels, missing identifiers, and unmatched records are expected. This reinforces the project's decision to preserve raw staging data, create cleaning flags, and show data-quality coverage before interpreting risk or performance results.</w:t>
      </w:r>
    </w:p>
    <w:p w14:paraId="51167988"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2.2 Weather-Aware Pest Management and Urban Pest Data</w:t>
      </w:r>
    </w:p>
    <w:p w14:paraId="66413470"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Hiscox et al. (2025) </w:t>
      </w:r>
      <w:proofErr w:type="gramStart"/>
      <w:r w:rsidRPr="00335C63">
        <w:rPr>
          <w:rFonts w:ascii="Times New Roman" w:hAnsi="Times New Roman" w:cs="Times New Roman" w:eastAsia="Times New Roman"/>
          <w:sz w:val="24"/>
          <w:szCs w:val="24"/>
        </w:rPr>
        <w:t>review</w:t>
      </w:r>
      <w:proofErr w:type="gramEnd"/>
      <w:r w:rsidRPr="00335C63">
        <w:rPr>
          <w:rFonts w:ascii="Times New Roman" w:hAnsi="Times New Roman" w:cs="Times New Roman" w:eastAsia="Times New Roman"/>
          <w:sz w:val="24"/>
          <w:szCs w:val="24"/>
        </w:rPr>
        <w:t xml:space="preserve"> the impact of adverse weather events on cockroaches and flies and </w:t>
      </w:r>
      <w:proofErr w:type="gramStart"/>
      <w:r w:rsidRPr="00335C63">
        <w:rPr>
          <w:rFonts w:ascii="Times New Roman" w:hAnsi="Times New Roman" w:cs="Times New Roman" w:eastAsia="Times New Roman"/>
          <w:sz w:val="24"/>
          <w:szCs w:val="24"/>
        </w:rPr>
        <w:t>report</w:t>
      </w:r>
      <w:proofErr w:type="gramEnd"/>
      <w:r w:rsidRPr="00335C63">
        <w:rPr>
          <w:rFonts w:ascii="Times New Roman" w:hAnsi="Times New Roman" w:cs="Times New Roman" w:eastAsia="Times New Roman"/>
          <w:sz w:val="24"/>
          <w:szCs w:val="24"/>
        </w:rPr>
        <w:t xml:space="preserve"> that increased temperature, extreme rainfall, and flooding can be associated with changes in pest population behaviour and human-pest interaction. This supports the need for weather-aware risk indicators in pest control planning. However, the same literature also shows that causal claims are difficult because pest behaviour depends on many confounding factors such as sanitation, habitat disruption, infrastructure condition, and pesticide use.</w:t>
      </w:r>
    </w:p>
    <w:p w14:paraId="6E85AB50" w14:textId="77777777" w:rsidR="008D6A1A" w:rsidRDefault="008D6A1A" w:rsidP="008D6A1A">
      <w:pPr>
        <w:spacing w:line="360" w:lineRule="auto" w:after="120"/>
        <w:jc w:val="both"/>
        <w:rPr>
          <w:rFonts w:ascii="Times New Roman" w:hAnsi="Times New Roman" w:cs="Times New Roman"/>
          <w:sz w:val="24"/>
          <w:szCs w:val="24"/>
        </w:rPr>
      </w:pPr>
    </w:p>
    <w:p w14:paraId="190A1B38"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Richardson et al. (2025) analyse urban rat reports across multiple cities and </w:t>
      </w:r>
      <w:proofErr w:type="gramStart"/>
      <w:r w:rsidRPr="00335C63">
        <w:rPr>
          <w:rFonts w:ascii="Times New Roman" w:hAnsi="Times New Roman" w:cs="Times New Roman" w:eastAsia="Times New Roman"/>
          <w:sz w:val="24"/>
          <w:szCs w:val="24"/>
        </w:rPr>
        <w:t>find</w:t>
      </w:r>
      <w:proofErr w:type="gramEnd"/>
      <w:r w:rsidRPr="00335C63">
        <w:rPr>
          <w:rFonts w:ascii="Times New Roman" w:hAnsi="Times New Roman" w:cs="Times New Roman" w:eastAsia="Times New Roman"/>
          <w:sz w:val="24"/>
          <w:szCs w:val="24"/>
        </w:rPr>
        <w:t xml:space="preserve"> that rat numbers are linked with climate warming, urbanization, and population density. While the study is not specific to Malaysian pest control service records, it demonstrates the importance of combining pest reports with environmental and urban context. Brimblecombe et al. (2023) also show that urban pest enquiry databases can reveal long-term patterns, but such records are heterogeneous and may be affected by reporting bias. These studies justify using Nomobug's internal service outcomes carefully as business evidence rather than as universal ecological proof.</w:t>
      </w:r>
    </w:p>
    <w:p w14:paraId="33C2F043"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2.3 Digital Pest Decision Support Systems</w:t>
      </w:r>
    </w:p>
    <w:p w14:paraId="588807AA"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Pinto et al. (2025) </w:t>
      </w:r>
      <w:proofErr w:type="gramStart"/>
      <w:r w:rsidRPr="00335C63">
        <w:rPr>
          <w:rFonts w:ascii="Times New Roman" w:hAnsi="Times New Roman" w:cs="Times New Roman" w:eastAsia="Times New Roman"/>
          <w:sz w:val="24"/>
          <w:szCs w:val="24"/>
        </w:rPr>
        <w:t>describe</w:t>
      </w:r>
      <w:proofErr w:type="gramEnd"/>
      <w:r w:rsidRPr="00335C63">
        <w:rPr>
          <w:rFonts w:ascii="Times New Roman" w:hAnsi="Times New Roman" w:cs="Times New Roman" w:eastAsia="Times New Roman"/>
          <w:sz w:val="24"/>
          <w:szCs w:val="24"/>
        </w:rPr>
        <w:t xml:space="preserve"> the Network for Environment and Weather Applications (NEWA), a weather-based pest and disease decision support platform that integrates historical and forecast weather data with risk models. Although NEWA focuses on agricultural integrated pest management, it demonstrates the value of combining weather data, dashboards, alerts, and </w:t>
      </w:r>
      <w:r w:rsidRPr="00335C63">
        <w:rPr>
          <w:rFonts w:ascii="Times New Roman" w:hAnsi="Times New Roman" w:cs="Times New Roman" w:eastAsia="Times New Roman"/>
          <w:sz w:val="24"/>
          <w:szCs w:val="24"/>
        </w:rPr>
        <w:lastRenderedPageBreak/>
        <w:t>decision-support outputs. The proposed Nomobug system adapts this idea to an urban pest-control SME context by combining service outcomes, warranty records, recurrence windows, and local weather indicators.</w:t>
      </w:r>
    </w:p>
    <w:p w14:paraId="759AEFFA" w14:textId="77777777" w:rsidR="008D6A1A" w:rsidRDefault="008D6A1A" w:rsidP="008D6A1A">
      <w:pPr>
        <w:spacing w:line="360" w:lineRule="auto" w:after="120"/>
        <w:jc w:val="both"/>
        <w:rPr>
          <w:rFonts w:ascii="Times New Roman" w:hAnsi="Times New Roman" w:cs="Times New Roman"/>
          <w:sz w:val="24"/>
          <w:szCs w:val="24"/>
        </w:rPr>
      </w:pPr>
    </w:p>
    <w:p w14:paraId="53F54740"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research gap is that most pest decision-support examples focus on agriculture or public-sector surveillance, while SME pest control operations need analytics around customer service outcomes, warranty costs, technician review indicators, and upsell planning. This project therefore contributes by applying weather-aware decision support to a real commercial service dataset rather than only biological pest observations.</w:t>
      </w:r>
    </w:p>
    <w:p w14:paraId="03BB3ECA" w14:textId="77777777" w:rsidR="00BF3F6C"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Tonle et al. (2024) </w:t>
      </w:r>
      <w:proofErr w:type="gramStart"/>
      <w:r w:rsidRPr="00EF6C0D">
        <w:rPr>
          <w:rFonts w:ascii="Times New Roman" w:hAnsi="Times New Roman" w:cs="Times New Roman" w:eastAsia="Times New Roman"/>
          <w:sz w:val="24"/>
          <w:szCs w:val="24"/>
        </w:rPr>
        <w:t>propose</w:t>
      </w:r>
      <w:proofErr w:type="gramEnd"/>
      <w:r w:rsidRPr="00EF6C0D">
        <w:rPr>
          <w:rFonts w:ascii="Times New Roman" w:hAnsi="Times New Roman" w:cs="Times New Roman" w:eastAsia="Times New Roman"/>
          <w:sz w:val="24"/>
          <w:szCs w:val="24"/>
        </w:rPr>
        <w:t xml:space="preserve"> a roadmap for developing decision support systems for integrated pest management and </w:t>
      </w:r>
      <w:proofErr w:type="gramStart"/>
      <w:r w:rsidRPr="00EF6C0D">
        <w:rPr>
          <w:rFonts w:ascii="Times New Roman" w:hAnsi="Times New Roman" w:cs="Times New Roman" w:eastAsia="Times New Roman"/>
          <w:sz w:val="24"/>
          <w:szCs w:val="24"/>
        </w:rPr>
        <w:t>highlight</w:t>
      </w:r>
      <w:proofErr w:type="gramEnd"/>
      <w:r w:rsidRPr="00EF6C0D">
        <w:rPr>
          <w:rFonts w:ascii="Times New Roman" w:hAnsi="Times New Roman" w:cs="Times New Roman" w:eastAsia="Times New Roman"/>
          <w:sz w:val="24"/>
          <w:szCs w:val="24"/>
        </w:rPr>
        <w:t xml:space="preserve"> the need for practical architectures that connect data sources, models, and user-facing decision outputs. Although their focus is agricultural IPM, the architecture principle is highly relevant to this project because the Nomobug system will connect operational data, weather enrichment, analytics marts, and dashboard recommendations. Marinko et al. (2024) also develop a typology for IPM decision support systems and implement it as a web application, showing that DSS features must be classified clearly so users understand whether the system provides monitoring, prediction, recommendation, or advisory support.</w:t>
      </w:r>
    </w:p>
    <w:p w14:paraId="41648B5F" w14:textId="77777777" w:rsidR="00EF6C0D" w:rsidRPr="00EF6C0D" w:rsidRDefault="00EF6C0D" w:rsidP="00EF6C0D">
      <w:pPr>
        <w:spacing w:line="360" w:lineRule="auto" w:after="120"/>
        <w:jc w:val="both"/>
        <w:rPr>
          <w:rFonts w:ascii="Times New Roman" w:hAnsi="Times New Roman" w:cs="Times New Roman"/>
          <w:sz w:val="24"/>
          <w:szCs w:val="24"/>
        </w:rPr>
      </w:pPr>
    </w:p>
    <w:p w14:paraId="494399FF"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Fiori et al. (2024) present SMARTerra, a high-resolution DSS for monitoring plant pests and diseases through risk maps and timely intervention support. This strengthens the justification for using weather-associated risk maps and area-level planning views in Nomobug. Marinko et al. (2025) examine barriers to DSS adoption in integrated pest management and show that practical uptake depends on trust, usability, data availability, and perceived usefulness. This is important for the capstone because the dashboard must be understandable to company users, </w:t>
      </w:r>
      <w:proofErr w:type="gramStart"/>
      <w:r w:rsidRPr="00EF6C0D">
        <w:rPr>
          <w:rFonts w:ascii="Times New Roman" w:hAnsi="Times New Roman" w:cs="Times New Roman" w:eastAsia="Times New Roman"/>
          <w:sz w:val="24"/>
          <w:szCs w:val="24"/>
        </w:rPr>
        <w:t>not only technically</w:t>
      </w:r>
      <w:proofErr w:type="gramEnd"/>
      <w:r w:rsidRPr="00EF6C0D">
        <w:rPr>
          <w:rFonts w:ascii="Times New Roman" w:hAnsi="Times New Roman" w:cs="Times New Roman" w:eastAsia="Times New Roman"/>
          <w:sz w:val="24"/>
          <w:szCs w:val="24"/>
        </w:rPr>
        <w:t xml:space="preserve"> impressive.</w:t>
      </w:r>
    </w:p>
    <w:p w14:paraId="4177A759"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2.4 Spatial-Temporal Hotspot Detection</w:t>
      </w:r>
    </w:p>
    <w:p w14:paraId="265BE7C3"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Spatial-temporal analytics are useful when the location and timing of events matter. Li et al. (2023) propose a spatiotemporal clustering algorithm for satellite hotspot data and discuss the importance of density-based clustering, arbitrary cluster shapes, noise handling, and parameter selection. Their work supports the use of DBSCAN-style clustering for Nomobug's repeat-</w:t>
      </w:r>
      <w:r w:rsidRPr="00335C63">
        <w:rPr>
          <w:rFonts w:ascii="Times New Roman" w:hAnsi="Times New Roman" w:cs="Times New Roman" w:eastAsia="Times New Roman"/>
          <w:sz w:val="24"/>
          <w:szCs w:val="24"/>
        </w:rPr>
        <w:lastRenderedPageBreak/>
        <w:t>problem data because warranty cases may form irregular clusters and random isolated claims should not automatically become hotspots.</w:t>
      </w:r>
    </w:p>
    <w:p w14:paraId="2ED6E2EE" w14:textId="77777777" w:rsidR="008D6A1A" w:rsidRPr="00335C63" w:rsidRDefault="008D6A1A" w:rsidP="008D6A1A">
      <w:pPr>
        <w:spacing w:line="360" w:lineRule="auto" w:after="120"/>
        <w:jc w:val="both"/>
        <w:rPr>
          <w:rFonts w:ascii="Times New Roman" w:hAnsi="Times New Roman" w:cs="Times New Roman"/>
          <w:sz w:val="24"/>
          <w:szCs w:val="24"/>
        </w:rPr>
      </w:pPr>
    </w:p>
    <w:p w14:paraId="04CC9C0E"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KDE heatmaps complement clustering because they provide a smoother visual layer for dashboard users. In this project, DBSCAN will be used as the main clustering method for detecting candidate repeat-problem hotspots, while KDE-style heatmaps will be used mainly for visual interpretation. This keeps the method understandable for management while still providing a stronger spatial analysis contribution than a simple area-count table.</w:t>
      </w:r>
    </w:p>
    <w:p w14:paraId="388B8586" w14:textId="77777777" w:rsidR="00EF6C0D" w:rsidRPr="00335C63" w:rsidRDefault="00EF6C0D" w:rsidP="008D6A1A">
      <w:pPr>
        <w:spacing w:line="360" w:lineRule="auto" w:after="120"/>
        <w:jc w:val="both"/>
        <w:rPr>
          <w:rFonts w:ascii="Times New Roman" w:hAnsi="Times New Roman" w:cs="Times New Roman"/>
          <w:sz w:val="24"/>
          <w:szCs w:val="24"/>
        </w:rPr>
      </w:pPr>
    </w:p>
    <w:p w14:paraId="5B8E479C"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Choi and Hong (2021) propose MDST-DBSCAN for multidimensional spatiotemporal data and show that density-based methods can identify clusters while supporting irregular cluster shapes and noise separation. This supports the choice of DBSCAN-style hotspot detection for repeat-problem and warranty records, because pest service outcomes may cluster around small local areas rather than fixed administrative boundaries. The proposed project will keep the method simpler than MDST-DBSCAN for implementation, but the study supports the suitability of density-based clustering for spatiotemporal analysis.</w:t>
      </w:r>
    </w:p>
    <w:p w14:paraId="7C5E150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2.5 Weather-Based Prediction and Explainable Modelling</w:t>
      </w:r>
    </w:p>
    <w:p w14:paraId="4059497E"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Sumido et al. (2023) demonstrate that pest occurrence can be modelled using weather variables and machine learning techniques, showing that weather can be a meaningful input for pest prediction. However, Nomobug's warranty dataset is expected to contain approximately 200+ warranty records, which is small for complex machine learning. Therefore, this project will use lightweight and explainable methods first, such as time-lag rainfall analysis, simple comparative recurrence rates, and logistic regression only if the feature set and target variable are sufficiently stable.</w:t>
      </w:r>
    </w:p>
    <w:p w14:paraId="3C65372C" w14:textId="77777777" w:rsidR="008D6A1A" w:rsidRPr="00335C63" w:rsidRDefault="008D6A1A" w:rsidP="008D6A1A">
      <w:pPr>
        <w:spacing w:line="360" w:lineRule="auto" w:after="120"/>
        <w:jc w:val="both"/>
        <w:rPr>
          <w:rFonts w:ascii="Times New Roman" w:hAnsi="Times New Roman" w:cs="Times New Roman"/>
          <w:sz w:val="24"/>
          <w:szCs w:val="24"/>
        </w:rPr>
      </w:pPr>
    </w:p>
    <w:p w14:paraId="12026901" w14:textId="77777777" w:rsidR="0084730D" w:rsidRDefault="00357319"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This choice is methodologically important. Complex models such as random forests, XGBoost, or deep learning may appear advanced, but they can overfit small datasets and reduce explainability. Because the expected warranty data volume is modest, the project will position complex ML as optional or future work and will focus first on defensible analytics: day/week/month descriptive trends, recurrence windows, DBSCAN/KDE hotspots, weather lag indicators, and simple logistic regression only where the data is sufficient.</w:t>
      </w:r>
    </w:p>
    <w:p w14:paraId="018312ED" w14:textId="77777777" w:rsidR="00EF6C0D" w:rsidRPr="00EF6C0D" w:rsidRDefault="00EF6C0D" w:rsidP="00EF6C0D">
      <w:pPr>
        <w:spacing w:line="360" w:lineRule="auto" w:after="120"/>
        <w:jc w:val="both"/>
        <w:rPr>
          <w:rFonts w:ascii="Times New Roman" w:hAnsi="Times New Roman" w:cs="Times New Roman"/>
          <w:sz w:val="28"/>
          <w:szCs w:val="28"/>
        </w:rPr>
      </w:pPr>
    </w:p>
    <w:p w14:paraId="1C79AD1F"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Ejike et al. (2025) compare logistic regression and random forest models for rainfall prediction in tropical and temperate climates, including Alor Setar as a tropical site. Their study supports the use of weather variables such as humidity, pressure, temperature, and rainfall in predictive modelling, but it also shows why model choice should match the problem and data size. For Nomobug, logistic regression and lag-based weather features are more defensible than heavier models because the warranty dataset is expected to contain only around 200+ records.</w:t>
      </w:r>
    </w:p>
    <w:p w14:paraId="02F33963"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Yao et al. (2026) use XGBoost and SHAP to analyse environmental, demographic, and socio-economic factors associated with mosquito density. This demonstrates the value of explainability when environmental factors are used in pest-related modelling. However, the proposed Nomobug system will treat SHAP-style explanations as future work or optional model interpretation, because the first implementation should prioritise robust descriptive, spatial, and recurrence analytics over complex models that may overfit limited warranty data.</w:t>
      </w:r>
    </w:p>
    <w:p w14:paraId="47ED2FA4"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2.6 AI-Assisted Recommendations for SMEs</w:t>
      </w:r>
    </w:p>
    <w:p w14:paraId="71499044"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Lu et al. (2022) review AI-enabled opportunities and transformation challenges for SMEs, showing that AI can support SME resilience and performance but must be adopted with attention to resource constraints, organisational readiness, and practical value. This directly supports the proposed future use of a local AI explanation layer. Rather than making AI the source of truth, the proposed system will calculate analytics-backed scores first and may later use a local model to generate plain-language suggestions for management.</w:t>
      </w:r>
    </w:p>
    <w:p w14:paraId="2E306628" w14:textId="77777777" w:rsidR="008D6A1A" w:rsidRPr="00335C63" w:rsidRDefault="008D6A1A" w:rsidP="008D6A1A">
      <w:pPr>
        <w:spacing w:line="360" w:lineRule="auto" w:after="120"/>
        <w:jc w:val="both"/>
        <w:rPr>
          <w:rFonts w:ascii="Times New Roman" w:hAnsi="Times New Roman" w:cs="Times New Roman"/>
          <w:sz w:val="24"/>
          <w:szCs w:val="24"/>
        </w:rPr>
      </w:pPr>
    </w:p>
    <w:p w14:paraId="11CBE447"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approach keeps the AI layer low-cost and privacy-conscious. In the future, the company could run a local model to explain why a case is high risk, why an area needs closer monitoring, or which action may reduce repeat visits. This is aligned with prescriptive analytics while avoiding external AI API cost.</w:t>
      </w:r>
      <w:proofErr w:type="gramStart"/>
      <w:r w:rsidRPr="00335C63">
        <w:rPr>
          <w:rFonts w:ascii="Times New Roman" w:hAnsi="Times New Roman" w:cs="Times New Roman" w:eastAsia="Times New Roman"/>
          <w:sz w:val="24"/>
          <w:szCs w:val="24"/>
        </w:rPr>
      </w:r>
      <w:proofErr w:type="gramEnd"/>
      <w:r w:rsidRPr="00335C63">
        <w:rPr>
          <w:rFonts w:ascii="Times New Roman" w:hAnsi="Times New Roman" w:cs="Times New Roman" w:eastAsia="Times New Roman"/>
          <w:sz w:val="24"/>
          <w:szCs w:val="24"/>
        </w:rPr>
      </w:r>
    </w:p>
    <w:p w14:paraId="56011FCE" w14:textId="77777777" w:rsidR="00EF6C0D" w:rsidRPr="00335C63" w:rsidRDefault="00EF6C0D" w:rsidP="008D6A1A">
      <w:pPr>
        <w:spacing w:line="360" w:lineRule="auto" w:after="120"/>
        <w:jc w:val="both"/>
        <w:rPr>
          <w:rFonts w:ascii="Times New Roman" w:hAnsi="Times New Roman" w:cs="Times New Roman"/>
          <w:sz w:val="24"/>
          <w:szCs w:val="24"/>
        </w:rPr>
      </w:pPr>
    </w:p>
    <w:p w14:paraId="042DFB87"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Leybourne et al. (2025) discuss whether AI can be integrated into pest monitoring schemes and emphasise that successful AI use requires both computational capability and practical acceptance by domain users. This supports the project's decision to keep generative AI as a possible future explanation layer rather than making it the main decision engine. Recommendations should first be produced by transparent analytics rules and stored in a recommendation log; a local AI tool can later translate those results into clearer management-facing explanations.</w:t>
      </w:r>
      <w:r w:rsidRPr="00EF6C0D">
        <w:rPr>
          <w:rFonts w:ascii="Times New Roman" w:hAnsi="Times New Roman" w:cs="Times New Roman" w:eastAsia="Times New Roman"/>
          <w:sz w:val="24"/>
          <w:szCs w:val="24"/>
        </w:rPr>
      </w:r>
    </w:p>
    <w:p w14:paraId="73172DC6"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cs="Times New Roman"/>
          <w:b/>
          <w:color w:val="000000"/>
          <w:sz w:val="24"/>
        </w:rPr>
        <w:t>2.7 Comparative Review of Selected Studies</w:t>
      </w:r>
    </w:p>
    <w:p w14:paraId="5B440CEC"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Ragazou et al. (2023) proposed a business intelligence model for empowering SMEs to make better decisions and improve competitive advantage. Their work supports the idea that scattered operational data can become useful management information when it is organised into a structured analytics model. This is relevant to Nomobug because the company already records leads, services, payments, warranty claims, refunds, calendar events, and </w:t>
      </w:r>
      <w:proofErr w:type="gramStart"/>
      <w:r w:rsidRPr="008D6A1A">
        <w:rPr>
          <w:rFonts w:ascii="Times New Roman" w:hAnsi="Times New Roman" w:cs="Times New Roman" w:eastAsia="Times New Roman"/>
          <w:sz w:val="24"/>
          <w:szCs w:val="24"/>
        </w:rPr>
        <w:t>upsell</w:t>
      </w:r>
      <w:proofErr w:type="gramEnd"/>
      <w:r w:rsidRPr="008D6A1A">
        <w:rPr>
          <w:rFonts w:ascii="Times New Roman" w:hAnsi="Times New Roman" w:cs="Times New Roman" w:eastAsia="Times New Roman"/>
          <w:sz w:val="24"/>
          <w:szCs w:val="24"/>
        </w:rPr>
        <w:t xml:space="preserve"> activity, but these records are not yet integrated for decision-making.</w:t>
      </w:r>
    </w:p>
    <w:p w14:paraId="5CB0ADA6" w14:textId="77777777" w:rsidR="008D6A1A" w:rsidRPr="008D6A1A" w:rsidRDefault="008D6A1A" w:rsidP="008D6A1A">
      <w:pPr>
        <w:spacing w:line="360" w:lineRule="auto" w:after="120"/>
        <w:jc w:val="both"/>
        <w:rPr>
          <w:rFonts w:ascii="Times New Roman" w:hAnsi="Times New Roman" w:cs="Times New Roman"/>
          <w:sz w:val="24"/>
          <w:szCs w:val="24"/>
        </w:rPr>
      </w:pPr>
    </w:p>
    <w:p w14:paraId="01029313"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Gurcan et al. (2023) analysed business intelligence trends and showed that recent BI work increasingly combines visualisation, data mining, big data analytics, and AI. This supports the proposed layered dashboard design, where descriptive analytics will be combined with predictive indicators and prescriptive recommendations. It also supports using an analytics engineering architecture rather than building a full CRM system.</w:t>
      </w:r>
      <w:proofErr w:type="gramStart"/>
      <w:r w:rsidRPr="008D6A1A">
        <w:rPr>
          <w:rFonts w:ascii="Times New Roman" w:hAnsi="Times New Roman" w:cs="Times New Roman" w:eastAsia="Times New Roman"/>
          <w:sz w:val="24"/>
          <w:szCs w:val="24"/>
        </w:rPr>
      </w:r>
      <w:proofErr w:type="gramEnd"/>
      <w:r w:rsidRPr="008D6A1A">
        <w:rPr>
          <w:rFonts w:ascii="Times New Roman" w:hAnsi="Times New Roman" w:cs="Times New Roman" w:eastAsia="Times New Roman"/>
          <w:sz w:val="24"/>
          <w:szCs w:val="24"/>
        </w:rPr>
      </w:r>
    </w:p>
    <w:p w14:paraId="5AD0E43E" w14:textId="77777777" w:rsidR="008D6A1A" w:rsidRPr="008D6A1A" w:rsidRDefault="008D6A1A" w:rsidP="008D6A1A">
      <w:pPr>
        <w:spacing w:line="360" w:lineRule="auto" w:after="120"/>
        <w:jc w:val="both"/>
        <w:rPr>
          <w:rFonts w:ascii="Times New Roman" w:hAnsi="Times New Roman" w:cs="Times New Roman"/>
          <w:sz w:val="24"/>
          <w:szCs w:val="24"/>
        </w:rPr>
      </w:pPr>
    </w:p>
    <w:p w14:paraId="1AD0FC0A"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Cordon (2026) presented predictive heat maps for Periplaneta americana infestation in urban sanitation networks. This source is directly relevant because it demonstrates how urban cockroach infestation risk can be represented spatially over time. However, it is best used as supporting evidence for heatmap and temporal visualisation concepts rather than as the main modelling reference because the proposed Nomobug system must analyse company service outcomes, not only infestation observations.</w:t>
      </w:r>
    </w:p>
    <w:p w14:paraId="5E61BE95" w14:textId="77777777" w:rsidR="008D6A1A" w:rsidRPr="008D6A1A" w:rsidRDefault="008D6A1A" w:rsidP="008D6A1A">
      <w:pPr>
        <w:spacing w:line="360" w:lineRule="auto" w:after="120"/>
        <w:jc w:val="both"/>
        <w:rPr>
          <w:rFonts w:ascii="Times New Roman" w:hAnsi="Times New Roman" w:cs="Times New Roman"/>
          <w:sz w:val="24"/>
          <w:szCs w:val="24"/>
        </w:rPr>
      </w:pPr>
    </w:p>
    <w:p w14:paraId="66D947BF"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Calatayud et al. (2023) proposed a population model for urban infestations, showing that urban pest problems can be represented using mathematical and spatial modelling approaches. This is relevant to the project because it supports the idea that urban infestation risk is not random and can be modelled using environmental and location-based information. The limitation is that the study is more theoretical than the planned company dashboard, so the project will apply simpler operational analytics first.</w:t>
      </w:r>
    </w:p>
    <w:p w14:paraId="38A260A0" w14:textId="77777777" w:rsidR="008D6A1A" w:rsidRPr="008D6A1A" w:rsidRDefault="008D6A1A" w:rsidP="008D6A1A">
      <w:pPr>
        <w:spacing w:line="360" w:lineRule="auto" w:after="120"/>
        <w:jc w:val="both"/>
        <w:rPr>
          <w:rFonts w:ascii="Times New Roman" w:hAnsi="Times New Roman" w:cs="Times New Roman"/>
          <w:sz w:val="24"/>
          <w:szCs w:val="24"/>
        </w:rPr>
      </w:pPr>
    </w:p>
    <w:p w14:paraId="4861A5BA" w14:textId="77777777" w:rsidR="00984EB3" w:rsidRPr="008D6A1A"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lastRenderedPageBreak/>
        <w:t>Hiscox et al. (2025) reviewed the impact of adverse weather events on cockroaches and flies and reported that temperature, extreme rainfall, and flooding may influence pest ecology and human-pest interaction. This supports the inclusion of rainfall, humidity, and temperature as weather-associated indicators. The study also supports cautious wording because pest activity can be affected by sanitation, building condition, habitat disturbance, and other confounding factors.</w:t>
      </w:r>
    </w:p>
    <w:p w14:paraId="651FB4F9"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Richardson et al. (2025) examined urban rat reports and linked increasing rat numbers with climate warming, urbanisation, and human population. Although the study is not based on Malaysian pest-control service records, it supports the broader idea that urban pest issues should be analysed together with environmental and urban context. This is relevant to the proposed area risk, treatment difficulty, and recurrence analytics modules.</w:t>
      </w:r>
    </w:p>
    <w:p w14:paraId="0C6E9D96" w14:textId="77777777" w:rsidR="008D6A1A" w:rsidRPr="008D6A1A" w:rsidRDefault="008D6A1A" w:rsidP="008D6A1A">
      <w:pPr>
        <w:spacing w:line="360" w:lineRule="auto" w:after="120"/>
        <w:jc w:val="both"/>
        <w:rPr>
          <w:rFonts w:ascii="Times New Roman" w:hAnsi="Times New Roman" w:cs="Times New Roman"/>
          <w:sz w:val="24"/>
          <w:szCs w:val="24"/>
        </w:rPr>
      </w:pPr>
    </w:p>
    <w:p w14:paraId="0AA030E7"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Brimblecombe et al. (2023) analysed long-term urban pest enquiries in Zurich and showed that public enquiry and complaint data can reveal useful patterns in urban pest abundance. This supports the use of Nomobug warranty, complaint, and refund records as operational evidence. However, the study also highlights that such records may be incomplete, biased, or inconsistent, which supports the need for data quality flags and careful interpretation.</w:t>
      </w:r>
    </w:p>
    <w:p w14:paraId="3E80C43E" w14:textId="77777777" w:rsidR="008D6A1A" w:rsidRPr="008D6A1A" w:rsidRDefault="008D6A1A" w:rsidP="008D6A1A">
      <w:pPr>
        <w:spacing w:line="360" w:lineRule="auto" w:after="120"/>
        <w:jc w:val="both"/>
        <w:rPr>
          <w:rFonts w:ascii="Times New Roman" w:hAnsi="Times New Roman" w:cs="Times New Roman"/>
          <w:sz w:val="24"/>
          <w:szCs w:val="24"/>
        </w:rPr>
      </w:pPr>
    </w:p>
    <w:p w14:paraId="6CF54C72"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Pinto et al. (2025) described the Network for Environment and Weather Applications as a digital pest management decision-support tool that combines weather data, dashboards, alerts, and risk models. Although the system focuses on agricultural pest management, it provides a useful reference for weather-aware decision support. The Nomobug project adapts this concept into an urban pest-control SME context using service outcomes, warranty claims, and scheduling data.</w:t>
      </w:r>
    </w:p>
    <w:p w14:paraId="1982AE06" w14:textId="77777777" w:rsidR="008D6A1A" w:rsidRPr="008D6A1A" w:rsidRDefault="008D6A1A" w:rsidP="008D6A1A">
      <w:pPr>
        <w:spacing w:line="360" w:lineRule="auto" w:after="120"/>
        <w:jc w:val="both"/>
        <w:rPr>
          <w:rFonts w:ascii="Times New Roman" w:hAnsi="Times New Roman" w:cs="Times New Roman"/>
          <w:sz w:val="24"/>
          <w:szCs w:val="24"/>
        </w:rPr>
      </w:pPr>
    </w:p>
    <w:p w14:paraId="455AD25A"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Erguler et al. (2024) developed VEClim, an early warning decision-support system for climate-sensitive vector activity and vector-borne disease risk assessment. This source is highly relevant because it demonstrates how climate-sensitive modelling can support warning systems and planning decisions. The proposed Nomobug dashboard follows a similar decision-support direction but applies it to pest-control operations and management planning rather than public health vector surveillance.</w:t>
      </w:r>
    </w:p>
    <w:p w14:paraId="4844AD0C" w14:textId="77777777" w:rsidR="008D6A1A" w:rsidRPr="008D6A1A" w:rsidRDefault="008D6A1A" w:rsidP="008D6A1A">
      <w:pPr>
        <w:spacing w:line="360" w:lineRule="auto" w:after="120"/>
        <w:jc w:val="both"/>
        <w:rPr>
          <w:rFonts w:ascii="Times New Roman" w:hAnsi="Times New Roman" w:cs="Times New Roman"/>
          <w:sz w:val="24"/>
          <w:szCs w:val="24"/>
        </w:rPr>
      </w:pPr>
    </w:p>
    <w:p w14:paraId="0DAF83D9"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Yao et al. (2026) analysed environmental, demographic, and socio-economic factors influencing Aedes albopictus mosquito density using XGBoost and SHAP. The study supports the value of combining environmental variables with interpretable machine-learning explanations. However, because Nomobug has a smaller warranty dataset, the project will not rely on complex XGBoost modelling as the main approach; instead, it will use the study to justify explainable features and future model improvement.</w:t>
      </w:r>
    </w:p>
    <w:p w14:paraId="2161D12F" w14:textId="77777777" w:rsidR="008D6A1A" w:rsidRPr="008D6A1A" w:rsidRDefault="008D6A1A" w:rsidP="008D6A1A">
      <w:pPr>
        <w:spacing w:line="360" w:lineRule="auto" w:after="120"/>
        <w:jc w:val="both"/>
        <w:rPr>
          <w:rFonts w:ascii="Times New Roman" w:hAnsi="Times New Roman" w:cs="Times New Roman"/>
          <w:sz w:val="24"/>
          <w:szCs w:val="24"/>
        </w:rPr>
      </w:pPr>
    </w:p>
    <w:p w14:paraId="40A2B823"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Kaloudis et al. (2026) proposed a temperature-driven population dynamics model using biweekly insect trap counts for stored-product pest management. This source supports the relevance of temperature and time-window features in pest analytics. Since it is a preprint and focuses on stored-product pests, it will be treated as supporting evidence rather than as the main evaluation standard for the </w:t>
      </w:r>
      <w:proofErr w:type="spellStart"/>
      <w:r w:rsidRPr="008D6A1A">
        <w:rPr>
          <w:rFonts w:ascii="Times New Roman" w:hAnsi="Times New Roman" w:cs="Times New Roman" w:eastAsia="Times New Roman"/>
          <w:sz w:val="24"/>
          <w:szCs w:val="24"/>
        </w:rPr>
        <w:t>Nomobug</w:t>
      </w:r>
      <w:proofErr w:type="spellEnd"/>
      <w:r w:rsidRPr="008D6A1A">
        <w:rPr>
          <w:rFonts w:ascii="Times New Roman" w:hAnsi="Times New Roman" w:cs="Times New Roman" w:eastAsia="Times New Roman"/>
          <w:sz w:val="24"/>
          <w:szCs w:val="24"/>
        </w:rPr>
        <w:t xml:space="preserve"> dashboard.</w:t>
      </w:r>
    </w:p>
    <w:p w14:paraId="3D7EFC2B" w14:textId="77777777" w:rsidR="008D6A1A" w:rsidRPr="008D6A1A" w:rsidRDefault="008D6A1A" w:rsidP="008D6A1A">
      <w:pPr>
        <w:spacing w:line="360" w:lineRule="auto" w:after="120"/>
        <w:jc w:val="both"/>
        <w:rPr>
          <w:rFonts w:ascii="Times New Roman" w:hAnsi="Times New Roman" w:cs="Times New Roman"/>
          <w:sz w:val="24"/>
          <w:szCs w:val="24"/>
        </w:rPr>
      </w:pPr>
    </w:p>
    <w:p w14:paraId="4B9CD536"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Sumido et al. (2023) examined pest classification and prediction using weather variables and machine-learning techniques. This supports the use of rainfall, humidity, and temperature as features for pest-related analytics. The study is relevant to the proposed weather-associated warranty and repeat-problem analysis, although the Nomobug system will prioritise transparent and explainable scoring due to limited labelled warranty data.</w:t>
      </w:r>
    </w:p>
    <w:p w14:paraId="5AAC5F6B" w14:textId="77777777" w:rsidR="008D6A1A" w:rsidRPr="008D6A1A" w:rsidRDefault="008D6A1A" w:rsidP="008D6A1A">
      <w:pPr>
        <w:spacing w:line="360" w:lineRule="auto" w:after="120"/>
        <w:jc w:val="both"/>
        <w:rPr>
          <w:rFonts w:ascii="Times New Roman" w:hAnsi="Times New Roman" w:cs="Times New Roman"/>
          <w:sz w:val="24"/>
          <w:szCs w:val="24"/>
        </w:rPr>
      </w:pPr>
    </w:p>
    <w:p w14:paraId="21D56DCE"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Biswas et al. (2022) described a pest forecasting system using historical pesticide usage information. Although it is patent literature rather than an academic evaluation paper, it shows that historical operational records can be used as inputs for pest forecasting. This is relevant because the proposed project similarly uses historical service, warranty, refund, and calendar records to generate planning indicators.</w:t>
      </w:r>
    </w:p>
    <w:p w14:paraId="13E23AD3" w14:textId="77777777" w:rsidR="008D6A1A" w:rsidRPr="008D6A1A" w:rsidRDefault="008D6A1A" w:rsidP="008D6A1A">
      <w:pPr>
        <w:spacing w:line="360" w:lineRule="auto" w:after="120"/>
        <w:jc w:val="both"/>
        <w:rPr>
          <w:rFonts w:ascii="Times New Roman" w:hAnsi="Times New Roman" w:cs="Times New Roman"/>
          <w:sz w:val="24"/>
          <w:szCs w:val="24"/>
        </w:rPr>
      </w:pPr>
    </w:p>
    <w:p w14:paraId="68F772F6"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Dey and Roy (2025) discussed the use of AI and IoT for pest management in smart agriculture. This source is relevant as a broader technology reference because it connects pest management with automated monitoring and intelligent decision support. However, the Nomobug project will avoid expensive IoT deployment and will instead focus on existing company data, dashboard analytics, and optional local AI explanations.</w:t>
      </w:r>
    </w:p>
    <w:p w14:paraId="78023E0D" w14:textId="77777777" w:rsidR="008D6A1A" w:rsidRPr="008D6A1A" w:rsidRDefault="008D6A1A" w:rsidP="008D6A1A">
      <w:pPr>
        <w:spacing w:line="360" w:lineRule="auto" w:after="120"/>
        <w:jc w:val="both"/>
        <w:rPr>
          <w:rFonts w:ascii="Times New Roman" w:hAnsi="Times New Roman" w:cs="Times New Roman"/>
          <w:sz w:val="24"/>
          <w:szCs w:val="24"/>
        </w:rPr>
      </w:pPr>
    </w:p>
    <w:p w14:paraId="09136E24"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Google Calendar API documentation shows that calendar events can be retrieved and processed through API calls. This supports using Google Calendar as an operational data source for scheduling capacity, service stage, team workload, and warranty or extra-service identification. Because calendar titles and descriptions are semi-structured, the methodology will include parsing rules and match-confidence flags.</w:t>
      </w:r>
    </w:p>
    <w:p w14:paraId="49750078" w14:textId="77777777" w:rsidR="008D6A1A" w:rsidRPr="008D6A1A" w:rsidRDefault="008D6A1A" w:rsidP="008D6A1A">
      <w:pPr>
        <w:spacing w:line="360" w:lineRule="auto" w:after="120"/>
        <w:jc w:val="both"/>
        <w:rPr>
          <w:rFonts w:ascii="Times New Roman" w:hAnsi="Times New Roman" w:cs="Times New Roman"/>
          <w:sz w:val="24"/>
          <w:szCs w:val="24"/>
        </w:rPr>
      </w:pPr>
    </w:p>
    <w:p w14:paraId="289FC793" w14:textId="77777777" w:rsidR="00984EB3" w:rsidRDefault="003C0C08" w:rsidP="008D6A1A">
      <w:pPr>
        <w:spacing w:line="360" w:lineRule="auto" w:after="120"/>
        <w:jc w:val="both"/>
      </w:pPr>
      <w:r w:rsidRPr="008D6A1A">
        <w:rPr>
          <w:rFonts w:ascii="Times New Roman" w:hAnsi="Times New Roman" w:cs="Times New Roman" w:eastAsia="Times New Roman"/>
          <w:sz w:val="24"/>
          <w:szCs w:val="24"/>
        </w:rPr>
        <w:t>Open-Meteo documentation explains how historical and forecast weather data can be retrieved using coordinates and date ranges. This is important because Nomobug service areas can be matched to area or postcode centroids without exposing full customer addresses. Malaysia OpenAPI and MET Malaysia documentation provide official forecast and warning support that can be used as a live planning layer</w:t>
      </w:r>
      <w:r>
        <w:rPr>
          <w:rFonts w:ascii="Times New Roman" w:hAnsi="Times New Roman" w:eastAsia="Times New Roman" w:cs="Times New Roman"/>
          <w:sz w:val="24"/>
        </w:rPr>
        <w:t>.</w:t>
      </w:r>
    </w:p>
    <w:p w14:paraId="14B80CED" w14:textId="77777777" w:rsidR="00984EB3" w:rsidRDefault="003C0C08">
      <w:pPr>
        <w:pStyle w:val="Heading2"/>
        <w:spacing w:line="360" w:lineRule="auto" w:after="120" w:before="160"/>
        <w:jc w:val="left"/>
      </w:pPr>
      <w:r>
        <w:rPr>
          <w:rFonts w:ascii="Times New Roman" w:hAnsi="Times New Roman" w:eastAsia="Times New Roman" w:cs="Times New Roman"/>
          <w:b/>
          <w:color w:val="000000"/>
          <w:sz w:val="24"/>
        </w:rPr>
        <w:t>2.8 Literature Matrix</w:t>
      </w:r>
    </w:p>
    <w:tbl>
      <w:tblPr>
        <w:tblStyle w:val="TableGrid"/>
        <w:tblW w:w="0" w:type="auto"/>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48"/>
        <w:gridCol w:w="2251"/>
        <w:gridCol w:w="2269"/>
        <w:gridCol w:w="2248"/>
      </w:tblGrid>
      <w:tr w:rsidR="00984EB3" w14:paraId="53CB9D67" w14:textId="77777777">
        <w:trPr>
          <w:jc w:val="center"/>
        </w:trPr>
        <w:tc>
          <w:tcPr>
            <w:tcW w:w="2256" w:type="dxa"/>
            <w:shd w:val="clear" w:color="auto" w:fill="D9EAF7"/>
            <w:vAlign w:val="center"/>
            <w:shd w:fill="DCEAF7"/>
          </w:tcPr>
          <w:p w14:paraId="73D48E4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0"/>
                <w:szCs w:val="24"/>
              </w:rPr>
              <w:t>Study / Source</w:t>
            </w:r>
          </w:p>
        </w:tc>
        <w:tc>
          <w:tcPr>
            <w:tcW w:w="2256" w:type="dxa"/>
            <w:shd w:val="clear" w:color="auto" w:fill="D9EAF7"/>
            <w:vAlign w:val="center"/>
            <w:shd w:fill="DCEAF7"/>
          </w:tcPr>
          <w:p w14:paraId="3C62294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0"/>
                <w:szCs w:val="24"/>
              </w:rPr>
              <w:t>Focus</w:t>
            </w:r>
          </w:p>
        </w:tc>
        <w:tc>
          <w:tcPr>
            <w:tcW w:w="2256" w:type="dxa"/>
            <w:shd w:val="clear" w:color="auto" w:fill="D9EAF7"/>
            <w:vAlign w:val="center"/>
            <w:shd w:fill="DCEAF7"/>
          </w:tcPr>
          <w:p w14:paraId="1CD5942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0"/>
                <w:szCs w:val="24"/>
              </w:rPr>
              <w:t>How It Supports This Project</w:t>
            </w:r>
          </w:p>
        </w:tc>
        <w:tc>
          <w:tcPr>
            <w:tcW w:w="2256" w:type="dxa"/>
            <w:shd w:val="clear" w:color="auto" w:fill="D9EAF7"/>
            <w:vAlign w:val="center"/>
            <w:shd w:fill="DCEAF7"/>
          </w:tcPr>
          <w:p w14:paraId="48A096F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0"/>
                <w:szCs w:val="24"/>
              </w:rPr>
              <w:t>Use / Limitation</w:t>
            </w:r>
          </w:p>
        </w:tc>
      </w:tr>
      <w:tr w:rsidR="00984EB3" w14:paraId="0E34A2A0" w14:textId="77777777">
        <w:trPr>
          <w:jc w:val="center"/>
        </w:trPr>
        <w:tc>
          <w:tcPr>
            <w:tcW w:w="2256" w:type="dxa"/>
            <w:vAlign w:val="center"/>
          </w:tcPr>
          <w:p w14:paraId="456249F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Ragazou et al. (2023)</w:t>
            </w:r>
          </w:p>
        </w:tc>
        <w:tc>
          <w:tcPr>
            <w:tcW w:w="2256" w:type="dxa"/>
            <w:vAlign w:val="center"/>
          </w:tcPr>
          <w:p w14:paraId="66BB6E0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BI for SMEs</w:t>
            </w:r>
          </w:p>
        </w:tc>
        <w:tc>
          <w:tcPr>
            <w:tcW w:w="2256" w:type="dxa"/>
            <w:vAlign w:val="center"/>
          </w:tcPr>
          <w:p w14:paraId="3F77F2D5"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SME decision-support dashboard framing</w:t>
            </w:r>
          </w:p>
        </w:tc>
        <w:tc>
          <w:tcPr>
            <w:tcW w:w="2256" w:type="dxa"/>
            <w:vAlign w:val="center"/>
          </w:tcPr>
          <w:p w14:paraId="77ABA06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Core BI reference</w:t>
            </w:r>
          </w:p>
        </w:tc>
      </w:tr>
      <w:tr w:rsidR="00984EB3" w14:paraId="50000622" w14:textId="77777777">
        <w:trPr>
          <w:jc w:val="center"/>
        </w:trPr>
        <w:tc>
          <w:tcPr>
            <w:tcW w:w="2256" w:type="dxa"/>
            <w:vAlign w:val="center"/>
          </w:tcPr>
          <w:p w14:paraId="144F917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Gurcan et al. (2023)</w:t>
            </w:r>
          </w:p>
        </w:tc>
        <w:tc>
          <w:tcPr>
            <w:tcW w:w="2256" w:type="dxa"/>
            <w:vAlign w:val="center"/>
          </w:tcPr>
          <w:p w14:paraId="4B8D5F8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BI trends, AI, data mining</w:t>
            </w:r>
          </w:p>
        </w:tc>
        <w:tc>
          <w:tcPr>
            <w:tcW w:w="2256" w:type="dxa"/>
            <w:vAlign w:val="center"/>
          </w:tcPr>
          <w:p w14:paraId="0997505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layered descriptive, predictive, prescriptive analytics</w:t>
            </w:r>
          </w:p>
        </w:tc>
        <w:tc>
          <w:tcPr>
            <w:tcW w:w="2256" w:type="dxa"/>
            <w:vAlign w:val="center"/>
          </w:tcPr>
          <w:p w14:paraId="0CF28C6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Core BI reference</w:t>
            </w:r>
          </w:p>
        </w:tc>
      </w:tr>
      <w:tr w:rsidR="00984EB3" w14:paraId="1FEA69A1" w14:textId="77777777">
        <w:trPr>
          <w:jc w:val="center"/>
        </w:trPr>
        <w:tc>
          <w:tcPr>
            <w:tcW w:w="2256" w:type="dxa"/>
            <w:vAlign w:val="center"/>
          </w:tcPr>
          <w:p w14:paraId="2BF8163A"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Cordon (2026)</w:t>
            </w:r>
          </w:p>
        </w:tc>
        <w:tc>
          <w:tcPr>
            <w:tcW w:w="2256" w:type="dxa"/>
            <w:vAlign w:val="center"/>
          </w:tcPr>
          <w:p w14:paraId="67797AA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Predictive heat maps for urban cockroach infestation</w:t>
            </w:r>
          </w:p>
        </w:tc>
        <w:tc>
          <w:tcPr>
            <w:tcW w:w="2256" w:type="dxa"/>
            <w:vAlign w:val="center"/>
          </w:tcPr>
          <w:p w14:paraId="3A63FCE4"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spatial-temporal heatmap concept</w:t>
            </w:r>
          </w:p>
        </w:tc>
        <w:tc>
          <w:tcPr>
            <w:tcW w:w="2256" w:type="dxa"/>
            <w:vAlign w:val="center"/>
          </w:tcPr>
          <w:p w14:paraId="28E97997"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Supporting source, not main model</w:t>
            </w:r>
          </w:p>
        </w:tc>
      </w:tr>
      <w:tr w:rsidR="00984EB3" w14:paraId="480CE986" w14:textId="77777777">
        <w:trPr>
          <w:jc w:val="center"/>
        </w:trPr>
        <w:tc>
          <w:tcPr>
            <w:tcW w:w="2256" w:type="dxa"/>
            <w:vAlign w:val="center"/>
          </w:tcPr>
          <w:p w14:paraId="7EE2FBC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Calatayud et al. (2023)</w:t>
            </w:r>
          </w:p>
        </w:tc>
        <w:tc>
          <w:tcPr>
            <w:tcW w:w="2256" w:type="dxa"/>
            <w:vAlign w:val="center"/>
          </w:tcPr>
          <w:p w14:paraId="64E3287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Urban infestation population model</w:t>
            </w:r>
          </w:p>
        </w:tc>
        <w:tc>
          <w:tcPr>
            <w:tcW w:w="2256" w:type="dxa"/>
            <w:vAlign w:val="center"/>
          </w:tcPr>
          <w:p w14:paraId="799519A6"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modelling urban pest dynamics</w:t>
            </w:r>
          </w:p>
        </w:tc>
        <w:tc>
          <w:tcPr>
            <w:tcW w:w="2256" w:type="dxa"/>
            <w:vAlign w:val="center"/>
          </w:tcPr>
          <w:p w14:paraId="6805F82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More theoretical than dashboard use</w:t>
            </w:r>
          </w:p>
        </w:tc>
      </w:tr>
      <w:tr w:rsidR="00984EB3" w14:paraId="350E6D2A" w14:textId="77777777">
        <w:trPr>
          <w:jc w:val="center"/>
        </w:trPr>
        <w:tc>
          <w:tcPr>
            <w:tcW w:w="2256" w:type="dxa"/>
            <w:vAlign w:val="center"/>
          </w:tcPr>
          <w:p w14:paraId="326783D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Hiscox et al. (2025)</w:t>
            </w:r>
          </w:p>
        </w:tc>
        <w:tc>
          <w:tcPr>
            <w:tcW w:w="2256" w:type="dxa"/>
            <w:vAlign w:val="center"/>
          </w:tcPr>
          <w:p w14:paraId="483A6204"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Weather events and cockroaches/flies</w:t>
            </w:r>
          </w:p>
        </w:tc>
        <w:tc>
          <w:tcPr>
            <w:tcW w:w="2256" w:type="dxa"/>
            <w:vAlign w:val="center"/>
          </w:tcPr>
          <w:p w14:paraId="02CF1E28"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weather-associated risk indicators</w:t>
            </w:r>
          </w:p>
        </w:tc>
        <w:tc>
          <w:tcPr>
            <w:tcW w:w="2256" w:type="dxa"/>
            <w:vAlign w:val="center"/>
          </w:tcPr>
          <w:p w14:paraId="5EC48AD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Avoid causal claims</w:t>
            </w:r>
          </w:p>
        </w:tc>
      </w:tr>
      <w:tr w:rsidR="00984EB3" w14:paraId="0E2FAB9E" w14:textId="77777777">
        <w:trPr>
          <w:jc w:val="center"/>
        </w:trPr>
        <w:tc>
          <w:tcPr>
            <w:tcW w:w="2256" w:type="dxa"/>
            <w:vAlign w:val="center"/>
          </w:tcPr>
          <w:p w14:paraId="057EAAB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lastRenderedPageBreak/>
              <w:t>Richardson et al. (2025)</w:t>
            </w:r>
          </w:p>
        </w:tc>
        <w:tc>
          <w:tcPr>
            <w:tcW w:w="2256" w:type="dxa"/>
            <w:vAlign w:val="center"/>
          </w:tcPr>
          <w:p w14:paraId="6767183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Urban rats, climate, urbanisation</w:t>
            </w:r>
          </w:p>
        </w:tc>
        <w:tc>
          <w:tcPr>
            <w:tcW w:w="2256" w:type="dxa"/>
            <w:vAlign w:val="center"/>
          </w:tcPr>
          <w:p w14:paraId="791A21D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environmental and urban context analysis</w:t>
            </w:r>
          </w:p>
        </w:tc>
        <w:tc>
          <w:tcPr>
            <w:tcW w:w="2256" w:type="dxa"/>
            <w:vAlign w:val="center"/>
          </w:tcPr>
          <w:p w14:paraId="7A90559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Different pest and setting</w:t>
            </w:r>
          </w:p>
        </w:tc>
      </w:tr>
      <w:tr w:rsidR="00984EB3" w14:paraId="745A3A2D" w14:textId="77777777">
        <w:trPr>
          <w:jc w:val="center"/>
        </w:trPr>
        <w:tc>
          <w:tcPr>
            <w:tcW w:w="2256" w:type="dxa"/>
            <w:vAlign w:val="center"/>
          </w:tcPr>
          <w:p w14:paraId="55D77D53"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Brimblecombe et al. (2023)</w:t>
            </w:r>
          </w:p>
        </w:tc>
        <w:tc>
          <w:tcPr>
            <w:tcW w:w="2256" w:type="dxa"/>
            <w:vAlign w:val="center"/>
          </w:tcPr>
          <w:p w14:paraId="46EFCA7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Urban pest enquiry data</w:t>
            </w:r>
          </w:p>
        </w:tc>
        <w:tc>
          <w:tcPr>
            <w:tcW w:w="2256" w:type="dxa"/>
            <w:vAlign w:val="center"/>
          </w:tcPr>
          <w:p w14:paraId="78364377"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use of complaints/warranty-style records</w:t>
            </w:r>
          </w:p>
        </w:tc>
        <w:tc>
          <w:tcPr>
            <w:tcW w:w="2256" w:type="dxa"/>
            <w:vAlign w:val="center"/>
          </w:tcPr>
          <w:p w14:paraId="54C71415"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Records can be biased</w:t>
            </w:r>
          </w:p>
        </w:tc>
      </w:tr>
      <w:tr w:rsidR="00984EB3" w14:paraId="2718C31B" w14:textId="77777777">
        <w:trPr>
          <w:jc w:val="center"/>
        </w:trPr>
        <w:tc>
          <w:tcPr>
            <w:tcW w:w="2256" w:type="dxa"/>
            <w:vAlign w:val="center"/>
          </w:tcPr>
          <w:p w14:paraId="4476B44D"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Pinto et al. (2025)</w:t>
            </w:r>
          </w:p>
        </w:tc>
        <w:tc>
          <w:tcPr>
            <w:tcW w:w="2256" w:type="dxa"/>
            <w:vAlign w:val="center"/>
          </w:tcPr>
          <w:p w14:paraId="18EFD3CE"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Weather-based pest DSS</w:t>
            </w:r>
          </w:p>
        </w:tc>
        <w:tc>
          <w:tcPr>
            <w:tcW w:w="2256" w:type="dxa"/>
            <w:vAlign w:val="center"/>
          </w:tcPr>
          <w:p w14:paraId="439D338B"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decision-support architecture</w:t>
            </w:r>
          </w:p>
        </w:tc>
        <w:tc>
          <w:tcPr>
            <w:tcW w:w="2256" w:type="dxa"/>
            <w:vAlign w:val="center"/>
          </w:tcPr>
          <w:p w14:paraId="00CF2DB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Agricultural focus</w:t>
            </w:r>
          </w:p>
        </w:tc>
      </w:tr>
      <w:tr w:rsidR="00984EB3" w14:paraId="4033D9F6" w14:textId="77777777">
        <w:trPr>
          <w:jc w:val="center"/>
        </w:trPr>
        <w:tc>
          <w:tcPr>
            <w:tcW w:w="2256" w:type="dxa"/>
            <w:vAlign w:val="center"/>
          </w:tcPr>
          <w:p w14:paraId="7C01BA8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Erguler et al. (2024)</w:t>
            </w:r>
          </w:p>
        </w:tc>
        <w:tc>
          <w:tcPr>
            <w:tcW w:w="2256" w:type="dxa"/>
            <w:vAlign w:val="center"/>
          </w:tcPr>
          <w:p w14:paraId="695E8D19"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VEClim early warning DSS</w:t>
            </w:r>
          </w:p>
        </w:tc>
        <w:tc>
          <w:tcPr>
            <w:tcW w:w="2256" w:type="dxa"/>
            <w:vAlign w:val="center"/>
          </w:tcPr>
          <w:p w14:paraId="6B57E074"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climate-sensitive warning and planning layer</w:t>
            </w:r>
          </w:p>
        </w:tc>
        <w:tc>
          <w:tcPr>
            <w:tcW w:w="2256" w:type="dxa"/>
            <w:vAlign w:val="center"/>
          </w:tcPr>
          <w:p w14:paraId="254AC35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Vector/public health context</w:t>
            </w:r>
          </w:p>
        </w:tc>
      </w:tr>
      <w:tr w:rsidR="00984EB3" w14:paraId="65CD44D8" w14:textId="77777777">
        <w:trPr>
          <w:jc w:val="center"/>
        </w:trPr>
        <w:tc>
          <w:tcPr>
            <w:tcW w:w="2256" w:type="dxa"/>
            <w:vAlign w:val="center"/>
          </w:tcPr>
          <w:p w14:paraId="203D7C8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Yao et al. (2026)</w:t>
            </w:r>
          </w:p>
        </w:tc>
        <w:tc>
          <w:tcPr>
            <w:tcW w:w="2256" w:type="dxa"/>
            <w:vAlign w:val="center"/>
          </w:tcPr>
          <w:p w14:paraId="71DFD9F4"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XGBoost and SHAP mosquito density</w:t>
            </w:r>
          </w:p>
        </w:tc>
        <w:tc>
          <w:tcPr>
            <w:tcW w:w="2256" w:type="dxa"/>
            <w:vAlign w:val="center"/>
          </w:tcPr>
          <w:p w14:paraId="33B95057"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explainable environmental modelling</w:t>
            </w:r>
          </w:p>
        </w:tc>
        <w:tc>
          <w:tcPr>
            <w:tcW w:w="2256" w:type="dxa"/>
            <w:vAlign w:val="center"/>
          </w:tcPr>
          <w:p w14:paraId="674BE64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Too complex for small warranty dataset</w:t>
            </w:r>
          </w:p>
        </w:tc>
      </w:tr>
      <w:tr w:rsidR="00984EB3" w14:paraId="2C033311" w14:textId="77777777">
        <w:trPr>
          <w:jc w:val="center"/>
        </w:trPr>
        <w:tc>
          <w:tcPr>
            <w:tcW w:w="2256" w:type="dxa"/>
            <w:vAlign w:val="center"/>
          </w:tcPr>
          <w:p w14:paraId="0ED70EA1"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Kaloudis et al. (2026)</w:t>
            </w:r>
          </w:p>
        </w:tc>
        <w:tc>
          <w:tcPr>
            <w:tcW w:w="2256" w:type="dxa"/>
            <w:vAlign w:val="center"/>
          </w:tcPr>
          <w:p w14:paraId="6B58E923"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Temperature-driven pest population model</w:t>
            </w:r>
          </w:p>
        </w:tc>
        <w:tc>
          <w:tcPr>
            <w:tcW w:w="2256" w:type="dxa"/>
            <w:vAlign w:val="center"/>
          </w:tcPr>
          <w:p w14:paraId="4CF4DBD3"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time-window and temperature features</w:t>
            </w:r>
          </w:p>
        </w:tc>
        <w:tc>
          <w:tcPr>
            <w:tcW w:w="2256" w:type="dxa"/>
            <w:vAlign w:val="center"/>
          </w:tcPr>
          <w:p w14:paraId="68A20E15"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Preprint, stored-product pest context</w:t>
            </w:r>
          </w:p>
        </w:tc>
      </w:tr>
      <w:tr w:rsidR="00984EB3" w14:paraId="25543125" w14:textId="77777777">
        <w:trPr>
          <w:jc w:val="center"/>
        </w:trPr>
        <w:tc>
          <w:tcPr>
            <w:tcW w:w="2256" w:type="dxa"/>
            <w:vAlign w:val="center"/>
          </w:tcPr>
          <w:p w14:paraId="11CADB2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Sumido et al. (2023)</w:t>
            </w:r>
          </w:p>
        </w:tc>
        <w:tc>
          <w:tcPr>
            <w:tcW w:w="2256" w:type="dxa"/>
            <w:vAlign w:val="center"/>
          </w:tcPr>
          <w:p w14:paraId="2E4762E8"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Weather variables and pest prediction</w:t>
            </w:r>
          </w:p>
        </w:tc>
        <w:tc>
          <w:tcPr>
            <w:tcW w:w="2256" w:type="dxa"/>
            <w:vAlign w:val="center"/>
          </w:tcPr>
          <w:p w14:paraId="03AA270A"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weather features in ML analytics</w:t>
            </w:r>
          </w:p>
        </w:tc>
        <w:tc>
          <w:tcPr>
            <w:tcW w:w="2256" w:type="dxa"/>
            <w:vAlign w:val="center"/>
          </w:tcPr>
          <w:p w14:paraId="31A86C6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Different data domain</w:t>
            </w:r>
          </w:p>
        </w:tc>
      </w:tr>
      <w:tr w:rsidR="00984EB3" w14:paraId="5AC2567B" w14:textId="77777777">
        <w:trPr>
          <w:jc w:val="center"/>
        </w:trPr>
        <w:tc>
          <w:tcPr>
            <w:tcW w:w="2256" w:type="dxa"/>
            <w:vAlign w:val="center"/>
          </w:tcPr>
          <w:p w14:paraId="29EE1DFA"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Biswas et al. (2022)</w:t>
            </w:r>
          </w:p>
        </w:tc>
        <w:tc>
          <w:tcPr>
            <w:tcW w:w="2256" w:type="dxa"/>
            <w:vAlign w:val="center"/>
          </w:tcPr>
          <w:p w14:paraId="2F00C8E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Pest forecasting using historical usage records</w:t>
            </w:r>
          </w:p>
        </w:tc>
        <w:tc>
          <w:tcPr>
            <w:tcW w:w="2256" w:type="dxa"/>
            <w:vAlign w:val="center"/>
          </w:tcPr>
          <w:p w14:paraId="4C271709"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use of historical operational records</w:t>
            </w:r>
          </w:p>
        </w:tc>
        <w:tc>
          <w:tcPr>
            <w:tcW w:w="2256" w:type="dxa"/>
            <w:vAlign w:val="center"/>
          </w:tcPr>
          <w:p w14:paraId="12AB900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Patent/source not academic validation</w:t>
            </w:r>
          </w:p>
        </w:tc>
      </w:tr>
      <w:tr w:rsidR="00984EB3" w14:paraId="633F0C46" w14:textId="77777777">
        <w:trPr>
          <w:jc w:val="center"/>
        </w:trPr>
        <w:tc>
          <w:tcPr>
            <w:tcW w:w="2256" w:type="dxa"/>
            <w:vAlign w:val="center"/>
          </w:tcPr>
          <w:p w14:paraId="6C7C8E03"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Dey &amp; Roy (2025)</w:t>
            </w:r>
          </w:p>
        </w:tc>
        <w:tc>
          <w:tcPr>
            <w:tcW w:w="2256" w:type="dxa"/>
            <w:vAlign w:val="center"/>
          </w:tcPr>
          <w:p w14:paraId="0161076C"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AI and IoT pest management</w:t>
            </w:r>
          </w:p>
        </w:tc>
        <w:tc>
          <w:tcPr>
            <w:tcW w:w="2256" w:type="dxa"/>
            <w:vAlign w:val="center"/>
          </w:tcPr>
          <w:p w14:paraId="0266774E"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future intelligent decision support</w:t>
            </w:r>
          </w:p>
        </w:tc>
        <w:tc>
          <w:tcPr>
            <w:tcW w:w="2256" w:type="dxa"/>
            <w:vAlign w:val="center"/>
          </w:tcPr>
          <w:p w14:paraId="2FFBA03D"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Broader smart agriculture context</w:t>
            </w:r>
          </w:p>
        </w:tc>
      </w:tr>
      <w:tr w:rsidR="00984EB3" w14:paraId="691DCD73" w14:textId="77777777">
        <w:trPr>
          <w:jc w:val="center"/>
        </w:trPr>
        <w:tc>
          <w:tcPr>
            <w:tcW w:w="2256" w:type="dxa"/>
            <w:vAlign w:val="center"/>
          </w:tcPr>
          <w:p w14:paraId="04C6CF42"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Open-Meteo (2026)</w:t>
            </w:r>
          </w:p>
        </w:tc>
        <w:tc>
          <w:tcPr>
            <w:tcW w:w="2256" w:type="dxa"/>
            <w:vAlign w:val="center"/>
          </w:tcPr>
          <w:p w14:paraId="5A09CF79"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Historical and forecast weather API</w:t>
            </w:r>
          </w:p>
        </w:tc>
        <w:tc>
          <w:tcPr>
            <w:tcW w:w="2256" w:type="dxa"/>
            <w:vAlign w:val="center"/>
          </w:tcPr>
          <w:p w14:paraId="45692D26"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coordinate-based weather matching</w:t>
            </w:r>
          </w:p>
        </w:tc>
        <w:tc>
          <w:tcPr>
            <w:tcW w:w="2256" w:type="dxa"/>
            <w:vAlign w:val="center"/>
          </w:tcPr>
          <w:p w14:paraId="6EF5DCA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Weather remains an indicator</w:t>
            </w:r>
          </w:p>
        </w:tc>
      </w:tr>
      <w:tr w:rsidR="00984EB3" w14:paraId="2649F334" w14:textId="77777777">
        <w:trPr>
          <w:jc w:val="center"/>
        </w:trPr>
        <w:tc>
          <w:tcPr>
            <w:tcW w:w="2256" w:type="dxa"/>
            <w:vAlign w:val="center"/>
          </w:tcPr>
          <w:p w14:paraId="375FA133"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Google Calendar API (2026)</w:t>
            </w:r>
          </w:p>
        </w:tc>
        <w:tc>
          <w:tcPr>
            <w:tcW w:w="2256" w:type="dxa"/>
            <w:vAlign w:val="center"/>
          </w:tcPr>
          <w:p w14:paraId="6AB7F4FF"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Calendar event extraction</w:t>
            </w:r>
          </w:p>
        </w:tc>
        <w:tc>
          <w:tcPr>
            <w:tcW w:w="2256" w:type="dxa"/>
            <w:vAlign w:val="center"/>
          </w:tcPr>
          <w:p w14:paraId="2E3EC1D0"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scheduling and capacity analytics</w:t>
            </w:r>
          </w:p>
        </w:tc>
        <w:tc>
          <w:tcPr>
            <w:tcW w:w="2256" w:type="dxa"/>
            <w:vAlign w:val="center"/>
          </w:tcPr>
          <w:p w14:paraId="389E26F9"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Requires parsing confidence</w:t>
            </w:r>
          </w:p>
        </w:tc>
      </w:tr>
      <w:tr w:rsidR="00984EB3" w14:paraId="64F6277C" w14:textId="77777777">
        <w:trPr>
          <w:jc w:val="center"/>
        </w:trPr>
        <w:tc>
          <w:tcPr>
            <w:tcW w:w="2256" w:type="dxa"/>
            <w:vAlign w:val="center"/>
          </w:tcPr>
          <w:p w14:paraId="7E03D612" w14:textId="77777777" w:rsidR="00984EB3" w:rsidRPr="00A32882" w:rsidRDefault="003C0C08" w:rsidP="00A32882">
            <w:pPr>
              <w:spacing w:after="40" w:line="276" w:lineRule="auto"/>
              <w:jc w:val="left"/>
              <w:rPr>
                <w:rFonts w:ascii="Times New Roman" w:hAnsi="Times New Roman" w:cs="Times New Roman"/>
                <w:sz w:val="24"/>
                <w:szCs w:val="24"/>
              </w:rPr>
            </w:pPr>
            <w:r>
              <w:rPr>
                <w:rFonts w:ascii="Times New Roman" w:hAnsi="Times New Roman" w:eastAsia="Times New Roman"/>
                <w:sz w:val="20"/>
              </w:rPr>
              <w:t>Analytics platform documentation (2026)</w:t>
            </w:r>
          </w:p>
        </w:tc>
        <w:tc>
          <w:tcPr>
            <w:tcW w:w="2256" w:type="dxa"/>
            <w:vAlign w:val="center"/>
          </w:tcPr>
          <w:p w14:paraId="74387BFA"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Warehouse and dashboard tools</w:t>
            </w:r>
          </w:p>
        </w:tc>
        <w:tc>
          <w:tcPr>
            <w:tcW w:w="2256" w:type="dxa"/>
            <w:vAlign w:val="center"/>
          </w:tcPr>
          <w:p w14:paraId="35F9275F" w14:textId="77777777" w:rsidR="00984EB3" w:rsidRPr="00A32882" w:rsidRDefault="003C0C08" w:rsidP="00A32882">
            <w:pPr>
              <w:spacing w:after="40" w:line="276" w:lineRule="auto"/>
              <w:jc w:val="left"/>
              <w:rPr>
                <w:rFonts w:ascii="Times New Roman" w:hAnsi="Times New Roman" w:cs="Times New Roman"/>
                <w:sz w:val="24"/>
                <w:szCs w:val="24"/>
              </w:rPr>
            </w:pPr>
            <w:r>
              <w:rPr>
                <w:rFonts w:ascii="Times New Roman" w:hAnsi="Times New Roman" w:eastAsia="Times New Roman"/>
                <w:sz w:val="20"/>
              </w:rPr>
              <w:t>Supports the selected analytics warehouse and dashboard implementation</w:t>
            </w:r>
          </w:p>
        </w:tc>
        <w:tc>
          <w:tcPr>
            <w:tcW w:w="2256" w:type="dxa"/>
            <w:vAlign w:val="center"/>
          </w:tcPr>
          <w:p w14:paraId="3268439A" w14:textId="77777777" w:rsidR="00984EB3" w:rsidRPr="00A32882" w:rsidRDefault="003C0C08" w:rsidP="00A32882">
            <w:pPr>
              <w:spacing w:after="40" w:line="276" w:lineRule="auto"/>
              <w:jc w:val="left"/>
              <w:rPr>
                <w:rFonts w:ascii="Times New Roman" w:hAnsi="Times New Roman" w:cs="Times New Roman"/>
                <w:sz w:val="24"/>
                <w:szCs w:val="24"/>
              </w:rPr>
            </w:pPr>
            <w:r w:rsidRPr="00A32882">
              <w:rPr>
                <w:rFonts w:ascii="Times New Roman" w:hAnsi="Times New Roman" w:cs="Times New Roman" w:eastAsia="Times New Roman"/>
                <w:sz w:val="20"/>
                <w:szCs w:val="24"/>
              </w:rPr>
              <w:t>Technical documentation</w:t>
            </w:r>
          </w:p>
        </w:tc>
      </w:tr>
      <w:tr w:rsidR="00BF3F6C" w14:paraId="654B0EAB" w14:textId="77777777">
        <w:trPr>
          <w:jc w:val="center"/>
        </w:trPr>
        <w:tc>
          <w:tcPr>
            <w:tcW w:w="2248" w:type="dxa"/>
            <w:vAlign w:val="center"/>
          </w:tcPr>
          <w:p w14:paraId="5255B74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Schulze et al. (2023)</w:t>
            </w:r>
          </w:p>
        </w:tc>
        <w:tc>
          <w:tcPr>
            <w:tcW w:w="2251" w:type="dxa"/>
            <w:vAlign w:val="center"/>
          </w:tcPr>
          <w:p w14:paraId="3D643871"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Digital dashboard systematic review</w:t>
            </w:r>
          </w:p>
        </w:tc>
        <w:tc>
          <w:tcPr>
            <w:tcW w:w="2269" w:type="dxa"/>
            <w:vAlign w:val="center"/>
          </w:tcPr>
          <w:p w14:paraId="48D61C3E"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dashboard design and action-oriented visual communication</w:t>
            </w:r>
          </w:p>
        </w:tc>
        <w:tc>
          <w:tcPr>
            <w:tcW w:w="2248" w:type="dxa"/>
            <w:vAlign w:val="center"/>
          </w:tcPr>
          <w:p w14:paraId="59066484"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General public-health context</w:t>
            </w:r>
          </w:p>
        </w:tc>
      </w:tr>
      <w:tr w:rsidR="00BF3F6C" w14:paraId="2FDB5AE1" w14:textId="77777777">
        <w:trPr>
          <w:jc w:val="center"/>
        </w:trPr>
        <w:tc>
          <w:tcPr>
            <w:tcW w:w="2248" w:type="dxa"/>
            <w:vAlign w:val="center"/>
          </w:tcPr>
          <w:p w14:paraId="0B7E937C"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Blacketer et al. (2021)</w:t>
            </w:r>
          </w:p>
        </w:tc>
        <w:tc>
          <w:tcPr>
            <w:tcW w:w="2251" w:type="dxa"/>
            <w:vAlign w:val="center"/>
          </w:tcPr>
          <w:p w14:paraId="11ECBBF7"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Data Quality Dashboard</w:t>
            </w:r>
          </w:p>
        </w:tc>
        <w:tc>
          <w:tcPr>
            <w:tcW w:w="2269" w:type="dxa"/>
            <w:vAlign w:val="center"/>
          </w:tcPr>
          <w:p w14:paraId="41F3A3E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data quality reporting before analytics interpretation</w:t>
            </w:r>
          </w:p>
        </w:tc>
        <w:tc>
          <w:tcPr>
            <w:tcW w:w="2248" w:type="dxa"/>
            <w:vAlign w:val="center"/>
          </w:tcPr>
          <w:p w14:paraId="3AE2F4EF"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Healthcare context but transferable</w:t>
            </w:r>
          </w:p>
        </w:tc>
      </w:tr>
      <w:tr w:rsidR="00BF3F6C" w14:paraId="73D13A23" w14:textId="77777777">
        <w:trPr>
          <w:jc w:val="center"/>
        </w:trPr>
        <w:tc>
          <w:tcPr>
            <w:tcW w:w="2248" w:type="dxa"/>
            <w:vAlign w:val="center"/>
          </w:tcPr>
          <w:p w14:paraId="0D3A2C5A"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Fu et al. (2024)</w:t>
            </w:r>
          </w:p>
        </w:tc>
        <w:tc>
          <w:tcPr>
            <w:tcW w:w="2251" w:type="dxa"/>
            <w:vAlign w:val="center"/>
          </w:tcPr>
          <w:p w14:paraId="0BC43E88"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Industrial data quality review</w:t>
            </w:r>
          </w:p>
        </w:tc>
        <w:tc>
          <w:tcPr>
            <w:tcW w:w="2269" w:type="dxa"/>
            <w:vAlign w:val="center"/>
          </w:tcPr>
          <w:p w14:paraId="029FA5FA"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staging, cleaning flags, and governance workflow</w:t>
            </w:r>
          </w:p>
        </w:tc>
        <w:tc>
          <w:tcPr>
            <w:tcW w:w="2248" w:type="dxa"/>
            <w:vAlign w:val="center"/>
          </w:tcPr>
          <w:p w14:paraId="41AF0EA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Conceptual review</w:t>
            </w:r>
          </w:p>
        </w:tc>
      </w:tr>
      <w:tr w:rsidR="00BF3F6C" w14:paraId="50122F0C" w14:textId="77777777">
        <w:trPr>
          <w:jc w:val="center"/>
        </w:trPr>
        <w:tc>
          <w:tcPr>
            <w:tcW w:w="2248" w:type="dxa"/>
            <w:vAlign w:val="center"/>
          </w:tcPr>
          <w:p w14:paraId="3CB04707"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Tonle et al. (2024)</w:t>
            </w:r>
          </w:p>
        </w:tc>
        <w:tc>
          <w:tcPr>
            <w:tcW w:w="2251" w:type="dxa"/>
            <w:vAlign w:val="center"/>
          </w:tcPr>
          <w:p w14:paraId="51A1AA30"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Pest management DSS roadmap</w:t>
            </w:r>
          </w:p>
        </w:tc>
        <w:tc>
          <w:tcPr>
            <w:tcW w:w="2269" w:type="dxa"/>
            <w:vAlign w:val="center"/>
          </w:tcPr>
          <w:p w14:paraId="420ADAB0"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architecture connecting data, models, and decision outputs</w:t>
            </w:r>
          </w:p>
        </w:tc>
        <w:tc>
          <w:tcPr>
            <w:tcW w:w="2248" w:type="dxa"/>
            <w:vAlign w:val="center"/>
          </w:tcPr>
          <w:p w14:paraId="35747751"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Agricultural IPM context</w:t>
            </w:r>
          </w:p>
        </w:tc>
      </w:tr>
      <w:tr w:rsidR="00BF3F6C" w14:paraId="18A4B657" w14:textId="77777777">
        <w:trPr>
          <w:jc w:val="center"/>
        </w:trPr>
        <w:tc>
          <w:tcPr>
            <w:tcW w:w="2248" w:type="dxa"/>
            <w:vAlign w:val="center"/>
          </w:tcPr>
          <w:p w14:paraId="64A3CA48"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Marinko et al. (2024)</w:t>
            </w:r>
          </w:p>
        </w:tc>
        <w:tc>
          <w:tcPr>
            <w:tcW w:w="2251" w:type="dxa"/>
            <w:vAlign w:val="center"/>
          </w:tcPr>
          <w:p w14:paraId="7A940DB6"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IPM DSS typology web app</w:t>
            </w:r>
          </w:p>
        </w:tc>
        <w:tc>
          <w:tcPr>
            <w:tcW w:w="2269" w:type="dxa"/>
            <w:vAlign w:val="center"/>
          </w:tcPr>
          <w:p w14:paraId="1CDEEBFE"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classifying monitoring, prediction, and recommendation features</w:t>
            </w:r>
          </w:p>
        </w:tc>
        <w:tc>
          <w:tcPr>
            <w:tcW w:w="2248" w:type="dxa"/>
            <w:vAlign w:val="center"/>
          </w:tcPr>
          <w:p w14:paraId="2F101FE7"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Agricultural DSS focus</w:t>
            </w:r>
          </w:p>
        </w:tc>
      </w:tr>
      <w:tr w:rsidR="00BF3F6C" w14:paraId="2CC0036A" w14:textId="77777777">
        <w:trPr>
          <w:jc w:val="center"/>
        </w:trPr>
        <w:tc>
          <w:tcPr>
            <w:tcW w:w="2248" w:type="dxa"/>
            <w:vAlign w:val="center"/>
          </w:tcPr>
          <w:p w14:paraId="01F3DDC8"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Fiori et al. (2024)</w:t>
            </w:r>
          </w:p>
        </w:tc>
        <w:tc>
          <w:tcPr>
            <w:tcW w:w="2251" w:type="dxa"/>
            <w:vAlign w:val="center"/>
          </w:tcPr>
          <w:p w14:paraId="039001A6"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SMARTerra pest/disease DSS</w:t>
            </w:r>
          </w:p>
        </w:tc>
        <w:tc>
          <w:tcPr>
            <w:tcW w:w="2269" w:type="dxa"/>
            <w:vAlign w:val="center"/>
          </w:tcPr>
          <w:p w14:paraId="469BF56E"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high-resolution risk maps and planning dashboards</w:t>
            </w:r>
          </w:p>
        </w:tc>
        <w:tc>
          <w:tcPr>
            <w:tcW w:w="2248" w:type="dxa"/>
            <w:vAlign w:val="center"/>
          </w:tcPr>
          <w:p w14:paraId="6823494D"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Plant pest/disease context</w:t>
            </w:r>
          </w:p>
        </w:tc>
      </w:tr>
      <w:tr w:rsidR="00BF3F6C" w14:paraId="2D2E055B" w14:textId="77777777">
        <w:trPr>
          <w:jc w:val="center"/>
        </w:trPr>
        <w:tc>
          <w:tcPr>
            <w:tcW w:w="2248" w:type="dxa"/>
            <w:vAlign w:val="center"/>
          </w:tcPr>
          <w:p w14:paraId="5D4FB75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Marinko et al. (2025)</w:t>
            </w:r>
          </w:p>
        </w:tc>
        <w:tc>
          <w:tcPr>
            <w:tcW w:w="2251" w:type="dxa"/>
            <w:vAlign w:val="center"/>
          </w:tcPr>
          <w:p w14:paraId="5638BF5F"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DSS adoption barriers</w:t>
            </w:r>
          </w:p>
        </w:tc>
        <w:tc>
          <w:tcPr>
            <w:tcW w:w="2269" w:type="dxa"/>
            <w:vAlign w:val="center"/>
          </w:tcPr>
          <w:p w14:paraId="5A127FA5"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usability, trust, and adoption evaluation</w:t>
            </w:r>
          </w:p>
        </w:tc>
        <w:tc>
          <w:tcPr>
            <w:tcW w:w="2248" w:type="dxa"/>
            <w:vAlign w:val="center"/>
          </w:tcPr>
          <w:p w14:paraId="12B7B88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European IPM setting</w:t>
            </w:r>
          </w:p>
        </w:tc>
      </w:tr>
      <w:tr w:rsidR="00BF3F6C" w14:paraId="290BA555" w14:textId="77777777">
        <w:trPr>
          <w:jc w:val="center"/>
        </w:trPr>
        <w:tc>
          <w:tcPr>
            <w:tcW w:w="2248" w:type="dxa"/>
            <w:vAlign w:val="center"/>
          </w:tcPr>
          <w:p w14:paraId="59903B64"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lastRenderedPageBreak/>
              <w:t>Choi &amp; Hong (2021)</w:t>
            </w:r>
          </w:p>
        </w:tc>
        <w:tc>
          <w:tcPr>
            <w:tcW w:w="2251" w:type="dxa"/>
            <w:vAlign w:val="center"/>
          </w:tcPr>
          <w:p w14:paraId="0D43422C"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MDST-DBSCAN spatiotemporal clustering</w:t>
            </w:r>
          </w:p>
        </w:tc>
        <w:tc>
          <w:tcPr>
            <w:tcW w:w="2269" w:type="dxa"/>
            <w:vAlign w:val="center"/>
          </w:tcPr>
          <w:p w14:paraId="684E5977"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density-based hotspot detection with noisy spatial data</w:t>
            </w:r>
          </w:p>
        </w:tc>
        <w:tc>
          <w:tcPr>
            <w:tcW w:w="2248" w:type="dxa"/>
            <w:vAlign w:val="center"/>
          </w:tcPr>
          <w:p w14:paraId="20CB0F03"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More advanced than required</w:t>
            </w:r>
          </w:p>
        </w:tc>
      </w:tr>
      <w:tr w:rsidR="00BF3F6C" w14:paraId="7A24A48D" w14:textId="77777777">
        <w:trPr>
          <w:jc w:val="center"/>
        </w:trPr>
        <w:tc>
          <w:tcPr>
            <w:tcW w:w="2248" w:type="dxa"/>
            <w:vAlign w:val="center"/>
          </w:tcPr>
          <w:p w14:paraId="3ED26D0B"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Ejike et al. (2025)</w:t>
            </w:r>
          </w:p>
        </w:tc>
        <w:tc>
          <w:tcPr>
            <w:tcW w:w="2251" w:type="dxa"/>
            <w:vAlign w:val="center"/>
          </w:tcPr>
          <w:p w14:paraId="29AE1D8F"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Rainfall prediction using ML</w:t>
            </w:r>
          </w:p>
        </w:tc>
        <w:tc>
          <w:tcPr>
            <w:tcW w:w="2269" w:type="dxa"/>
            <w:vAlign w:val="center"/>
          </w:tcPr>
          <w:p w14:paraId="17B0B345"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lightweight weather modelling and logistic regression comparison</w:t>
            </w:r>
          </w:p>
        </w:tc>
        <w:tc>
          <w:tcPr>
            <w:tcW w:w="2248" w:type="dxa"/>
            <w:vAlign w:val="center"/>
          </w:tcPr>
          <w:p w14:paraId="70DA1A02"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Weather prediction, not pest outcome</w:t>
            </w:r>
          </w:p>
        </w:tc>
      </w:tr>
      <w:tr w:rsidR="00BF3F6C" w14:paraId="0CF311BD" w14:textId="77777777">
        <w:trPr>
          <w:jc w:val="center"/>
        </w:trPr>
        <w:tc>
          <w:tcPr>
            <w:tcW w:w="2248" w:type="dxa"/>
            <w:vAlign w:val="center"/>
          </w:tcPr>
          <w:p w14:paraId="6AC9AFBA"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Leybourne et al. (2025)</w:t>
            </w:r>
          </w:p>
        </w:tc>
        <w:tc>
          <w:tcPr>
            <w:tcW w:w="2251" w:type="dxa"/>
            <w:vAlign w:val="center"/>
          </w:tcPr>
          <w:p w14:paraId="5667722C"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AI in pest monitoring schemes</w:t>
            </w:r>
          </w:p>
        </w:tc>
        <w:tc>
          <w:tcPr>
            <w:tcW w:w="2269" w:type="dxa"/>
            <w:vAlign w:val="center"/>
          </w:tcPr>
          <w:p w14:paraId="5993E8B6"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Supports future AI explanation layer and adoption caution</w:t>
            </w:r>
          </w:p>
        </w:tc>
        <w:tc>
          <w:tcPr>
            <w:tcW w:w="2248" w:type="dxa"/>
            <w:vAlign w:val="center"/>
          </w:tcPr>
          <w:p w14:paraId="1A536915" w14:textId="77777777" w:rsidR="00BF3F6C" w:rsidRPr="00A32882" w:rsidRDefault="003C0C08" w:rsidP="00A32882">
            <w:pPr>
              <w:spacing w:line="276" w:lineRule="auto" w:after="40"/>
              <w:jc w:val="left"/>
              <w:rPr>
                <w:rFonts w:ascii="Times New Roman" w:hAnsi="Times New Roman" w:cs="Times New Roman"/>
                <w:sz w:val="24"/>
                <w:szCs w:val="24"/>
              </w:rPr>
            </w:pPr>
            <w:r w:rsidRPr="00A32882">
              <w:rPr>
                <w:rFonts w:ascii="Times New Roman" w:hAnsi="Times New Roman" w:cs="Times New Roman" w:eastAsia="Times New Roman"/>
                <w:sz w:val="20"/>
                <w:szCs w:val="24"/>
              </w:rPr>
              <w:t>Agricultural monitoring focus</w:t>
            </w:r>
          </w:p>
        </w:tc>
      </w:tr>
    </w:tbl>
    <w:p w14:paraId="63FC4198" w14:textId="77777777" w:rsidR="0084730D" w:rsidRPr="00335C63" w:rsidRDefault="0084730D" w:rsidP="000F4170">
      <w:pPr>
        <w:spacing w:line="360" w:lineRule="auto" w:after="120"/>
        <w:jc w:val="both"/>
        <w:rPr>
          <w:rFonts w:ascii="Times New Roman" w:hAnsi="Times New Roman" w:cs="Times New Roman"/>
          <w:sz w:val="24"/>
          <w:szCs w:val="24"/>
        </w:rPr>
      </w:pPr>
    </w:p>
    <w:p w14:paraId="5F6D5E6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cs="Times New Roman"/>
          <w:b/>
          <w:color w:val="000000"/>
          <w:sz w:val="24"/>
        </w:rPr>
        <w:t>2.9 Research Gap</w:t>
      </w:r>
    </w:p>
    <w:p w14:paraId="01CC5F42"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reviewed literature shows that BI can improve SME decision-making, weather can be an important pest-risk indicator, spatial-temporal clustering can detect emerging hotspots, and AI can support SME decision processes. However, there is limited work that combines these areas into a single practical system for an urban pest-control SME using real operational records such as warranty claims, refunds, payment links, Google Calendar service slots, technician assignments,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windows.</w:t>
      </w:r>
    </w:p>
    <w:p w14:paraId="186F0A6C" w14:textId="77777777" w:rsidR="008D6A1A" w:rsidRPr="00335C63" w:rsidRDefault="008D6A1A" w:rsidP="008D6A1A">
      <w:pPr>
        <w:spacing w:line="360" w:lineRule="auto" w:after="120"/>
        <w:jc w:val="both"/>
        <w:rPr>
          <w:rFonts w:ascii="Times New Roman" w:hAnsi="Times New Roman" w:cs="Times New Roman"/>
          <w:sz w:val="24"/>
          <w:szCs w:val="24"/>
        </w:rPr>
      </w:pPr>
    </w:p>
    <w:p w14:paraId="76EF817D"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project fills that gap by building a company-specific decision-support dashboard that integrates operational, environmental, spatial, and financial data. The contribution is not a heavy machine learning model; it is a usable analytics architecture that helps management understand where problems occur, when recurrence happens, which factors require review, and what actions may improve planning.</w:t>
      </w:r>
    </w:p>
    <w:p w14:paraId="5D47885A"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Chapter 3: Methodology</w:t>
      </w:r>
    </w:p>
    <w:p w14:paraId="1C46CCEC"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 Overall Research and Development Approach</w:t>
      </w:r>
    </w:p>
    <w:p w14:paraId="6330469C" w14:textId="77777777" w:rsidR="0084730D" w:rsidRPr="003E4481" w:rsidRDefault="00357319" w:rsidP="008D6A1A">
      <w:pPr>
        <w:spacing w:line="360" w:lineRule="auto" w:after="120"/>
        <w:jc w:val="both"/>
        <w:rPr>
          <w:rFonts w:ascii="Times New Roman" w:hAnsi="Times New Roman" w:cs="Times New Roman"/>
          <w:sz w:val="28"/>
          <w:szCs w:val="28"/>
        </w:rPr>
      </w:pPr>
      <w:r>
        <w:rPr>
          <w:rFonts w:ascii="Times New Roman" w:hAnsi="Times New Roman" w:eastAsia="Times New Roman"/>
          <w:sz w:val="24"/>
        </w:rPr>
        <w:t>The project will follow an applied data engineering and analytics development methodology. Since CP1 is the planning phase and the final Google Sheet structures may still change, the process begins with data understanding and source profiling before any final warehouse model is fixed. CP2 will then move into flexible data contracts, extraction, raw loading, warehouse transformation, data quality testing, weather enrichment, analytics modelling, dashboard development, and evaluation with company users. The methodology is designed to suit messy SME data and a limited warranty dataset, so explainability and data reliability are prioritised over complex black-box machine learning.</w:t>
      </w:r>
    </w:p>
    <w:tbl>
      <w:tblPr>
        <w:tblStyle w:val="TableGrid"/>
        <w:tblW w:w="0" w:type="auto"/>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16"/>
        <w:gridCol w:w="4179"/>
        <w:gridCol w:w="2721"/>
      </w:tblGrid>
      <w:tr w:rsidR="0084730D" w:rsidRPr="00335C63" w14:paraId="159723E0" w14:textId="77777777" w:rsidTr="00CD7B49">
        <w:trPr>
          <w:cantSplit/>
          <w:tblHeader/>
          <w:jc w:val="center"/>
        </w:trPr>
        <w:tc>
          <w:tcPr>
            <w:tcW w:w="0" w:type="auto"/>
            <w:shd w:val="clear" w:color="auto" w:fill="E8F1FA"/>
            <w:tcMar>
              <w:top w:w="90" w:type="dxa"/>
              <w:left w:w="90" w:type="dxa"/>
              <w:bottom w:w="90" w:type="dxa"/>
              <w:right w:w="90" w:type="dxa"/>
            </w:tcMar>
            <w:vAlign w:val="center"/>
            <w:shd w:fill="DCEAF7"/>
          </w:tcPr>
          <w:p w14:paraId="4E11B67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Phase</w:t>
            </w:r>
          </w:p>
        </w:tc>
        <w:tc>
          <w:tcPr>
            <w:tcW w:w="0" w:type="auto"/>
            <w:shd w:val="clear" w:color="auto" w:fill="E8F1FA"/>
            <w:tcMar>
              <w:top w:w="90" w:type="dxa"/>
              <w:left w:w="90" w:type="dxa"/>
              <w:bottom w:w="90" w:type="dxa"/>
              <w:right w:w="90" w:type="dxa"/>
            </w:tcMar>
            <w:vAlign w:val="center"/>
            <w:shd w:fill="DCEAF7"/>
          </w:tcPr>
          <w:p w14:paraId="1891233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Main Activities</w:t>
            </w:r>
          </w:p>
        </w:tc>
        <w:tc>
          <w:tcPr>
            <w:tcW w:w="0" w:type="auto"/>
            <w:shd w:val="clear" w:color="auto" w:fill="E8F1FA"/>
            <w:tcMar>
              <w:top w:w="90" w:type="dxa"/>
              <w:left w:w="90" w:type="dxa"/>
              <w:bottom w:w="90" w:type="dxa"/>
              <w:right w:w="90" w:type="dxa"/>
            </w:tcMar>
            <w:vAlign w:val="center"/>
            <w:shd w:fill="DCEAF7"/>
          </w:tcPr>
          <w:p w14:paraId="1300826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Main Output</w:t>
            </w:r>
          </w:p>
        </w:tc>
      </w:tr>
      <w:tr w:rsidR="0084730D" w:rsidRPr="00335C63" w14:paraId="7A4710D9" w14:textId="77777777" w:rsidTr="00CD7B49">
        <w:trPr>
          <w:cantSplit/>
          <w:jc w:val="center"/>
        </w:trPr>
        <w:tc>
          <w:tcPr>
            <w:tcW w:w="0" w:type="auto"/>
            <w:tcMar>
              <w:top w:w="90" w:type="dxa"/>
              <w:left w:w="90" w:type="dxa"/>
              <w:bottom w:w="90" w:type="dxa"/>
              <w:right w:w="90" w:type="dxa"/>
            </w:tcMar>
            <w:vAlign w:val="center"/>
          </w:tcPr>
          <w:p w14:paraId="6248114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1. Data understanding</w:t>
            </w:r>
          </w:p>
        </w:tc>
        <w:tc>
          <w:tcPr>
            <w:tcW w:w="0" w:type="auto"/>
            <w:tcMar>
              <w:top w:w="90" w:type="dxa"/>
              <w:left w:w="90" w:type="dxa"/>
              <w:bottom w:w="90" w:type="dxa"/>
              <w:right w:w="90" w:type="dxa"/>
            </w:tcMar>
            <w:vAlign w:val="center"/>
          </w:tcPr>
          <w:p w14:paraId="01CBC6E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Profile Google Sheets, Calendar data, weather sources, missing values, duplicates, inconsistent labels</w:t>
            </w:r>
          </w:p>
        </w:tc>
        <w:tc>
          <w:tcPr>
            <w:tcW w:w="0" w:type="auto"/>
            <w:tcMar>
              <w:top w:w="90" w:type="dxa"/>
              <w:left w:w="90" w:type="dxa"/>
              <w:bottom w:w="90" w:type="dxa"/>
              <w:right w:w="90" w:type="dxa"/>
            </w:tcMar>
            <w:vAlign w:val="center"/>
          </w:tcPr>
          <w:p w14:paraId="019989C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quality report and field mapping</w:t>
            </w:r>
          </w:p>
        </w:tc>
      </w:tr>
      <w:tr w:rsidR="0084730D" w:rsidRPr="00335C63" w14:paraId="50E6A24C" w14:textId="77777777" w:rsidTr="00CD7B49">
        <w:trPr>
          <w:cantSplit/>
          <w:jc w:val="center"/>
        </w:trPr>
        <w:tc>
          <w:tcPr>
            <w:tcW w:w="0" w:type="auto"/>
            <w:tcMar>
              <w:top w:w="90" w:type="dxa"/>
              <w:left w:w="90" w:type="dxa"/>
              <w:bottom w:w="90" w:type="dxa"/>
              <w:right w:w="90" w:type="dxa"/>
            </w:tcMar>
            <w:vAlign w:val="center"/>
          </w:tcPr>
          <w:p w14:paraId="135E543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2. Data preparation</w:t>
            </w:r>
          </w:p>
        </w:tc>
        <w:tc>
          <w:tcPr>
            <w:tcW w:w="0" w:type="auto"/>
            <w:tcMar>
              <w:top w:w="90" w:type="dxa"/>
              <w:left w:w="90" w:type="dxa"/>
              <w:bottom w:w="90" w:type="dxa"/>
              <w:right w:w="90" w:type="dxa"/>
            </w:tcMar>
            <w:vAlign w:val="center"/>
          </w:tcPr>
          <w:p w14:paraId="24D133F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Clean dates, IDs, phone numbers, areas, pest types, packages, refund categories, calendar event types</w:t>
            </w:r>
          </w:p>
        </w:tc>
        <w:tc>
          <w:tcPr>
            <w:tcW w:w="0" w:type="auto"/>
            <w:tcMar>
              <w:top w:w="90" w:type="dxa"/>
              <w:left w:w="90" w:type="dxa"/>
              <w:bottom w:w="90" w:type="dxa"/>
              <w:right w:w="90" w:type="dxa"/>
            </w:tcMar>
            <w:vAlign w:val="center"/>
          </w:tcPr>
          <w:p w14:paraId="08C38C3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Cleaned staging tables and validation flags</w:t>
            </w:r>
          </w:p>
        </w:tc>
      </w:tr>
      <w:tr w:rsidR="0084730D" w:rsidRPr="00335C63" w14:paraId="00A789AE" w14:textId="77777777" w:rsidTr="00CD7B49">
        <w:trPr>
          <w:cantSplit/>
          <w:jc w:val="center"/>
        </w:trPr>
        <w:tc>
          <w:tcPr>
            <w:tcW w:w="0" w:type="auto"/>
            <w:tcMar>
              <w:top w:w="90" w:type="dxa"/>
              <w:left w:w="90" w:type="dxa"/>
              <w:bottom w:w="90" w:type="dxa"/>
              <w:right w:w="90" w:type="dxa"/>
            </w:tcMar>
            <w:vAlign w:val="center"/>
          </w:tcPr>
          <w:p w14:paraId="3AED1DA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3. Data integration</w:t>
            </w:r>
          </w:p>
        </w:tc>
        <w:tc>
          <w:tcPr>
            <w:tcW w:w="0" w:type="auto"/>
            <w:tcMar>
              <w:top w:w="90" w:type="dxa"/>
              <w:left w:w="90" w:type="dxa"/>
              <w:bottom w:w="90" w:type="dxa"/>
              <w:right w:w="90" w:type="dxa"/>
            </w:tcMar>
            <w:vAlign w:val="center"/>
          </w:tcPr>
          <w:p w14:paraId="3597FDB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Join data by customer ID, phone number, service date, area, and calendar event matching</w:t>
            </w:r>
          </w:p>
        </w:tc>
        <w:tc>
          <w:tcPr>
            <w:tcW w:w="0" w:type="auto"/>
            <w:tcMar>
              <w:top w:w="90" w:type="dxa"/>
              <w:left w:w="90" w:type="dxa"/>
              <w:bottom w:w="90" w:type="dxa"/>
              <w:right w:w="90" w:type="dxa"/>
            </w:tcMar>
            <w:vAlign w:val="center"/>
          </w:tcPr>
          <w:p w14:paraId="22ED321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Analytics-ready fact/dimension model</w:t>
            </w:r>
          </w:p>
        </w:tc>
      </w:tr>
      <w:tr w:rsidR="0084730D" w:rsidRPr="00335C63" w14:paraId="55EC73AB" w14:textId="77777777" w:rsidTr="00CD7B49">
        <w:trPr>
          <w:cantSplit/>
          <w:jc w:val="center"/>
        </w:trPr>
        <w:tc>
          <w:tcPr>
            <w:tcW w:w="0" w:type="auto"/>
            <w:tcMar>
              <w:top w:w="90" w:type="dxa"/>
              <w:left w:w="90" w:type="dxa"/>
              <w:bottom w:w="90" w:type="dxa"/>
              <w:right w:w="90" w:type="dxa"/>
            </w:tcMar>
            <w:vAlign w:val="center"/>
          </w:tcPr>
          <w:p w14:paraId="36598C3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4. Weather enrichment</w:t>
            </w:r>
          </w:p>
        </w:tc>
        <w:tc>
          <w:tcPr>
            <w:tcW w:w="0" w:type="auto"/>
            <w:tcMar>
              <w:top w:w="90" w:type="dxa"/>
              <w:left w:w="90" w:type="dxa"/>
              <w:bottom w:w="90" w:type="dxa"/>
              <w:right w:w="90" w:type="dxa"/>
            </w:tcMar>
            <w:vAlign w:val="center"/>
          </w:tcPr>
          <w:p w14:paraId="2464CFB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Map area/postcode to coordinates and retrieve rainfall, humidity, and temperature windows</w:t>
            </w:r>
          </w:p>
        </w:tc>
        <w:tc>
          <w:tcPr>
            <w:tcW w:w="0" w:type="auto"/>
            <w:tcMar>
              <w:top w:w="90" w:type="dxa"/>
              <w:left w:w="90" w:type="dxa"/>
              <w:bottom w:w="90" w:type="dxa"/>
              <w:right w:w="90" w:type="dxa"/>
            </w:tcMar>
            <w:vAlign w:val="center"/>
          </w:tcPr>
          <w:p w14:paraId="4A811AC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Weather-enriched service table and coverage report</w:t>
            </w:r>
          </w:p>
        </w:tc>
      </w:tr>
      <w:tr w:rsidR="0084730D" w:rsidRPr="00335C63" w14:paraId="4BF569BB" w14:textId="77777777" w:rsidTr="00CD7B49">
        <w:trPr>
          <w:cantSplit/>
          <w:jc w:val="center"/>
        </w:trPr>
        <w:tc>
          <w:tcPr>
            <w:tcW w:w="0" w:type="auto"/>
            <w:tcMar>
              <w:top w:w="90" w:type="dxa"/>
              <w:left w:w="90" w:type="dxa"/>
              <w:bottom w:w="90" w:type="dxa"/>
              <w:right w:w="90" w:type="dxa"/>
            </w:tcMar>
            <w:vAlign w:val="center"/>
          </w:tcPr>
          <w:p w14:paraId="6B1E563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5. Analytics modelling</w:t>
            </w:r>
          </w:p>
        </w:tc>
        <w:tc>
          <w:tcPr>
            <w:tcW w:w="0" w:type="auto"/>
            <w:tcMar>
              <w:top w:w="90" w:type="dxa"/>
              <w:left w:w="90" w:type="dxa"/>
              <w:bottom w:w="90" w:type="dxa"/>
              <w:right w:w="90" w:type="dxa"/>
            </w:tcMar>
            <w:vAlign w:val="center"/>
          </w:tcPr>
          <w:p w14:paraId="05DF4A5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Compute KPIs, recurrence windows, treatment difficulty, hotspot clusters, upsell package fit, warranty review factors</w:t>
            </w:r>
          </w:p>
        </w:tc>
        <w:tc>
          <w:tcPr>
            <w:tcW w:w="0" w:type="auto"/>
            <w:tcMar>
              <w:top w:w="90" w:type="dxa"/>
              <w:left w:w="90" w:type="dxa"/>
              <w:bottom w:w="90" w:type="dxa"/>
              <w:right w:w="90" w:type="dxa"/>
            </w:tcMar>
            <w:vAlign w:val="center"/>
          </w:tcPr>
          <w:p w14:paraId="6232A51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Dashboard marts and scoring tables</w:t>
            </w:r>
          </w:p>
        </w:tc>
      </w:tr>
      <w:tr w:rsidR="0084730D" w:rsidRPr="00335C63" w14:paraId="30A7C790" w14:textId="77777777" w:rsidTr="00CD7B49">
        <w:trPr>
          <w:cantSplit/>
          <w:jc w:val="center"/>
        </w:trPr>
        <w:tc>
          <w:tcPr>
            <w:tcW w:w="0" w:type="auto"/>
            <w:tcMar>
              <w:top w:w="90" w:type="dxa"/>
              <w:left w:w="90" w:type="dxa"/>
              <w:bottom w:w="90" w:type="dxa"/>
              <w:right w:w="90" w:type="dxa"/>
            </w:tcMar>
            <w:vAlign w:val="center"/>
          </w:tcPr>
          <w:p w14:paraId="20E6121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6. Scheduled refresh</w:t>
            </w:r>
          </w:p>
        </w:tc>
        <w:tc>
          <w:tcPr>
            <w:tcW w:w="0" w:type="auto"/>
            <w:tcMar>
              <w:top w:w="90" w:type="dxa"/>
              <w:left w:w="90" w:type="dxa"/>
              <w:bottom w:w="90" w:type="dxa"/>
              <w:right w:w="90" w:type="dxa"/>
            </w:tcMar>
            <w:vAlign w:val="center"/>
          </w:tcPr>
          <w:p w14:paraId="35519A95"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Run Python ETL, scheduled warehouse jobs, or an orchestration workflow on a planned interval</w:t>
            </w:r>
          </w:p>
        </w:tc>
        <w:tc>
          <w:tcPr>
            <w:tcW w:w="0" w:type="auto"/>
            <w:tcMar>
              <w:top w:w="90" w:type="dxa"/>
              <w:left w:w="90" w:type="dxa"/>
              <w:bottom w:w="90" w:type="dxa"/>
              <w:right w:w="90" w:type="dxa"/>
            </w:tcMar>
            <w:vAlign w:val="center"/>
          </w:tcPr>
          <w:p w14:paraId="16A41AE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Near-real-time refreshed analytics tables</w:t>
            </w:r>
          </w:p>
        </w:tc>
      </w:tr>
      <w:tr w:rsidR="0084730D" w:rsidRPr="00335C63" w14:paraId="522DE7F6" w14:textId="77777777" w:rsidTr="00CD7B49">
        <w:trPr>
          <w:cantSplit/>
          <w:jc w:val="center"/>
        </w:trPr>
        <w:tc>
          <w:tcPr>
            <w:tcW w:w="0" w:type="auto"/>
            <w:tcMar>
              <w:top w:w="90" w:type="dxa"/>
              <w:left w:w="90" w:type="dxa"/>
              <w:bottom w:w="90" w:type="dxa"/>
              <w:right w:w="90" w:type="dxa"/>
            </w:tcMar>
            <w:vAlign w:val="center"/>
          </w:tcPr>
          <w:p w14:paraId="2F9F9E0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7. Dashboard development</w:t>
            </w:r>
          </w:p>
        </w:tc>
        <w:tc>
          <w:tcPr>
            <w:tcW w:w="0" w:type="auto"/>
            <w:tcMar>
              <w:top w:w="90" w:type="dxa"/>
              <w:left w:w="90" w:type="dxa"/>
              <w:bottom w:w="90" w:type="dxa"/>
              <w:right w:w="90" w:type="dxa"/>
            </w:tcMar>
            <w:vAlign w:val="center"/>
          </w:tcPr>
          <w:p w14:paraId="197E4DA9"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Build BI dashboards connected to curated analytics marts with filters and charts</w:t>
            </w:r>
          </w:p>
        </w:tc>
        <w:tc>
          <w:tcPr>
            <w:tcW w:w="0" w:type="auto"/>
            <w:tcMar>
              <w:top w:w="90" w:type="dxa"/>
              <w:left w:w="90" w:type="dxa"/>
              <w:bottom w:w="90" w:type="dxa"/>
              <w:right w:w="90" w:type="dxa"/>
            </w:tcMar>
            <w:vAlign w:val="center"/>
          </w:tcPr>
          <w:p w14:paraId="1D75FB1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Browser-based BI dashboard</w:t>
            </w:r>
          </w:p>
        </w:tc>
      </w:tr>
      <w:tr w:rsidR="0084730D" w:rsidRPr="00335C63" w14:paraId="3A82E071" w14:textId="77777777" w:rsidTr="00CD7B49">
        <w:trPr>
          <w:cantSplit/>
          <w:jc w:val="center"/>
        </w:trPr>
        <w:tc>
          <w:tcPr>
            <w:tcW w:w="0" w:type="auto"/>
            <w:tcMar>
              <w:top w:w="90" w:type="dxa"/>
              <w:left w:w="90" w:type="dxa"/>
              <w:bottom w:w="90" w:type="dxa"/>
              <w:right w:w="90" w:type="dxa"/>
            </w:tcMar>
            <w:vAlign w:val="center"/>
          </w:tcPr>
          <w:p w14:paraId="46289CF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8. Recommendation logging</w:t>
            </w:r>
          </w:p>
        </w:tc>
        <w:tc>
          <w:tcPr>
            <w:tcW w:w="0" w:type="auto"/>
            <w:tcMar>
              <w:top w:w="90" w:type="dxa"/>
              <w:left w:w="90" w:type="dxa"/>
              <w:bottom w:w="90" w:type="dxa"/>
              <w:right w:w="90" w:type="dxa"/>
            </w:tcMar>
            <w:vAlign w:val="center"/>
          </w:tcPr>
          <w:p w14:paraId="1F1A65F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Store generated recommendations, reasons, management response, and later outcome</w:t>
            </w:r>
          </w:p>
        </w:tc>
        <w:tc>
          <w:tcPr>
            <w:tcW w:w="0" w:type="auto"/>
            <w:tcMar>
              <w:top w:w="90" w:type="dxa"/>
              <w:left w:w="90" w:type="dxa"/>
              <w:bottom w:w="90" w:type="dxa"/>
              <w:right w:w="90" w:type="dxa"/>
            </w:tcMar>
            <w:vAlign w:val="center"/>
          </w:tcPr>
          <w:p w14:paraId="52C7152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Recommendation log for review and future AI learning</w:t>
            </w:r>
          </w:p>
        </w:tc>
      </w:tr>
      <w:tr w:rsidR="0084730D" w:rsidRPr="00335C63" w14:paraId="368A8E23" w14:textId="77777777" w:rsidTr="00CD7B49">
        <w:trPr>
          <w:cantSplit/>
          <w:jc w:val="center"/>
        </w:trPr>
        <w:tc>
          <w:tcPr>
            <w:tcW w:w="0" w:type="auto"/>
            <w:tcMar>
              <w:top w:w="90" w:type="dxa"/>
              <w:left w:w="90" w:type="dxa"/>
              <w:bottom w:w="90" w:type="dxa"/>
              <w:right w:w="90" w:type="dxa"/>
            </w:tcMar>
            <w:vAlign w:val="center"/>
          </w:tcPr>
          <w:p w14:paraId="49E92B2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9. Evaluation</w:t>
            </w:r>
          </w:p>
        </w:tc>
        <w:tc>
          <w:tcPr>
            <w:tcW w:w="0" w:type="auto"/>
            <w:tcMar>
              <w:top w:w="90" w:type="dxa"/>
              <w:left w:w="90" w:type="dxa"/>
              <w:bottom w:w="90" w:type="dxa"/>
              <w:right w:w="90" w:type="dxa"/>
            </w:tcMar>
            <w:vAlign w:val="center"/>
          </w:tcPr>
          <w:p w14:paraId="1128C0A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Review dashboard with management, compare manual vs dashboard analysis, collect feedback</w:t>
            </w:r>
          </w:p>
        </w:tc>
        <w:tc>
          <w:tcPr>
            <w:tcW w:w="0" w:type="auto"/>
            <w:tcMar>
              <w:top w:w="90" w:type="dxa"/>
              <w:left w:w="90" w:type="dxa"/>
              <w:bottom w:w="90" w:type="dxa"/>
              <w:right w:w="90" w:type="dxa"/>
            </w:tcMar>
            <w:vAlign w:val="center"/>
          </w:tcPr>
          <w:p w14:paraId="6372649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Evaluation findings and improvement list</w:t>
            </w:r>
          </w:p>
        </w:tc>
      </w:tr>
    </w:tbl>
    <w:p w14:paraId="7C7BA9E8" w14:textId="77777777" w:rsidR="0084730D" w:rsidRPr="00335C63" w:rsidRDefault="0084730D" w:rsidP="000F4170">
      <w:pPr>
        <w:spacing w:line="360" w:lineRule="auto" w:after="120"/>
        <w:jc w:val="both"/>
        <w:rPr>
          <w:rFonts w:ascii="Times New Roman" w:hAnsi="Times New Roman" w:cs="Times New Roman"/>
          <w:sz w:val="24"/>
          <w:szCs w:val="24"/>
        </w:rPr>
      </w:pPr>
    </w:p>
    <w:p w14:paraId="2F321747"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3.2 Proposed Technical Architecture</w:t>
      </w:r>
    </w:p>
    <w:p>
      <w:pPr>
        <w:pStyle w:val="Heading3"/>
        <w:spacing w:line="360" w:lineRule="auto" w:after="120" w:before="160"/>
        <w:jc w:val="left"/>
      </w:pPr>
      <w:r>
        <w:rPr>
          <w:rFonts w:ascii="Times New Roman" w:hAnsi="Times New Roman" w:eastAsia="Times New Roman"/>
          <w:b/>
          <w:color w:val="000000"/>
          <w:sz w:val="24"/>
        </w:rPr>
        <w:t>3.2.1 Project Tech Stack Flow</w:t>
      </w:r>
    </w:p>
    <w:p>
      <w:pPr>
        <w:spacing w:line="360" w:lineRule="auto" w:after="120"/>
        <w:jc w:val="both"/>
      </w:pPr>
      <w:r>
        <w:rPr>
          <w:rFonts w:ascii="Times New Roman" w:hAnsi="Times New Roman" w:eastAsia="Times New Roman"/>
          <w:sz w:val="24"/>
        </w:rPr>
        <w:t>The proposed project workflow follows a data engineering and analytics architecture. Raw operational sources will be extracted and validated using Python, stored in a suitable analytics storage layer, transformed into cleaned and dashboard-ready outputs, and visualised through a BI dashboard tool. Possible platforms include Apache Airflow for orchestration, BigQuery for cloud analytics storage, dbt Core for SQL modelling and testing, Docker for local packaging, and Apache Superset for dashboards. These are possible platform choices, not fixed commitments, and will be confirmed in CP2 after testing. The final outputs support treatment difficulty analysis, recurrence monitoring, weather-associated risk review, warranty quality review, and upsell decision support.</w:t>
      </w:r>
    </w:p>
    <w:p>
      <w:pPr>
        <w:spacing w:line="360" w:lineRule="auto" w:after="120"/>
        <w:jc w:val="both"/>
      </w:pPr>
      <w:r>
        <w:rPr>
          <w:rFonts w:ascii="Times New Roman" w:hAnsi="Times New Roman" w:eastAsia="Times New Roman"/>
          <w:sz w:val="24"/>
        </w:rPr>
        <w:drawing>
          <wp:inline xmlns:a="http://schemas.openxmlformats.org/drawingml/2006/main" xmlns:pic="http://schemas.openxmlformats.org/drawingml/2006/picture">
            <wp:extent cx="5760720" cy="7296912"/>
            <wp:docPr id="1" name="Picture 1"/>
            <wp:cNvGraphicFramePr>
              <a:graphicFrameLocks noChangeAspect="1"/>
            </wp:cNvGraphicFramePr>
            <a:graphic>
              <a:graphicData uri="http://schemas.openxmlformats.org/drawingml/2006/picture">
                <pic:pic>
                  <pic:nvPicPr>
                    <pic:cNvPr id="0" name="nomobug_project_tech_stack_flow.png"/>
                    <pic:cNvPicPr/>
                  </pic:nvPicPr>
                  <pic:blipFill>
                    <a:blip r:embed="rId11"/>
                    <a:stretch>
                      <a:fillRect/>
                    </a:stretch>
                  </pic:blipFill>
                  <pic:spPr>
                    <a:xfrm>
                      <a:off x="0" y="0"/>
                      <a:ext cx="5760720" cy="7296912"/>
                    </a:xfrm>
                    <a:prstGeom prst="rect"/>
                  </pic:spPr>
                </pic:pic>
              </a:graphicData>
            </a:graphic>
          </wp:inline>
        </w:drawing>
      </w:r>
    </w:p>
    <w:p>
      <w:pPr>
        <w:spacing w:line="360" w:lineRule="auto" w:after="120"/>
        <w:jc w:val="both"/>
      </w:pPr>
      <w:r>
        <w:rPr>
          <w:rFonts w:ascii="Times New Roman" w:hAnsi="Times New Roman" w:eastAsia="Times New Roman"/>
          <w:i/>
          <w:sz w:val="24"/>
        </w:rPr>
        <w:t>Figure 3.1: Possible platform stack flow for the Nomobug analytics and decision-support dashboard.</w:t>
      </w:r>
    </w:p>
    <w:p w14:paraId="2FB3CB25" w14:textId="77777777" w:rsidR="0084730D"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planned architecture begins with Google Sheets or CSV/Excel as operational data sources, Google Calendar as a scheduling source, Python as the extraction/loading layer, and weather APIs as external enrichment sources. The possible platform stack includes an orchestration layer such as Apache Airflow or a scheduled Python job, an analytics warehouse such as BigQuery or another suitable database, a transformation/testing layer such as dbt Core or SQL scripts, a BI dashboard tool such as Apache Superset, and an optional future local AI explanation layer. Docker may be used where helpful to package local services, but it is not treated as a compulsory project requirement.</w:t>
      </w:r>
    </w:p>
    <w:p w14:paraId="1F8527CE" w14:textId="77777777" w:rsidR="008D6A1A" w:rsidRPr="00335C63" w:rsidRDefault="008D6A1A" w:rsidP="008D6A1A">
      <w:pPr>
        <w:spacing w:line="360" w:lineRule="auto" w:after="120"/>
        <w:jc w:val="both"/>
        <w:rPr>
          <w:rFonts w:ascii="Times New Roman" w:hAnsi="Times New Roman" w:cs="Times New Roman"/>
          <w:sz w:val="24"/>
          <w:szCs w:val="24"/>
        </w:rPr>
      </w:pPr>
    </w:p>
    <w:p w14:paraId="5254C9C0" w14:textId="77777777" w:rsidR="0084730D" w:rsidRPr="003E4481" w:rsidRDefault="00357319" w:rsidP="008D6A1A">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The workflow is designed as a controlled ELT pipeline. Raw data is first extracted from Google Sheets, CSV/Excel exports, Google Calendar, and weather APIs. Python loaders then write raw source records into a staging area with source metadata. Transformation models or scripts clean and standardise the data into analysis-ready tables, while tests and validation logs record data quality issues. A scheduler or orchestrator may coordinate extraction, loading, transformation, testing, weather enrichment, and refresh-log tasks so that the dashboard can show whether the latest data is fresh and reliable.</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38"/>
        <w:gridCol w:w="2862"/>
        <w:gridCol w:w="3116"/>
      </w:tblGrid>
      <w:tr w:rsidR="0084730D" w:rsidRPr="00335C63" w14:paraId="0DF9B444" w14:textId="77777777" w:rsidTr="00997D20">
        <w:trPr>
          <w:cantSplit/>
          <w:tblHeader/>
          <w:jc w:val="center"/>
        </w:trPr>
        <w:tc>
          <w:tcPr>
            <w:tcW w:w="1685" w:type="pct"/>
            <w:shd w:val="clear" w:color="auto" w:fill="E8F1FA"/>
            <w:tcMar>
              <w:top w:w="90" w:type="dxa"/>
              <w:left w:w="90" w:type="dxa"/>
              <w:bottom w:w="90" w:type="dxa"/>
              <w:right w:w="90" w:type="dxa"/>
            </w:tcMar>
            <w:vAlign w:val="center"/>
            <w:shd w:fill="DCEAF7"/>
          </w:tcPr>
          <w:p w14:paraId="19CCA24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Layer</w:t>
            </w:r>
          </w:p>
        </w:tc>
        <w:tc>
          <w:tcPr>
            <w:tcW w:w="1587" w:type="pct"/>
            <w:shd w:val="clear" w:color="auto" w:fill="E8F1FA"/>
            <w:tcMar>
              <w:top w:w="90" w:type="dxa"/>
              <w:left w:w="90" w:type="dxa"/>
              <w:bottom w:w="90" w:type="dxa"/>
              <w:right w:w="90" w:type="dxa"/>
            </w:tcMar>
            <w:vAlign w:val="center"/>
            <w:shd w:fill="DCEAF7"/>
          </w:tcPr>
          <w:p w14:paraId="5A79EA8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Technology</w:t>
            </w:r>
          </w:p>
        </w:tc>
        <w:tc>
          <w:tcPr>
            <w:tcW w:w="1729" w:type="pct"/>
            <w:shd w:val="clear" w:color="auto" w:fill="E8F1FA"/>
            <w:tcMar>
              <w:top w:w="90" w:type="dxa"/>
              <w:left w:w="90" w:type="dxa"/>
              <w:bottom w:w="90" w:type="dxa"/>
              <w:right w:w="90" w:type="dxa"/>
            </w:tcMar>
            <w:vAlign w:val="center"/>
            <w:shd w:fill="DCEAF7"/>
          </w:tcPr>
          <w:p w14:paraId="12276FD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Purpose</w:t>
            </w:r>
          </w:p>
        </w:tc>
      </w:tr>
      <w:tr w:rsidR="0084730D" w:rsidRPr="00335C63" w14:paraId="021E5655" w14:textId="77777777" w:rsidTr="00997D20">
        <w:trPr>
          <w:cantSplit/>
          <w:jc w:val="center"/>
        </w:trPr>
        <w:tc>
          <w:tcPr>
            <w:tcW w:w="1685" w:type="pct"/>
            <w:tcMar>
              <w:top w:w="90" w:type="dxa"/>
              <w:left w:w="90" w:type="dxa"/>
              <w:bottom w:w="90" w:type="dxa"/>
              <w:right w:w="90" w:type="dxa"/>
            </w:tcMar>
            <w:vAlign w:val="center"/>
          </w:tcPr>
          <w:p w14:paraId="3F855A8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source</w:t>
            </w:r>
          </w:p>
        </w:tc>
        <w:tc>
          <w:tcPr>
            <w:tcW w:w="1587" w:type="pct"/>
            <w:tcMar>
              <w:top w:w="90" w:type="dxa"/>
              <w:left w:w="90" w:type="dxa"/>
              <w:bottom w:w="90" w:type="dxa"/>
              <w:right w:w="90" w:type="dxa"/>
            </w:tcMar>
            <w:vAlign w:val="center"/>
          </w:tcPr>
          <w:p w14:paraId="79EF1EB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Google Sheets, CSV/Excel, Google Calendar</w:t>
            </w:r>
          </w:p>
        </w:tc>
        <w:tc>
          <w:tcPr>
            <w:tcW w:w="1729" w:type="pct"/>
            <w:tcMar>
              <w:top w:w="90" w:type="dxa"/>
              <w:left w:w="90" w:type="dxa"/>
              <w:bottom w:w="90" w:type="dxa"/>
              <w:right w:w="90" w:type="dxa"/>
            </w:tcMar>
            <w:vAlign w:val="center"/>
          </w:tcPr>
          <w:p w14:paraId="6579863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Company-facing raw data entry and operational records</w:t>
            </w:r>
          </w:p>
        </w:tc>
      </w:tr>
      <w:tr w:rsidR="0084730D" w:rsidRPr="00335C63" w14:paraId="0CD9F074" w14:textId="77777777" w:rsidTr="00997D20">
        <w:trPr>
          <w:cantSplit/>
          <w:jc w:val="center"/>
        </w:trPr>
        <w:tc>
          <w:tcPr>
            <w:tcW w:w="1685" w:type="pct"/>
            <w:tcMar>
              <w:top w:w="90" w:type="dxa"/>
              <w:left w:w="90" w:type="dxa"/>
              <w:bottom w:w="90" w:type="dxa"/>
              <w:right w:w="90" w:type="dxa"/>
            </w:tcMar>
            <w:vAlign w:val="center"/>
          </w:tcPr>
          <w:p w14:paraId="60E29B65" w14:textId="77777777" w:rsidR="00BB18A2" w:rsidRDefault="00000000">
            <w:pPr>
              <w:spacing w:line="276" w:lineRule="auto" w:after="40"/>
              <w:jc w:val="left"/>
            </w:pPr>
            <w:r>
              <w:rPr>
                <w:rFonts w:ascii="Times New Roman" w:hAnsi="Times New Roman" w:eastAsia="Times New Roman" w:cs="Times New Roman"/>
                <w:sz w:val="20"/>
              </w:rPr>
              <w:lastRenderedPageBreak/>
              <w:t>Extract/load and analytics</w:t>
            </w:r>
          </w:p>
        </w:tc>
        <w:tc>
          <w:tcPr>
            <w:tcW w:w="1587" w:type="pct"/>
            <w:tcMar>
              <w:top w:w="90" w:type="dxa"/>
              <w:left w:w="90" w:type="dxa"/>
              <w:bottom w:w="90" w:type="dxa"/>
              <w:right w:w="90" w:type="dxa"/>
            </w:tcMar>
            <w:vAlign w:val="center"/>
          </w:tcPr>
          <w:p w14:paraId="70706B73" w14:textId="77777777" w:rsidR="00BB18A2" w:rsidRDefault="00000000">
            <w:pPr>
              <w:spacing w:line="276" w:lineRule="auto" w:after="40"/>
              <w:jc w:val="left"/>
            </w:pPr>
            <w:r>
              <w:rPr>
                <w:rFonts w:ascii="Times New Roman" w:hAnsi="Times New Roman" w:eastAsia="Times New Roman"/>
                <w:sz w:val="20"/>
              </w:rPr>
              <w:t>Python, Pandas, warehouse/API client libraries, and scikit-learn where appropriate</w:t>
            </w:r>
          </w:p>
        </w:tc>
        <w:tc>
          <w:tcPr>
            <w:tcW w:w="1729" w:type="pct"/>
            <w:tcMar>
              <w:top w:w="90" w:type="dxa"/>
              <w:left w:w="90" w:type="dxa"/>
              <w:bottom w:w="90" w:type="dxa"/>
              <w:right w:w="90" w:type="dxa"/>
            </w:tcMar>
            <w:vAlign w:val="center"/>
          </w:tcPr>
          <w:p w14:paraId="23D711FE" w14:textId="77777777" w:rsidR="00BB18A2" w:rsidRDefault="00000000">
            <w:pPr>
              <w:spacing w:line="276" w:lineRule="auto" w:after="40"/>
              <w:jc w:val="left"/>
            </w:pPr>
            <w:r>
              <w:rPr>
                <w:rFonts w:ascii="Times New Roman" w:hAnsi="Times New Roman" w:eastAsia="Times New Roman"/>
                <w:sz w:val="20"/>
              </w:rPr>
              <w:t>Extract source data, load raw staging tables, run weather enrichment, and compute selected analytics outputs</w:t>
            </w:r>
          </w:p>
        </w:tc>
      </w:tr>
      <w:tr w:rsidR="0084730D" w:rsidRPr="00335C63" w14:paraId="2B9BBDF9" w14:textId="77777777" w:rsidTr="00997D20">
        <w:trPr>
          <w:cantSplit/>
          <w:jc w:val="center"/>
        </w:trPr>
        <w:tc>
          <w:tcPr>
            <w:tcW w:w="1685" w:type="pct"/>
            <w:tcMar>
              <w:top w:w="90" w:type="dxa"/>
              <w:left w:w="90" w:type="dxa"/>
              <w:bottom w:w="90" w:type="dxa"/>
              <w:right w:w="90" w:type="dxa"/>
            </w:tcMar>
            <w:vAlign w:val="center"/>
          </w:tcPr>
          <w:p w14:paraId="1FEA47F1" w14:textId="77777777" w:rsidR="00BB18A2" w:rsidRDefault="00000000">
            <w:pPr>
              <w:spacing w:line="276" w:lineRule="auto" w:after="40"/>
              <w:jc w:val="left"/>
            </w:pPr>
            <w:r>
              <w:rPr>
                <w:rFonts w:ascii="Times New Roman" w:hAnsi="Times New Roman" w:eastAsia="Times New Roman" w:cs="Times New Roman"/>
                <w:sz w:val="20"/>
              </w:rPr>
              <w:t>Cloud warehouse</w:t>
            </w:r>
          </w:p>
        </w:tc>
        <w:tc>
          <w:tcPr>
            <w:tcW w:w="1587" w:type="pct"/>
            <w:tcMar>
              <w:top w:w="90" w:type="dxa"/>
              <w:left w:w="90" w:type="dxa"/>
              <w:bottom w:w="90" w:type="dxa"/>
              <w:right w:w="90" w:type="dxa"/>
            </w:tcMar>
            <w:vAlign w:val="center"/>
          </w:tcPr>
          <w:p w14:paraId="79D6AC0F" w14:textId="77777777" w:rsidR="00BB18A2" w:rsidRDefault="00000000">
            <w:pPr>
              <w:spacing w:line="276" w:lineRule="auto" w:after="40"/>
              <w:jc w:val="left"/>
            </w:pPr>
            <w:r>
              <w:rPr>
                <w:rFonts w:ascii="Times New Roman" w:hAnsi="Times New Roman" w:eastAsia="Times New Roman"/>
                <w:sz w:val="20"/>
              </w:rPr>
              <w:t>Possible platform: BigQuery or another analytics warehouse</w:t>
            </w:r>
          </w:p>
        </w:tc>
        <w:tc>
          <w:tcPr>
            <w:tcW w:w="1729" w:type="pct"/>
            <w:tcMar>
              <w:top w:w="90" w:type="dxa"/>
              <w:left w:w="90" w:type="dxa"/>
              <w:bottom w:w="90" w:type="dxa"/>
              <w:right w:w="90" w:type="dxa"/>
            </w:tcMar>
            <w:vAlign w:val="center"/>
          </w:tcPr>
          <w:p w14:paraId="3B93AE8A" w14:textId="77777777" w:rsidR="00BB18A2" w:rsidRDefault="00000000">
            <w:pPr>
              <w:spacing w:line="276" w:lineRule="auto" w:after="40"/>
              <w:jc w:val="left"/>
            </w:pPr>
            <w:r>
              <w:rPr>
                <w:rFonts w:ascii="Times New Roman" w:hAnsi="Times New Roman" w:eastAsia="Times New Roman"/>
                <w:sz w:val="20"/>
              </w:rPr>
              <w:t>Store raw staging, cleaned core, and dashboard-ready analytics tables</w:t>
            </w:r>
          </w:p>
        </w:tc>
      </w:tr>
      <w:tr w:rsidR="0084730D" w:rsidRPr="00335C63" w14:paraId="778995FB" w14:textId="77777777" w:rsidTr="00997D20">
        <w:trPr>
          <w:cantSplit/>
          <w:jc w:val="center"/>
        </w:trPr>
        <w:tc>
          <w:tcPr>
            <w:tcW w:w="1685" w:type="pct"/>
            <w:tcMar>
              <w:top w:w="90" w:type="dxa"/>
              <w:left w:w="90" w:type="dxa"/>
              <w:bottom w:w="90" w:type="dxa"/>
              <w:right w:w="90" w:type="dxa"/>
            </w:tcMar>
            <w:vAlign w:val="center"/>
          </w:tcPr>
          <w:p w14:paraId="10D3CB2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Visualization</w:t>
            </w:r>
          </w:p>
        </w:tc>
        <w:tc>
          <w:tcPr>
            <w:tcW w:w="1587" w:type="pct"/>
            <w:tcMar>
              <w:top w:w="90" w:type="dxa"/>
              <w:left w:w="90" w:type="dxa"/>
              <w:bottom w:w="90" w:type="dxa"/>
              <w:right w:w="90" w:type="dxa"/>
            </w:tcMar>
            <w:vAlign w:val="center"/>
          </w:tcPr>
          <w:p w14:paraId="28248A61"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Possible platform: Apache Superset or another BI dashboard tool</w:t>
            </w:r>
          </w:p>
        </w:tc>
        <w:tc>
          <w:tcPr>
            <w:tcW w:w="1729" w:type="pct"/>
            <w:tcMar>
              <w:top w:w="90" w:type="dxa"/>
              <w:left w:w="90" w:type="dxa"/>
              <w:bottom w:w="90" w:type="dxa"/>
              <w:right w:w="90" w:type="dxa"/>
            </w:tcMar>
            <w:vAlign w:val="center"/>
          </w:tcPr>
          <w:p w14:paraId="1CDD7977"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Browser-based dashboards, charts, filters, maps, and tables</w:t>
            </w:r>
          </w:p>
        </w:tc>
      </w:tr>
      <w:tr w:rsidR="0084730D" w:rsidRPr="00335C63" w14:paraId="526809AC" w14:textId="77777777" w:rsidTr="00997D20">
        <w:trPr>
          <w:cantSplit/>
          <w:jc w:val="center"/>
        </w:trPr>
        <w:tc>
          <w:tcPr>
            <w:tcW w:w="1685" w:type="pct"/>
            <w:tcMar>
              <w:top w:w="90" w:type="dxa"/>
              <w:left w:w="90" w:type="dxa"/>
              <w:bottom w:w="90" w:type="dxa"/>
              <w:right w:w="90" w:type="dxa"/>
            </w:tcMar>
            <w:vAlign w:val="center"/>
          </w:tcPr>
          <w:p w14:paraId="744BB085" w14:textId="77777777" w:rsidR="00BB18A2" w:rsidRDefault="00000000">
            <w:pPr>
              <w:spacing w:line="276" w:lineRule="auto" w:after="40"/>
              <w:jc w:val="left"/>
            </w:pPr>
            <w:r>
              <w:rPr>
                <w:rFonts w:ascii="Times New Roman" w:hAnsi="Times New Roman" w:eastAsia="Times New Roman" w:cs="Times New Roman"/>
                <w:sz w:val="20"/>
              </w:rPr>
              <w:t>Orchestration</w:t>
            </w:r>
          </w:p>
        </w:tc>
        <w:tc>
          <w:tcPr>
            <w:tcW w:w="1587" w:type="pct"/>
            <w:tcMar>
              <w:top w:w="90" w:type="dxa"/>
              <w:left w:w="90" w:type="dxa"/>
              <w:bottom w:w="90" w:type="dxa"/>
              <w:right w:w="90" w:type="dxa"/>
            </w:tcMar>
            <w:vAlign w:val="center"/>
          </w:tcPr>
          <w:p w14:paraId="16BFE5B7" w14:textId="77777777" w:rsidR="00BB18A2" w:rsidRDefault="00000000">
            <w:pPr>
              <w:spacing w:line="276" w:lineRule="auto" w:after="40"/>
              <w:jc w:val="left"/>
            </w:pPr>
            <w:r>
              <w:rPr>
                <w:rFonts w:ascii="Times New Roman" w:hAnsi="Times New Roman" w:eastAsia="Times New Roman"/>
                <w:sz w:val="20"/>
              </w:rPr>
              <w:t>Possible platform: Apache Airflow or scheduled Python jobs</w:t>
            </w:r>
          </w:p>
        </w:tc>
        <w:tc>
          <w:tcPr>
            <w:tcW w:w="1729" w:type="pct"/>
            <w:tcMar>
              <w:top w:w="90" w:type="dxa"/>
              <w:left w:w="90" w:type="dxa"/>
              <w:bottom w:w="90" w:type="dxa"/>
              <w:right w:w="90" w:type="dxa"/>
            </w:tcMar>
            <w:vAlign w:val="center"/>
          </w:tcPr>
          <w:p w14:paraId="5ADC59A6" w14:textId="77777777" w:rsidR="00BB18A2" w:rsidRDefault="00000000">
            <w:pPr>
              <w:spacing w:line="276" w:lineRule="auto" w:after="40"/>
              <w:jc w:val="left"/>
            </w:pPr>
            <w:r>
              <w:rPr>
                <w:rFonts w:ascii="Times New Roman" w:hAnsi="Times New Roman" w:eastAsia="Times New Roman"/>
                <w:sz w:val="20"/>
              </w:rPr>
              <w:t>Schedule, monitor, retry, and log ELT pipeline tasks where orchestration is needed</w:t>
            </w:r>
          </w:p>
        </w:tc>
      </w:tr>
      <w:tr w:rsidR="0084730D" w:rsidRPr="00335C63" w14:paraId="50A3250B" w14:textId="77777777" w:rsidTr="00997D20">
        <w:trPr>
          <w:cantSplit/>
          <w:jc w:val="center"/>
        </w:trPr>
        <w:tc>
          <w:tcPr>
            <w:tcW w:w="1685" w:type="pct"/>
            <w:tcMar>
              <w:top w:w="90" w:type="dxa"/>
              <w:left w:w="90" w:type="dxa"/>
              <w:bottom w:w="90" w:type="dxa"/>
              <w:right w:w="90" w:type="dxa"/>
            </w:tcMar>
            <w:vAlign w:val="center"/>
          </w:tcPr>
          <w:p w14:paraId="7C47F98D" w14:textId="77777777" w:rsidR="00BB18A2" w:rsidRDefault="00000000">
            <w:pPr>
              <w:spacing w:line="276" w:lineRule="auto" w:after="40"/>
              <w:jc w:val="left"/>
            </w:pPr>
            <w:r>
              <w:rPr>
                <w:rFonts w:ascii="Times New Roman" w:hAnsi="Times New Roman" w:eastAsia="Times New Roman" w:cs="Times New Roman"/>
                <w:sz w:val="20"/>
              </w:rPr>
              <w:t>Transformation and testing</w:t>
            </w:r>
          </w:p>
        </w:tc>
        <w:tc>
          <w:tcPr>
            <w:tcW w:w="1587" w:type="pct"/>
            <w:tcMar>
              <w:top w:w="90" w:type="dxa"/>
              <w:left w:w="90" w:type="dxa"/>
              <w:bottom w:w="90" w:type="dxa"/>
              <w:right w:w="90" w:type="dxa"/>
            </w:tcMar>
            <w:vAlign w:val="center"/>
          </w:tcPr>
          <w:p w14:paraId="703D8FE7" w14:textId="77777777" w:rsidR="00BB18A2" w:rsidRDefault="00000000">
            <w:pPr>
              <w:spacing w:line="276" w:lineRule="auto" w:after="40"/>
              <w:jc w:val="left"/>
            </w:pPr>
            <w:r>
              <w:rPr>
                <w:rFonts w:ascii="Times New Roman" w:hAnsi="Times New Roman" w:eastAsia="Times New Roman"/>
                <w:sz w:val="20"/>
              </w:rPr>
              <w:t>Possible platform: dbt Core or SQL/Python transformation scripts</w:t>
            </w:r>
          </w:p>
        </w:tc>
        <w:tc>
          <w:tcPr>
            <w:tcW w:w="1729" w:type="pct"/>
            <w:tcMar>
              <w:top w:w="90" w:type="dxa"/>
              <w:left w:w="90" w:type="dxa"/>
              <w:bottom w:w="90" w:type="dxa"/>
              <w:right w:w="90" w:type="dxa"/>
            </w:tcMar>
            <w:vAlign w:val="center"/>
          </w:tcPr>
          <w:p w14:paraId="04C69086" w14:textId="77777777" w:rsidR="00BB18A2" w:rsidRDefault="00000000">
            <w:pPr>
              <w:spacing w:line="276" w:lineRule="auto" w:after="40"/>
              <w:jc w:val="left"/>
            </w:pPr>
            <w:r>
              <w:rPr>
                <w:rFonts w:ascii="Times New Roman" w:hAnsi="Times New Roman" w:eastAsia="Times New Roman"/>
                <w:sz w:val="20"/>
              </w:rPr>
              <w:t>Build SQL models, data tests, documentation, and lineage for analytics tables</w:t>
            </w:r>
          </w:p>
        </w:tc>
      </w:tr>
      <w:tr w:rsidR="0084730D" w:rsidRPr="00335C63" w14:paraId="6143D2D2" w14:textId="77777777" w:rsidTr="00997D20">
        <w:trPr>
          <w:cantSplit/>
          <w:jc w:val="center"/>
        </w:trPr>
        <w:tc>
          <w:tcPr>
            <w:tcW w:w="1685" w:type="pct"/>
            <w:tcMar>
              <w:top w:w="90" w:type="dxa"/>
              <w:left w:w="90" w:type="dxa"/>
              <w:bottom w:w="90" w:type="dxa"/>
              <w:right w:w="90" w:type="dxa"/>
            </w:tcMar>
            <w:vAlign w:val="center"/>
          </w:tcPr>
          <w:p w14:paraId="1DD0F1F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AI recommendation</w:t>
            </w:r>
          </w:p>
        </w:tc>
        <w:tc>
          <w:tcPr>
            <w:tcW w:w="1587" w:type="pct"/>
            <w:tcMar>
              <w:top w:w="90" w:type="dxa"/>
              <w:left w:w="90" w:type="dxa"/>
              <w:bottom w:w="90" w:type="dxa"/>
              <w:right w:w="90" w:type="dxa"/>
            </w:tcMar>
            <w:vAlign w:val="center"/>
          </w:tcPr>
          <w:p w14:paraId="73DF3179"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Possible local AI model such as Ollama (future phase)</w:t>
            </w:r>
          </w:p>
        </w:tc>
        <w:tc>
          <w:tcPr>
            <w:tcW w:w="1729" w:type="pct"/>
            <w:tcMar>
              <w:top w:w="90" w:type="dxa"/>
              <w:left w:w="90" w:type="dxa"/>
              <w:bottom w:w="90" w:type="dxa"/>
              <w:right w:w="90" w:type="dxa"/>
            </w:tcMar>
            <w:vAlign w:val="center"/>
          </w:tcPr>
          <w:p w14:paraId="5479D742"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Generate plain-language suggestions from analytics outputs without paid external AI API calls</w:t>
            </w:r>
          </w:p>
        </w:tc>
      </w:tr>
      <w:tr w:rsidR="0084730D" w:rsidRPr="00335C63" w14:paraId="5D5131CF" w14:textId="77777777" w:rsidTr="00997D20">
        <w:trPr>
          <w:cantSplit/>
          <w:jc w:val="center"/>
        </w:trPr>
        <w:tc>
          <w:tcPr>
            <w:tcW w:w="1685" w:type="pct"/>
            <w:tcMar>
              <w:top w:w="90" w:type="dxa"/>
              <w:left w:w="90" w:type="dxa"/>
              <w:bottom w:w="90" w:type="dxa"/>
              <w:right w:w="90" w:type="dxa"/>
            </w:tcMar>
            <w:vAlign w:val="center"/>
          </w:tcPr>
          <w:p w14:paraId="01FBA5F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Deployment</w:t>
            </w:r>
          </w:p>
        </w:tc>
        <w:tc>
          <w:tcPr>
            <w:tcW w:w="1587" w:type="pct"/>
            <w:tcMar>
              <w:top w:w="90" w:type="dxa"/>
              <w:left w:w="90" w:type="dxa"/>
              <w:bottom w:w="90" w:type="dxa"/>
              <w:right w:w="90" w:type="dxa"/>
            </w:tcMar>
            <w:vAlign w:val="center"/>
          </w:tcPr>
          <w:p w14:paraId="2E19FEB8"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Possible Docker Compose setup for local services; selected warehouse may be cloud-hosted</w:t>
            </w:r>
          </w:p>
        </w:tc>
        <w:tc>
          <w:tcPr>
            <w:tcW w:w="1729" w:type="pct"/>
            <w:tcMar>
              <w:top w:w="90" w:type="dxa"/>
              <w:left w:w="90" w:type="dxa"/>
              <w:bottom w:w="90" w:type="dxa"/>
              <w:right w:w="90" w:type="dxa"/>
            </w:tcMar>
            <w:vAlign w:val="center"/>
          </w:tcPr>
          <w:p w14:paraId="364DAF77"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Reproducible setup for demo and company handover if selected in CP2</w:t>
            </w:r>
          </w:p>
        </w:tc>
      </w:tr>
      <w:tr w:rsidR="00BB18A2" w14:paraId="5E29EE52" w14:textId="77777777">
        <w:trPr>
          <w:jc w:val="center"/>
        </w:trPr>
        <w:tc>
          <w:tcPr>
            <w:tcW w:w="3038" w:type="dxa"/>
            <w:vAlign w:val="center"/>
          </w:tcPr>
          <w:p w14:paraId="0EF0BA47"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Governance and quality</w:t>
            </w:r>
          </w:p>
        </w:tc>
        <w:tc>
          <w:tcPr>
            <w:tcW w:w="2862" w:type="dxa"/>
            <w:vAlign w:val="center"/>
          </w:tcPr>
          <w:p w14:paraId="4426F4BC"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dbt tests, validation logs, anonymised views</w:t>
            </w:r>
          </w:p>
        </w:tc>
        <w:tc>
          <w:tcPr>
            <w:tcW w:w="3116" w:type="dxa"/>
            <w:vAlign w:val="center"/>
          </w:tcPr>
          <w:p w14:paraId="258799F4" w14:textId="77777777" w:rsidR="00BB18A2" w:rsidRPr="003E4481" w:rsidRDefault="00000000">
            <w:pPr>
              <w:spacing w:line="276" w:lineRule="auto" w:after="40"/>
              <w:jc w:val="left"/>
              <w:rPr>
                <w:rFonts w:ascii="Times New Roman" w:hAnsi="Times New Roman" w:cs="Times New Roman"/>
                <w:sz w:val="24"/>
                <w:szCs w:val="24"/>
              </w:rPr>
            </w:pPr>
            <w:r w:rsidRPr="003E4481">
              <w:rPr>
                <w:rFonts w:ascii="Times New Roman" w:hAnsi="Times New Roman" w:cs="Times New Roman" w:eastAsia="Times New Roman"/>
                <w:sz w:val="20"/>
                <w:szCs w:val="24"/>
              </w:rPr>
              <w:t>Protect customer data and show data quality, contract, and refresh status</w:t>
            </w:r>
          </w:p>
        </w:tc>
      </w:tr>
    </w:tbl>
    <w:p w14:paraId="09A8A0FA" w14:textId="77777777" w:rsidR="0084730D" w:rsidRPr="00335C63" w:rsidRDefault="0084730D" w:rsidP="000F4170">
      <w:pPr>
        <w:spacing w:line="360" w:lineRule="auto" w:after="120"/>
        <w:jc w:val="both"/>
        <w:rPr>
          <w:rFonts w:ascii="Times New Roman" w:hAnsi="Times New Roman" w:cs="Times New Roman"/>
          <w:sz w:val="24"/>
          <w:szCs w:val="24"/>
        </w:rPr>
      </w:pPr>
    </w:p>
    <w:p w14:paraId="25343A7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3.3 Proposed Analytics Storage and Warehouse Design</w:t>
      </w:r>
    </w:p>
    <w:p w14:paraId="5FB49291"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sz w:val="24"/>
        </w:rPr>
        <w:t>A cloud analytics warehouse such as BigQuery is one possible platform because the project is analytics-oriented and the company data is connected to the Google ecosystem. However, the storage platform is not finalised in CP1. At this stage, the warehouse design is a logical plan rather than a final physical schema. The exact table names, columns, and joins will be confirmed in CP2 after profiling the actual Google Sheets, CSV exports, Google Calendar fields, and weather data. The planned structure will still follow a layered approach: raw staging preserves source records, cleaned tables standardise usable fields, and dashboard-ready marts support BI visualisation.</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740"/>
        <w:gridCol w:w="2680"/>
        <w:gridCol w:w="4596"/>
      </w:tblGrid>
      <w:tr w:rsidR="0084730D" w:rsidRPr="00335C63" w14:paraId="54B3681B" w14:textId="77777777" w:rsidTr="00997D20">
        <w:trPr>
          <w:cantSplit/>
          <w:tblHeader/>
          <w:jc w:val="center"/>
        </w:trPr>
        <w:tc>
          <w:tcPr>
            <w:tcW w:w="965"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Proposed Layer</w:t>
            </w:r>
          </w:p>
        </w:tc>
        <w:tc>
          <w:tcPr>
            <w:tcW w:w="1486"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Purpose in CP2</w:t>
            </w:r>
          </w:p>
        </w:tc>
        <w:tc>
          <w:tcPr>
            <w:tcW w:w="2549"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Example Output (to be refined after profiling)</w:t>
            </w:r>
          </w:p>
        </w:tc>
      </w:tr>
      <w:tr w:rsidR="0084730D" w:rsidRPr="00335C63" w14:paraId="2CDE4A8E" w14:textId="77777777" w:rsidTr="00997D20">
        <w:trPr>
          <w:cantSplit/>
          <w:jc w:val="center"/>
        </w:trPr>
        <w:tc>
          <w:tcPr>
            <w:tcW w:w="965"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Bronze raw layer</w:t>
            </w:r>
          </w:p>
        </w:tc>
        <w:tc>
          <w:tcPr>
            <w:tcW w:w="1486"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Preserve source extracts with minimal transformation and loading metadata.</w:t>
            </w:r>
          </w:p>
        </w:tc>
        <w:tc>
          <w:tcPr>
            <w:tcW w:w="2549"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Raw snapshots from Google Sheets, Calendar, CSV/Excel files, and weather APIs.</w:t>
            </w:r>
          </w:p>
        </w:tc>
      </w:tr>
      <w:tr w:rsidR="0084730D" w:rsidRPr="00335C63" w14:paraId="158C8F5E" w14:textId="77777777" w:rsidTr="00997D20">
        <w:trPr>
          <w:cantSplit/>
          <w:jc w:val="center"/>
        </w:trPr>
        <w:tc>
          <w:tcPr>
            <w:tcW w:w="965"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Silver cleaned layer</w:t>
            </w:r>
          </w:p>
        </w:tc>
        <w:tc>
          <w:tcPr>
            <w:tcW w:w="1486"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Standardise usable fields after data profiling, alias mapping, and validation.</w:t>
            </w:r>
          </w:p>
        </w:tc>
        <w:tc>
          <w:tcPr>
            <w:tcW w:w="2549"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Cleaned customer/service/payment/warranty/refund/calendar/weather records.</w:t>
            </w:r>
          </w:p>
        </w:tc>
      </w:tr>
      <w:tr w:rsidR="0084730D" w:rsidRPr="00335C63" w14:paraId="5702B7B8" w14:textId="77777777" w:rsidTr="00997D20">
        <w:trPr>
          <w:cantSplit/>
          <w:jc w:val="center"/>
        </w:trPr>
        <w:tc>
          <w:tcPr>
            <w:tcW w:w="965"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Gold analytics layer</w:t>
            </w:r>
          </w:p>
        </w:tc>
        <w:tc>
          <w:tcPr>
            <w:tcW w:w="1486"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Create dashboard-ready views for business questions and Superset charts.</w:t>
            </w:r>
          </w:p>
        </w:tc>
        <w:tc>
          <w:tcPr>
            <w:tcW w:w="2549"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Area risk, treatment difficulty, recurrence, upsell, data quality, and refresh-status outputs.</w:t>
            </w:r>
          </w:p>
        </w:tc>
      </w:tr>
      <w:tr w:rsidR="00BB18A2" w14:paraId="122A9E8A" w14:textId="77777777">
        <w:trPr>
          <w:jc w:val="center"/>
        </w:trPr>
        <w:tc>
          <w:tcPr>
            <w:tcW w:w="1740" w:type="dxa"/>
            <w:vAlign w:val="center"/>
          </w:tcPr>
          <w:p>
            <w:pPr>
              <w:spacing w:line="276" w:lineRule="auto" w:after="40"/>
              <w:jc w:val="left"/>
            </w:pPr>
            <w:r>
              <w:rPr>
                <w:rFonts w:ascii="Times New Roman" w:hAnsi="Times New Roman" w:eastAsia="Times New Roman"/>
                <w:sz w:val="20"/>
              </w:rPr>
              <w:t>Audit and quality layer</w:t>
            </w:r>
          </w:p>
        </w:tc>
        <w:tc>
          <w:tcPr>
            <w:tcW w:w="2680" w:type="dxa"/>
            <w:vAlign w:val="center"/>
          </w:tcPr>
          <w:p>
            <w:pPr>
              <w:spacing w:line="276" w:lineRule="auto" w:after="40"/>
              <w:jc w:val="left"/>
            </w:pPr>
            <w:r>
              <w:rPr>
                <w:rFonts w:ascii="Times New Roman" w:hAnsi="Times New Roman" w:eastAsia="Times New Roman"/>
                <w:sz w:val="20"/>
              </w:rPr>
              <w:t>Record pipeline runs, validation issues, match confidence, and source freshness.</w:t>
            </w:r>
          </w:p>
        </w:tc>
        <w:tc>
          <w:tcPr>
            <w:tcW w:w="4596" w:type="dxa"/>
            <w:vAlign w:val="center"/>
          </w:tcPr>
          <w:p>
            <w:pPr>
              <w:spacing w:line="276" w:lineRule="auto" w:after="40"/>
              <w:jc w:val="left"/>
            </w:pPr>
            <w:r>
              <w:rPr>
                <w:rFonts w:ascii="Times New Roman" w:hAnsi="Times New Roman" w:eastAsia="Times New Roman"/>
                <w:sz w:val="20"/>
              </w:rPr>
              <w:t>Data quality report, refresh log, matching log, and weather-enrichment coverage.</w:t>
            </w:r>
          </w:p>
        </w:tc>
      </w:tr>
    </w:tbl>
    <w:p w14:paraId="0810C224" w14:textId="77777777" w:rsidR="0084730D" w:rsidRPr="00335C63" w:rsidRDefault="0084730D" w:rsidP="000F4170">
      <w:pPr>
        <w:spacing w:line="360" w:lineRule="auto" w:after="120"/>
        <w:jc w:val="both"/>
        <w:rPr>
          <w:rFonts w:ascii="Times New Roman" w:hAnsi="Times New Roman" w:cs="Times New Roman"/>
          <w:sz w:val="24"/>
          <w:szCs w:val="24"/>
        </w:rPr>
      </w:pPr>
    </w:p>
    <w:p w14:paraId="05F4A6CA"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sz w:val="24"/>
        </w:rPr>
        <w:t>The planned design will use stable identifiers where available, such as customer ID, service/session reference, normalised phone number, date, area/postcode, pest type, package type, technician, and team. Because the exact source columns may differ across company sheets, CP2 will first create a field-mapping document and data quality report before finalising the warehouse model. Relationships will be managed through SQL joins, data tests, lineage documentation, and validation logs. If BigQuery is used, it will function as an analytics warehouse rather than a transaction-processing database, so the design will rely on tested joins and views rather than transactional foreign-key enforcement.</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511"/>
        <w:gridCol w:w="3408"/>
        <w:gridCol w:w="2097"/>
      </w:tblGrid>
      <w:tr w:rsidR="0084730D" w:rsidRPr="00335C63" w14:paraId="4A5A3C68" w14:textId="77777777" w:rsidTr="00997D20">
        <w:trPr>
          <w:cantSplit/>
          <w:tblHeader/>
          <w:jc w:val="center"/>
        </w:trPr>
        <w:tc>
          <w:tcPr>
            <w:tcW w:w="1947"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Planned Relationship</w:t>
            </w:r>
          </w:p>
        </w:tc>
        <w:tc>
          <w:tcPr>
            <w:tcW w:w="1890"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Likely Matching Rule</w:t>
            </w:r>
          </w:p>
        </w:tc>
        <w:tc>
          <w:tcPr>
            <w:tcW w:w="1163" w:type="pct"/>
            <w:shd w:val="clear" w:color="auto" w:fill="E8F1FA"/>
            <w:tcMar>
              <w:top w:w="90" w:type="dxa"/>
              <w:left w:w="90" w:type="dxa"/>
              <w:bottom w:w="90" w:type="dxa"/>
              <w:right w:w="90" w:type="dxa"/>
            </w:tcMar>
            <w:vAlign w:val="center"/>
            <w:shd w:fill="DCEAF7"/>
            <w:shd w:fill="DCEAF7"/>
          </w:tcPr>
          <w:p>
            <w:pPr>
              <w:spacing w:line="276" w:lineRule="auto" w:after="40"/>
              <w:jc w:val="left"/>
            </w:pPr>
            <w:r>
              <w:rPr>
                <w:rFonts w:ascii="Times New Roman" w:hAnsi="Times New Roman" w:eastAsia="Times New Roman"/>
                <w:b/>
                <w:sz w:val="20"/>
              </w:rPr>
              <w:t>Reason for Matching</w:t>
            </w:r>
          </w:p>
        </w:tc>
      </w:tr>
      <w:tr w:rsidR="0084730D" w:rsidRPr="00335C63" w14:paraId="70693315"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Customer to service/session records</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Customer ID where available; otherwise normalised phone number or name/date fallback with confidence flag.</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Connect service activity to customer type, premise type, and repeat behaviour.</w:t>
            </w:r>
          </w:p>
        </w:tc>
      </w:tr>
      <w:tr w:rsidR="0084730D" w:rsidRPr="00335C63" w14:paraId="6D8EBB70"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Service/session to warranty claim</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Service ID if available; otherwise customer/date/pest/area window with manual review flag.</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Identify repeat or unresolved cases without assuming every claim has a perfect service link.</w:t>
            </w:r>
          </w:p>
        </w:tc>
      </w:tr>
      <w:tr w:rsidR="0084730D" w:rsidRPr="00335C63" w14:paraId="30DFC4CE"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Service/session to refund</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Customer or service reference plus refund date after service date.</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Measure refund impact by area, pest type, package, and review category.</w:t>
            </w:r>
          </w:p>
        </w:tc>
      </w:tr>
      <w:tr w:rsidR="0084730D" w:rsidRPr="00335C63" w14:paraId="116B8FEC"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Calendar event to service/session</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Event title/description, date, team, customer name or phone, with match confidence.</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Use scheduling data for capacity and extra/warranty session analysis.</w:t>
            </w:r>
          </w:p>
        </w:tc>
      </w:tr>
      <w:tr w:rsidR="0084730D" w:rsidRPr="00335C63" w14:paraId="42F51C3B"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Service/session to area/weather</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Standardised area or postcode mapped to centroid coordinate and service date.</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Attach weather-associated indicators and area-level context.</w:t>
            </w:r>
          </w:p>
        </w:tc>
      </w:tr>
      <w:tr w:rsidR="0084730D" w:rsidRPr="00335C63" w14:paraId="77D20D60"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Upsell to payment</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Customer/payment reference and payment date near the offer or package window.</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Estimate upsell window performance when rejected offers are not fully recorded.</w:t>
            </w:r>
          </w:p>
        </w:tc>
      </w:tr>
      <w:tr w:rsidR="0084730D" w:rsidRPr="00335C63" w14:paraId="7C20AE31" w14:textId="77777777" w:rsidTr="00997D20">
        <w:trPr>
          <w:cantSplit/>
          <w:jc w:val="center"/>
        </w:trPr>
        <w:tc>
          <w:tcPr>
            <w:tcW w:w="1947"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Recommendation to dashboard output</w:t>
            </w:r>
          </w:p>
        </w:tc>
        <w:tc>
          <w:tcPr>
            <w:tcW w:w="1890"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Related customer/service/area/pest/date where available.</w:t>
            </w:r>
          </w:p>
        </w:tc>
        <w:tc>
          <w:tcPr>
            <w:tcW w:w="1163" w:type="pct"/>
            <w:tcMar>
              <w:top w:w="90" w:type="dxa"/>
              <w:left w:w="90" w:type="dxa"/>
              <w:bottom w:w="90" w:type="dxa"/>
              <w:right w:w="90" w:type="dxa"/>
            </w:tcMar>
            <w:vAlign w:val="center"/>
          </w:tcPr>
          <w:p>
            <w:pPr>
              <w:spacing w:line="276" w:lineRule="auto" w:after="40"/>
              <w:jc w:val="left"/>
            </w:pPr>
            <w:r>
              <w:rPr>
                <w:rFonts w:ascii="Times New Roman" w:hAnsi="Times New Roman" w:eastAsia="Times New Roman"/>
                <w:sz w:val="20"/>
              </w:rPr>
              <w:t>Track suggested action, management response, and later outcome.</w:t>
            </w:r>
          </w:p>
        </w:tc>
      </w:tr>
    </w:tbl>
    <w:p w14:paraId="11382515" w14:textId="77777777" w:rsidR="0084730D" w:rsidRPr="00335C63" w:rsidRDefault="0084730D" w:rsidP="000F4170">
      <w:pPr>
        <w:spacing w:line="360" w:lineRule="auto" w:after="120"/>
        <w:jc w:val="both"/>
        <w:rPr>
          <w:rFonts w:ascii="Times New Roman" w:hAnsi="Times New Roman" w:cs="Times New Roman"/>
          <w:sz w:val="24"/>
          <w:szCs w:val="24"/>
        </w:rPr>
      </w:pPr>
    </w:p>
    <w:p w14:paraId="31F356D8"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3.4 Data Sources and Field Mapping</w:t>
      </w:r>
    </w:p>
    <w:p>
      <w:pPr>
        <w:spacing w:line="360" w:lineRule="auto" w:after="120"/>
        <w:jc w:val="both"/>
      </w:pPr>
      <w:r>
        <w:rPr>
          <w:rFonts w:ascii="Times New Roman" w:hAnsi="Times New Roman" w:eastAsia="Times New Roman"/>
          <w:sz w:val="24"/>
        </w:rPr>
        <w:t>The field mapping in this proposal is therefore indicative. In CP2, the first implementation task will be to profile the real Google Sheets, Calendar exports, and CSV files, then produce a confirmed data dictionary showing which fields are usable, which fields need cleaning, and which fields must be excluded or flagged for low confidence.</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670"/>
        <w:gridCol w:w="3583"/>
        <w:gridCol w:w="2763"/>
      </w:tblGrid>
      <w:tr w:rsidR="0084730D" w:rsidRPr="00335C63" w14:paraId="0A73B079" w14:textId="77777777" w:rsidTr="00997D20">
        <w:trPr>
          <w:cantSplit/>
          <w:tblHeader/>
          <w:jc w:val="center"/>
        </w:trPr>
        <w:tc>
          <w:tcPr>
            <w:tcW w:w="1480" w:type="pct"/>
            <w:shd w:val="clear" w:color="auto" w:fill="E8F1FA"/>
            <w:tcMar>
              <w:top w:w="90" w:type="dxa"/>
              <w:left w:w="90" w:type="dxa"/>
              <w:bottom w:w="90" w:type="dxa"/>
              <w:right w:w="90" w:type="dxa"/>
            </w:tcMar>
            <w:vAlign w:val="center"/>
            <w:shd w:fill="DCEAF7"/>
          </w:tcPr>
          <w:p w14:paraId="5F57697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Data Source</w:t>
            </w:r>
          </w:p>
        </w:tc>
        <w:tc>
          <w:tcPr>
            <w:tcW w:w="1987" w:type="pct"/>
            <w:shd w:val="clear" w:color="auto" w:fill="E8F1FA"/>
            <w:tcMar>
              <w:top w:w="90" w:type="dxa"/>
              <w:left w:w="90" w:type="dxa"/>
              <w:bottom w:w="90" w:type="dxa"/>
              <w:right w:w="90" w:type="dxa"/>
            </w:tcMar>
            <w:vAlign w:val="center"/>
            <w:shd w:fill="DCEAF7"/>
          </w:tcPr>
          <w:p w14:paraId="3776FC7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Key Fields</w:t>
            </w:r>
          </w:p>
        </w:tc>
        <w:tc>
          <w:tcPr>
            <w:tcW w:w="1532" w:type="pct"/>
            <w:shd w:val="clear" w:color="auto" w:fill="E8F1FA"/>
            <w:tcMar>
              <w:top w:w="90" w:type="dxa"/>
              <w:left w:w="90" w:type="dxa"/>
              <w:bottom w:w="90" w:type="dxa"/>
              <w:right w:w="90" w:type="dxa"/>
            </w:tcMar>
            <w:vAlign w:val="center"/>
            <w:shd w:fill="DCEAF7"/>
          </w:tcPr>
          <w:p w14:paraId="6AC1089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Analytics Use</w:t>
            </w:r>
          </w:p>
        </w:tc>
      </w:tr>
      <w:tr w:rsidR="0084730D" w:rsidRPr="00335C63" w14:paraId="54A6C12F" w14:textId="77777777" w:rsidTr="00997D20">
        <w:trPr>
          <w:cantSplit/>
          <w:jc w:val="center"/>
        </w:trPr>
        <w:tc>
          <w:tcPr>
            <w:tcW w:w="1480" w:type="pct"/>
            <w:tcMar>
              <w:top w:w="90" w:type="dxa"/>
              <w:left w:w="90" w:type="dxa"/>
              <w:bottom w:w="90" w:type="dxa"/>
              <w:right w:w="90" w:type="dxa"/>
            </w:tcMar>
            <w:vAlign w:val="center"/>
          </w:tcPr>
          <w:p w14:paraId="1345D21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Prospects / leads</w:t>
            </w:r>
          </w:p>
        </w:tc>
        <w:tc>
          <w:tcPr>
            <w:tcW w:w="1987" w:type="pct"/>
            <w:tcMar>
              <w:top w:w="90" w:type="dxa"/>
              <w:left w:w="90" w:type="dxa"/>
              <w:bottom w:w="90" w:type="dxa"/>
              <w:right w:w="90" w:type="dxa"/>
            </w:tcMar>
            <w:vAlign w:val="center"/>
          </w:tcPr>
          <w:p w14:paraId="7899CF2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phone, lead date, ad source, campaign, status, PIC, follow-up count</w:t>
            </w:r>
          </w:p>
        </w:tc>
        <w:tc>
          <w:tcPr>
            <w:tcW w:w="1532" w:type="pct"/>
            <w:tcMar>
              <w:top w:w="90" w:type="dxa"/>
              <w:left w:w="90" w:type="dxa"/>
              <w:bottom w:w="90" w:type="dxa"/>
              <w:right w:w="90" w:type="dxa"/>
            </w:tcMar>
            <w:vAlign w:val="center"/>
          </w:tcPr>
          <w:p w14:paraId="3FAC6B8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Marketing attribution, lead conversion, funnel analysis</w:t>
            </w:r>
          </w:p>
        </w:tc>
      </w:tr>
      <w:tr w:rsidR="0084730D" w:rsidRPr="00335C63" w14:paraId="0FB17742" w14:textId="77777777" w:rsidTr="00997D20">
        <w:trPr>
          <w:cantSplit/>
          <w:jc w:val="center"/>
        </w:trPr>
        <w:tc>
          <w:tcPr>
            <w:tcW w:w="1480" w:type="pct"/>
            <w:tcMar>
              <w:top w:w="90" w:type="dxa"/>
              <w:left w:w="90" w:type="dxa"/>
              <w:bottom w:w="90" w:type="dxa"/>
              <w:right w:w="90" w:type="dxa"/>
            </w:tcMar>
            <w:vAlign w:val="center"/>
          </w:tcPr>
          <w:p w14:paraId="1C4E146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Services / sales</w:t>
            </w:r>
          </w:p>
        </w:tc>
        <w:tc>
          <w:tcPr>
            <w:tcW w:w="1987" w:type="pct"/>
            <w:tcMar>
              <w:top w:w="90" w:type="dxa"/>
              <w:left w:w="90" w:type="dxa"/>
              <w:bottom w:w="90" w:type="dxa"/>
              <w:right w:w="90" w:type="dxa"/>
            </w:tcMar>
            <w:vAlign w:val="center"/>
          </w:tcPr>
          <w:p w14:paraId="7A723FB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customer ID, service date, pest type, package, area, amount, payment status</w:t>
            </w:r>
          </w:p>
        </w:tc>
        <w:tc>
          <w:tcPr>
            <w:tcW w:w="1532" w:type="pct"/>
            <w:tcMar>
              <w:top w:w="90" w:type="dxa"/>
              <w:left w:w="90" w:type="dxa"/>
              <w:bottom w:w="90" w:type="dxa"/>
              <w:right w:w="90" w:type="dxa"/>
            </w:tcMar>
            <w:vAlign w:val="center"/>
          </w:tcPr>
          <w:p w14:paraId="0C03FA9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Service trends, revenue, customer segmentation, recurrence base</w:t>
            </w:r>
          </w:p>
        </w:tc>
      </w:tr>
      <w:tr w:rsidR="0084730D" w:rsidRPr="00335C63" w14:paraId="1A0D639C" w14:textId="77777777" w:rsidTr="00997D20">
        <w:trPr>
          <w:cantSplit/>
          <w:jc w:val="center"/>
        </w:trPr>
        <w:tc>
          <w:tcPr>
            <w:tcW w:w="1480" w:type="pct"/>
            <w:tcMar>
              <w:top w:w="90" w:type="dxa"/>
              <w:left w:w="90" w:type="dxa"/>
              <w:bottom w:w="90" w:type="dxa"/>
              <w:right w:w="90" w:type="dxa"/>
            </w:tcMar>
            <w:vAlign w:val="center"/>
          </w:tcPr>
          <w:p w14:paraId="2638D0E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Warranty claims</w:t>
            </w:r>
          </w:p>
        </w:tc>
        <w:tc>
          <w:tcPr>
            <w:tcW w:w="1987" w:type="pct"/>
            <w:tcMar>
              <w:top w:w="90" w:type="dxa"/>
              <w:left w:w="90" w:type="dxa"/>
              <w:bottom w:w="90" w:type="dxa"/>
              <w:right w:w="90" w:type="dxa"/>
            </w:tcMar>
            <w:vAlign w:val="center"/>
          </w:tcPr>
          <w:p w14:paraId="6CB2208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claim date, complaint reason, technician/team, repeat flag, complimentary service</w:t>
            </w:r>
          </w:p>
        </w:tc>
        <w:tc>
          <w:tcPr>
            <w:tcW w:w="1532" w:type="pct"/>
            <w:tcMar>
              <w:top w:w="90" w:type="dxa"/>
              <w:left w:w="90" w:type="dxa"/>
              <w:bottom w:w="90" w:type="dxa"/>
              <w:right w:w="90" w:type="dxa"/>
            </w:tcMar>
            <w:vAlign w:val="center"/>
          </w:tcPr>
          <w:p w14:paraId="0896BE4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Warranty review factors, repeat-problem analysis, treatment difficulty</w:t>
            </w:r>
          </w:p>
        </w:tc>
      </w:tr>
      <w:tr w:rsidR="0084730D" w:rsidRPr="00335C63" w14:paraId="2B420D8A" w14:textId="77777777" w:rsidTr="00997D20">
        <w:trPr>
          <w:cantSplit/>
          <w:jc w:val="center"/>
        </w:trPr>
        <w:tc>
          <w:tcPr>
            <w:tcW w:w="1480" w:type="pct"/>
            <w:tcMar>
              <w:top w:w="90" w:type="dxa"/>
              <w:left w:w="90" w:type="dxa"/>
              <w:bottom w:w="90" w:type="dxa"/>
              <w:right w:w="90" w:type="dxa"/>
            </w:tcMar>
            <w:vAlign w:val="center"/>
          </w:tcPr>
          <w:p w14:paraId="0EB320A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Refunds</w:t>
            </w:r>
          </w:p>
        </w:tc>
        <w:tc>
          <w:tcPr>
            <w:tcW w:w="1987" w:type="pct"/>
            <w:tcMar>
              <w:top w:w="90" w:type="dxa"/>
              <w:left w:w="90" w:type="dxa"/>
              <w:bottom w:w="90" w:type="dxa"/>
              <w:right w:w="90" w:type="dxa"/>
            </w:tcMar>
            <w:vAlign w:val="center"/>
          </w:tcPr>
          <w:p w14:paraId="08F87D5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refund date, reason, amount, status</w:t>
            </w:r>
          </w:p>
        </w:tc>
        <w:tc>
          <w:tcPr>
            <w:tcW w:w="1532" w:type="pct"/>
            <w:tcMar>
              <w:top w:w="90" w:type="dxa"/>
              <w:left w:w="90" w:type="dxa"/>
              <w:bottom w:w="90" w:type="dxa"/>
              <w:right w:w="90" w:type="dxa"/>
            </w:tcMar>
            <w:vAlign w:val="center"/>
          </w:tcPr>
          <w:p w14:paraId="3FEE125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Root cause categories, financial loss, difficulty score</w:t>
            </w:r>
          </w:p>
        </w:tc>
      </w:tr>
      <w:tr w:rsidR="0084730D" w:rsidRPr="00335C63" w14:paraId="1EA3AE75" w14:textId="77777777" w:rsidTr="00997D20">
        <w:trPr>
          <w:cantSplit/>
          <w:jc w:val="center"/>
        </w:trPr>
        <w:tc>
          <w:tcPr>
            <w:tcW w:w="1480" w:type="pct"/>
            <w:tcMar>
              <w:top w:w="90" w:type="dxa"/>
              <w:left w:w="90" w:type="dxa"/>
              <w:bottom w:w="90" w:type="dxa"/>
              <w:right w:w="90" w:type="dxa"/>
            </w:tcMar>
            <w:vAlign w:val="center"/>
          </w:tcPr>
          <w:p w14:paraId="200E25A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Payments and payment links</w:t>
            </w:r>
          </w:p>
        </w:tc>
        <w:tc>
          <w:tcPr>
            <w:tcW w:w="1987" w:type="pct"/>
            <w:tcMar>
              <w:top w:w="90" w:type="dxa"/>
              <w:left w:w="90" w:type="dxa"/>
              <w:bottom w:w="90" w:type="dxa"/>
              <w:right w:w="90" w:type="dxa"/>
            </w:tcMar>
            <w:vAlign w:val="center"/>
          </w:tcPr>
          <w:p w14:paraId="59C6315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received date, amount, method, sent date, won/pending</w:t>
            </w:r>
          </w:p>
        </w:tc>
        <w:tc>
          <w:tcPr>
            <w:tcW w:w="1532" w:type="pct"/>
            <w:tcMar>
              <w:top w:w="90" w:type="dxa"/>
              <w:left w:w="90" w:type="dxa"/>
              <w:bottom w:w="90" w:type="dxa"/>
              <w:right w:w="90" w:type="dxa"/>
            </w:tcMar>
            <w:vAlign w:val="center"/>
          </w:tcPr>
          <w:p w14:paraId="235F6B4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Payment completion and payment-link conversion</w:t>
            </w:r>
          </w:p>
        </w:tc>
      </w:tr>
      <w:tr w:rsidR="0084730D" w:rsidRPr="00335C63" w14:paraId="394ECBE6" w14:textId="77777777" w:rsidTr="00997D20">
        <w:trPr>
          <w:cantSplit/>
          <w:jc w:val="center"/>
        </w:trPr>
        <w:tc>
          <w:tcPr>
            <w:tcW w:w="1480" w:type="pct"/>
            <w:tcMar>
              <w:top w:w="90" w:type="dxa"/>
              <w:left w:w="90" w:type="dxa"/>
              <w:bottom w:w="90" w:type="dxa"/>
              <w:right w:w="90" w:type="dxa"/>
            </w:tcMar>
            <w:vAlign w:val="center"/>
          </w:tcPr>
          <w:p w14:paraId="0868774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Upsell records</w:t>
            </w:r>
          </w:p>
        </w:tc>
        <w:tc>
          <w:tcPr>
            <w:tcW w:w="1987" w:type="pct"/>
            <w:tcMar>
              <w:top w:w="90" w:type="dxa"/>
              <w:left w:w="90" w:type="dxa"/>
              <w:bottom w:w="90" w:type="dxa"/>
              <w:right w:w="90" w:type="dxa"/>
            </w:tcMar>
            <w:vAlign w:val="center"/>
          </w:tcPr>
          <w:p w14:paraId="2AB592A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upsell package, offer date/window, accepted/purchased package, amount</w:t>
            </w:r>
          </w:p>
        </w:tc>
        <w:tc>
          <w:tcPr>
            <w:tcW w:w="1532" w:type="pct"/>
            <w:tcMar>
              <w:top w:w="90" w:type="dxa"/>
              <w:left w:w="90" w:type="dxa"/>
              <w:bottom w:w="90" w:type="dxa"/>
              <w:right w:w="90" w:type="dxa"/>
            </w:tcMar>
            <w:vAlign w:val="center"/>
          </w:tcPr>
          <w:p w14:paraId="12C8B83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Package effectiveness and package-fit matrix</w:t>
            </w:r>
          </w:p>
        </w:tc>
      </w:tr>
      <w:tr w:rsidR="0084730D" w:rsidRPr="00335C63" w14:paraId="4786F189" w14:textId="77777777" w:rsidTr="00997D20">
        <w:trPr>
          <w:cantSplit/>
          <w:jc w:val="center"/>
        </w:trPr>
        <w:tc>
          <w:tcPr>
            <w:tcW w:w="1480" w:type="pct"/>
            <w:tcMar>
              <w:top w:w="90" w:type="dxa"/>
              <w:left w:w="90" w:type="dxa"/>
              <w:bottom w:w="90" w:type="dxa"/>
              <w:right w:w="90" w:type="dxa"/>
            </w:tcMar>
            <w:vAlign w:val="center"/>
          </w:tcPr>
          <w:p w14:paraId="1EF114D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Google Calendar</w:t>
            </w:r>
          </w:p>
        </w:tc>
        <w:tc>
          <w:tcPr>
            <w:tcW w:w="1987" w:type="pct"/>
            <w:tcMar>
              <w:top w:w="90" w:type="dxa"/>
              <w:left w:w="90" w:type="dxa"/>
              <w:bottom w:w="90" w:type="dxa"/>
              <w:right w:w="90" w:type="dxa"/>
            </w:tcMar>
            <w:vAlign w:val="center"/>
          </w:tcPr>
          <w:p w14:paraId="21B85CB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event title, start/end time, area, technician/team, session type</w:t>
            </w:r>
          </w:p>
        </w:tc>
        <w:tc>
          <w:tcPr>
            <w:tcW w:w="1532" w:type="pct"/>
            <w:tcMar>
              <w:top w:w="90" w:type="dxa"/>
              <w:left w:w="90" w:type="dxa"/>
              <w:bottom w:w="90" w:type="dxa"/>
              <w:right w:w="90" w:type="dxa"/>
            </w:tcMar>
            <w:vAlign w:val="center"/>
          </w:tcPr>
          <w:p w14:paraId="38CA64B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Capacity analytics, slot utilisation, warranty/extra session share</w:t>
            </w:r>
          </w:p>
        </w:tc>
      </w:tr>
      <w:tr w:rsidR="0084730D" w:rsidRPr="00335C63" w14:paraId="73E28B27" w14:textId="77777777" w:rsidTr="00997D20">
        <w:trPr>
          <w:cantSplit/>
          <w:jc w:val="center"/>
        </w:trPr>
        <w:tc>
          <w:tcPr>
            <w:tcW w:w="1480" w:type="pct"/>
            <w:tcMar>
              <w:top w:w="90" w:type="dxa"/>
              <w:left w:w="90" w:type="dxa"/>
              <w:bottom w:w="90" w:type="dxa"/>
              <w:right w:w="90" w:type="dxa"/>
            </w:tcMar>
            <w:vAlign w:val="center"/>
          </w:tcPr>
          <w:p w14:paraId="1EECF6E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Weather/flood data</w:t>
            </w:r>
          </w:p>
        </w:tc>
        <w:tc>
          <w:tcPr>
            <w:tcW w:w="1987" w:type="pct"/>
            <w:tcMar>
              <w:top w:w="90" w:type="dxa"/>
              <w:left w:w="90" w:type="dxa"/>
              <w:bottom w:w="90" w:type="dxa"/>
              <w:right w:w="90" w:type="dxa"/>
            </w:tcMar>
            <w:vAlign w:val="center"/>
          </w:tcPr>
          <w:p w14:paraId="03C9B9F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rainfall, humidity, temperature, warning/flood flags, date, area coordinate</w:t>
            </w:r>
          </w:p>
        </w:tc>
        <w:tc>
          <w:tcPr>
            <w:tcW w:w="1532" w:type="pct"/>
            <w:tcMar>
              <w:top w:w="90" w:type="dxa"/>
              <w:left w:w="90" w:type="dxa"/>
              <w:bottom w:w="90" w:type="dxa"/>
              <w:right w:w="90" w:type="dxa"/>
            </w:tcMar>
            <w:vAlign w:val="center"/>
          </w:tcPr>
          <w:p w14:paraId="6CF0FB3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Weather-associated risk, service-date enrichment</w:t>
            </w:r>
          </w:p>
        </w:tc>
      </w:tr>
    </w:tbl>
    <w:p w14:paraId="55014217" w14:textId="77777777" w:rsidR="0084730D" w:rsidRPr="00335C63" w:rsidRDefault="0084730D" w:rsidP="000F4170">
      <w:pPr>
        <w:spacing w:line="360" w:lineRule="auto" w:after="120"/>
        <w:jc w:val="both"/>
        <w:rPr>
          <w:rFonts w:ascii="Times New Roman" w:hAnsi="Times New Roman" w:cs="Times New Roman"/>
          <w:sz w:val="24"/>
          <w:szCs w:val="24"/>
        </w:rPr>
      </w:pPr>
    </w:p>
    <w:p w14:paraId="2C514DF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3.5 Data Cleaning, Inclusion, and Exclusion Rules</w:t>
      </w:r>
    </w:p>
    <w:p w14:paraId="4629B063"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pipeline will not simply load the company files directly into dashboards. Each source will pass through a flexible data contract layer before it is used for analysis. Because company data may contain inconsistent column names and formats, the contract will define required business fields, accepted column aliases, expected data types, and validation rules. Missing or low-confidence mappings will be flagged in the Data Quality Report instead of being silently deleted.</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20"/>
        <w:gridCol w:w="2725"/>
        <w:gridCol w:w="3471"/>
      </w:tblGrid>
      <w:tr w:rsidR="0084730D" w:rsidRPr="00335C63" w14:paraId="65ADD790" w14:textId="77777777" w:rsidTr="00997D20">
        <w:trPr>
          <w:cantSplit/>
          <w:tblHeader/>
          <w:jc w:val="center"/>
        </w:trPr>
        <w:tc>
          <w:tcPr>
            <w:tcW w:w="1564" w:type="pct"/>
            <w:shd w:val="clear" w:color="auto" w:fill="E8F1FA"/>
            <w:tcMar>
              <w:top w:w="90" w:type="dxa"/>
              <w:left w:w="90" w:type="dxa"/>
              <w:bottom w:w="90" w:type="dxa"/>
              <w:right w:w="90" w:type="dxa"/>
            </w:tcMar>
            <w:vAlign w:val="center"/>
            <w:shd w:fill="DCEAF7"/>
          </w:tcPr>
          <w:p w14:paraId="486098C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Data Element</w:t>
            </w:r>
          </w:p>
        </w:tc>
        <w:tc>
          <w:tcPr>
            <w:tcW w:w="1511" w:type="pct"/>
            <w:shd w:val="clear" w:color="auto" w:fill="E8F1FA"/>
            <w:tcMar>
              <w:top w:w="90" w:type="dxa"/>
              <w:left w:w="90" w:type="dxa"/>
              <w:bottom w:w="90" w:type="dxa"/>
              <w:right w:w="90" w:type="dxa"/>
            </w:tcMar>
            <w:vAlign w:val="center"/>
            <w:shd w:fill="DCEAF7"/>
          </w:tcPr>
          <w:p w14:paraId="3CD13FA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Cleaning / Standardisation Rule</w:t>
            </w:r>
          </w:p>
        </w:tc>
        <w:tc>
          <w:tcPr>
            <w:tcW w:w="1926" w:type="pct"/>
            <w:shd w:val="clear" w:color="auto" w:fill="E8F1FA"/>
            <w:tcMar>
              <w:top w:w="90" w:type="dxa"/>
              <w:left w:w="90" w:type="dxa"/>
              <w:bottom w:w="90" w:type="dxa"/>
              <w:right w:w="90" w:type="dxa"/>
            </w:tcMar>
            <w:vAlign w:val="center"/>
            <w:shd w:fill="DCEAF7"/>
          </w:tcPr>
          <w:p w14:paraId="428439E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Flag or Exclusion Rule</w:t>
            </w:r>
          </w:p>
        </w:tc>
      </w:tr>
      <w:tr w:rsidR="0084730D" w:rsidRPr="00335C63" w14:paraId="706C5C88" w14:textId="77777777" w:rsidTr="00997D20">
        <w:trPr>
          <w:cantSplit/>
          <w:jc w:val="center"/>
        </w:trPr>
        <w:tc>
          <w:tcPr>
            <w:tcW w:w="1564" w:type="pct"/>
            <w:tcMar>
              <w:top w:w="90" w:type="dxa"/>
              <w:left w:w="90" w:type="dxa"/>
              <w:bottom w:w="90" w:type="dxa"/>
              <w:right w:w="90" w:type="dxa"/>
            </w:tcMar>
            <w:vAlign w:val="center"/>
          </w:tcPr>
          <w:p w14:paraId="5933933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Dates</w:t>
            </w:r>
          </w:p>
        </w:tc>
        <w:tc>
          <w:tcPr>
            <w:tcW w:w="1511" w:type="pct"/>
            <w:tcMar>
              <w:top w:w="90" w:type="dxa"/>
              <w:left w:w="90" w:type="dxa"/>
              <w:bottom w:w="90" w:type="dxa"/>
              <w:right w:w="90" w:type="dxa"/>
            </w:tcMar>
            <w:vAlign w:val="center"/>
          </w:tcPr>
          <w:p w14:paraId="2AA29D8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Convert all service, payment, claim, refund, upsell, and calendar dates into a consistent date format</w:t>
            </w:r>
          </w:p>
        </w:tc>
        <w:tc>
          <w:tcPr>
            <w:tcW w:w="1926" w:type="pct"/>
            <w:tcMar>
              <w:top w:w="90" w:type="dxa"/>
              <w:left w:w="90" w:type="dxa"/>
              <w:bottom w:w="90" w:type="dxa"/>
              <w:right w:w="90" w:type="dxa"/>
            </w:tcMar>
            <w:vAlign w:val="center"/>
          </w:tcPr>
          <w:p w14:paraId="3B8174D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Invalid or impossible dates are flagged and excluded from time-based analysis until corrected</w:t>
            </w:r>
          </w:p>
        </w:tc>
      </w:tr>
      <w:tr w:rsidR="0084730D" w:rsidRPr="00335C63" w14:paraId="1D786432" w14:textId="77777777" w:rsidTr="00997D20">
        <w:trPr>
          <w:cantSplit/>
          <w:jc w:val="center"/>
        </w:trPr>
        <w:tc>
          <w:tcPr>
            <w:tcW w:w="1564" w:type="pct"/>
            <w:tcMar>
              <w:top w:w="90" w:type="dxa"/>
              <w:left w:w="90" w:type="dxa"/>
              <w:bottom w:w="90" w:type="dxa"/>
              <w:right w:w="90" w:type="dxa"/>
            </w:tcMar>
            <w:vAlign w:val="center"/>
          </w:tcPr>
          <w:p w14:paraId="0826B3F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Customer identifiers</w:t>
            </w:r>
          </w:p>
        </w:tc>
        <w:tc>
          <w:tcPr>
            <w:tcW w:w="1511" w:type="pct"/>
            <w:tcMar>
              <w:top w:w="90" w:type="dxa"/>
              <w:left w:w="90" w:type="dxa"/>
              <w:bottom w:w="90" w:type="dxa"/>
              <w:right w:w="90" w:type="dxa"/>
            </w:tcMar>
            <w:vAlign w:val="center"/>
          </w:tcPr>
          <w:p w14:paraId="4FD397A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Standardise customer_id and normalise phone numbers by removing spaces, symbols, and country-code inconsistencies</w:t>
            </w:r>
          </w:p>
        </w:tc>
        <w:tc>
          <w:tcPr>
            <w:tcW w:w="1926" w:type="pct"/>
            <w:tcMar>
              <w:top w:w="90" w:type="dxa"/>
              <w:left w:w="90" w:type="dxa"/>
              <w:bottom w:w="90" w:type="dxa"/>
              <w:right w:w="90" w:type="dxa"/>
            </w:tcMar>
            <w:vAlign w:val="center"/>
          </w:tcPr>
          <w:p w14:paraId="036D91A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Rows without any usable customer_id, phone, or name/date fallback are flagged as unmatched</w:t>
            </w:r>
          </w:p>
        </w:tc>
      </w:tr>
      <w:tr w:rsidR="0084730D" w:rsidRPr="00335C63" w14:paraId="7CB5EBA7" w14:textId="77777777" w:rsidTr="00997D20">
        <w:trPr>
          <w:cantSplit/>
          <w:jc w:val="center"/>
        </w:trPr>
        <w:tc>
          <w:tcPr>
            <w:tcW w:w="1564" w:type="pct"/>
            <w:tcMar>
              <w:top w:w="90" w:type="dxa"/>
              <w:left w:w="90" w:type="dxa"/>
              <w:bottom w:w="90" w:type="dxa"/>
              <w:right w:w="90" w:type="dxa"/>
            </w:tcMar>
            <w:vAlign w:val="center"/>
          </w:tcPr>
          <w:p w14:paraId="2EA8871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Pest type</w:t>
            </w:r>
          </w:p>
        </w:tc>
        <w:tc>
          <w:tcPr>
            <w:tcW w:w="1511" w:type="pct"/>
            <w:tcMar>
              <w:top w:w="90" w:type="dxa"/>
              <w:left w:w="90" w:type="dxa"/>
              <w:bottom w:w="90" w:type="dxa"/>
              <w:right w:w="90" w:type="dxa"/>
            </w:tcMar>
            <w:vAlign w:val="center"/>
          </w:tcPr>
          <w:p w14:paraId="125253C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Map variants such as lipas, </w:t>
            </w:r>
            <w:proofErr w:type="gramStart"/>
            <w:r w:rsidRPr="00335C63">
              <w:rPr>
                <w:rFonts w:ascii="Times New Roman" w:hAnsi="Times New Roman" w:cs="Times New Roman" w:eastAsia="Times New Roman"/>
                <w:sz w:val="20"/>
                <w:szCs w:val="24"/>
              </w:rPr>
              <w:t>cockroach</w:t>
            </w:r>
            <w:proofErr w:type="gramEnd"/>
            <w:r w:rsidRPr="00335C63">
              <w:rPr>
                <w:rFonts w:ascii="Times New Roman" w:hAnsi="Times New Roman" w:cs="Times New Roman" w:eastAsia="Times New Roman"/>
                <w:sz w:val="20"/>
                <w:szCs w:val="24"/>
              </w:rPr>
              <w:t>, cockroaches, anai-anai, and termite into standard pest labels</w:t>
            </w:r>
          </w:p>
        </w:tc>
        <w:tc>
          <w:tcPr>
            <w:tcW w:w="1926" w:type="pct"/>
            <w:tcMar>
              <w:top w:w="90" w:type="dxa"/>
              <w:left w:w="90" w:type="dxa"/>
              <w:bottom w:w="90" w:type="dxa"/>
              <w:right w:w="90" w:type="dxa"/>
            </w:tcMar>
            <w:vAlign w:val="center"/>
          </w:tcPr>
          <w:p w14:paraId="7B656A8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Unknown pest labels are retained but flagged for manual mapping</w:t>
            </w:r>
          </w:p>
        </w:tc>
      </w:tr>
      <w:tr w:rsidR="0084730D" w:rsidRPr="00335C63" w14:paraId="48BD4F7E" w14:textId="77777777" w:rsidTr="00997D20">
        <w:trPr>
          <w:cantSplit/>
          <w:jc w:val="center"/>
        </w:trPr>
        <w:tc>
          <w:tcPr>
            <w:tcW w:w="1564" w:type="pct"/>
            <w:tcMar>
              <w:top w:w="90" w:type="dxa"/>
              <w:left w:w="90" w:type="dxa"/>
              <w:bottom w:w="90" w:type="dxa"/>
              <w:right w:w="90" w:type="dxa"/>
            </w:tcMar>
            <w:vAlign w:val="center"/>
          </w:tcPr>
          <w:p w14:paraId="6A1E61A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Area/postcode</w:t>
            </w:r>
          </w:p>
        </w:tc>
        <w:tc>
          <w:tcPr>
            <w:tcW w:w="1511" w:type="pct"/>
            <w:tcMar>
              <w:top w:w="90" w:type="dxa"/>
              <w:left w:w="90" w:type="dxa"/>
              <w:bottom w:w="90" w:type="dxa"/>
              <w:right w:w="90" w:type="dxa"/>
            </w:tcMar>
            <w:vAlign w:val="center"/>
          </w:tcPr>
          <w:p w14:paraId="2A95F50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Standardise area names and map postcode/area to centroid coordinates</w:t>
            </w:r>
          </w:p>
        </w:tc>
        <w:tc>
          <w:tcPr>
            <w:tcW w:w="1926" w:type="pct"/>
            <w:tcMar>
              <w:top w:w="90" w:type="dxa"/>
              <w:left w:w="90" w:type="dxa"/>
              <w:bottom w:w="90" w:type="dxa"/>
              <w:right w:w="90" w:type="dxa"/>
            </w:tcMar>
            <w:vAlign w:val="center"/>
          </w:tcPr>
          <w:p w14:paraId="55E4E1F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Unknown areas are included in non-map summaries but excluded from coordinate-based hotspot analysis</w:t>
            </w:r>
          </w:p>
        </w:tc>
      </w:tr>
      <w:tr w:rsidR="0084730D" w:rsidRPr="00335C63" w14:paraId="26054650" w14:textId="77777777" w:rsidTr="00997D20">
        <w:trPr>
          <w:cantSplit/>
          <w:jc w:val="center"/>
        </w:trPr>
        <w:tc>
          <w:tcPr>
            <w:tcW w:w="1564" w:type="pct"/>
            <w:tcMar>
              <w:top w:w="90" w:type="dxa"/>
              <w:left w:w="90" w:type="dxa"/>
              <w:bottom w:w="90" w:type="dxa"/>
              <w:right w:w="90" w:type="dxa"/>
            </w:tcMar>
            <w:vAlign w:val="center"/>
          </w:tcPr>
          <w:p w14:paraId="219F664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Technician/team</w:t>
            </w:r>
          </w:p>
        </w:tc>
        <w:tc>
          <w:tcPr>
            <w:tcW w:w="1511" w:type="pct"/>
            <w:tcMar>
              <w:top w:w="90" w:type="dxa"/>
              <w:left w:w="90" w:type="dxa"/>
              <w:bottom w:w="90" w:type="dxa"/>
              <w:right w:w="90" w:type="dxa"/>
            </w:tcMar>
            <w:vAlign w:val="center"/>
          </w:tcPr>
          <w:p w14:paraId="7B243D0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Standardise spelling and team labels across service, warranty, and calendar records</w:t>
            </w:r>
          </w:p>
        </w:tc>
        <w:tc>
          <w:tcPr>
            <w:tcW w:w="1926" w:type="pct"/>
            <w:tcMar>
              <w:top w:w="90" w:type="dxa"/>
              <w:left w:w="90" w:type="dxa"/>
              <w:bottom w:w="90" w:type="dxa"/>
              <w:right w:w="90" w:type="dxa"/>
            </w:tcMar>
            <w:vAlign w:val="center"/>
          </w:tcPr>
          <w:p w14:paraId="3847654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Missing technician is allowed for company-level analysis but flagged for technician review dashboards</w:t>
            </w:r>
          </w:p>
        </w:tc>
      </w:tr>
      <w:tr w:rsidR="0084730D" w:rsidRPr="00335C63" w14:paraId="441C678F" w14:textId="77777777" w:rsidTr="00997D20">
        <w:trPr>
          <w:cantSplit/>
          <w:jc w:val="center"/>
        </w:trPr>
        <w:tc>
          <w:tcPr>
            <w:tcW w:w="1564" w:type="pct"/>
            <w:tcMar>
              <w:top w:w="90" w:type="dxa"/>
              <w:left w:w="90" w:type="dxa"/>
              <w:bottom w:w="90" w:type="dxa"/>
              <w:right w:w="90" w:type="dxa"/>
            </w:tcMar>
            <w:vAlign w:val="center"/>
          </w:tcPr>
          <w:p w14:paraId="336725A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Package/service type</w:t>
            </w:r>
          </w:p>
        </w:tc>
        <w:tc>
          <w:tcPr>
            <w:tcW w:w="1511" w:type="pct"/>
            <w:tcMar>
              <w:top w:w="90" w:type="dxa"/>
              <w:left w:w="90" w:type="dxa"/>
              <w:bottom w:w="90" w:type="dxa"/>
              <w:right w:w="90" w:type="dxa"/>
            </w:tcMar>
            <w:vAlign w:val="center"/>
          </w:tcPr>
          <w:p w14:paraId="171C798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Standardise 1x, 2x, 3x, yearly, TRBS, GPC, termite, and related package labels</w:t>
            </w:r>
          </w:p>
        </w:tc>
        <w:tc>
          <w:tcPr>
            <w:tcW w:w="1926" w:type="pct"/>
            <w:tcMar>
              <w:top w:w="90" w:type="dxa"/>
              <w:left w:w="90" w:type="dxa"/>
              <w:bottom w:w="90" w:type="dxa"/>
              <w:right w:w="90" w:type="dxa"/>
            </w:tcMar>
            <w:vAlign w:val="center"/>
          </w:tcPr>
          <w:p w14:paraId="3A6EB4D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Unrecognised package labels are flagged and grouped as Other until reviewed</w:t>
            </w:r>
          </w:p>
        </w:tc>
      </w:tr>
      <w:tr w:rsidR="0084730D" w:rsidRPr="00335C63" w14:paraId="1DA3706C" w14:textId="77777777" w:rsidTr="00997D20">
        <w:trPr>
          <w:cantSplit/>
          <w:jc w:val="center"/>
        </w:trPr>
        <w:tc>
          <w:tcPr>
            <w:tcW w:w="1564" w:type="pct"/>
            <w:tcMar>
              <w:top w:w="90" w:type="dxa"/>
              <w:left w:w="90" w:type="dxa"/>
              <w:bottom w:w="90" w:type="dxa"/>
              <w:right w:w="90" w:type="dxa"/>
            </w:tcMar>
            <w:vAlign w:val="center"/>
          </w:tcPr>
          <w:p w14:paraId="10BDAF6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Refund reason</w:t>
            </w:r>
          </w:p>
        </w:tc>
        <w:tc>
          <w:tcPr>
            <w:tcW w:w="1511" w:type="pct"/>
            <w:tcMar>
              <w:top w:w="90" w:type="dxa"/>
              <w:left w:w="90" w:type="dxa"/>
              <w:bottom w:w="90" w:type="dxa"/>
              <w:right w:w="90" w:type="dxa"/>
            </w:tcMar>
            <w:vAlign w:val="center"/>
          </w:tcPr>
          <w:p w14:paraId="57FF66E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Group free-text reasons into categories such as Cannot eradicate, </w:t>
            </w:r>
            <w:proofErr w:type="gramStart"/>
            <w:r w:rsidRPr="00335C63">
              <w:rPr>
                <w:rFonts w:ascii="Times New Roman" w:hAnsi="Times New Roman" w:cs="Times New Roman" w:eastAsia="Times New Roman"/>
                <w:sz w:val="20"/>
                <w:szCs w:val="24"/>
              </w:rPr>
              <w:t>Not</w:t>
            </w:r>
            <w:proofErr w:type="gramEnd"/>
            <w:r w:rsidRPr="00335C63">
              <w:rPr>
                <w:rFonts w:ascii="Times New Roman" w:hAnsi="Times New Roman" w:cs="Times New Roman" w:eastAsia="Times New Roman"/>
                <w:sz w:val="20"/>
                <w:szCs w:val="24"/>
              </w:rPr>
              <w:t xml:space="preserve"> satisfied, Billing issue, Late service, and Manual review</w:t>
            </w:r>
          </w:p>
        </w:tc>
        <w:tc>
          <w:tcPr>
            <w:tcW w:w="1926" w:type="pct"/>
            <w:tcMar>
              <w:top w:w="90" w:type="dxa"/>
              <w:left w:w="90" w:type="dxa"/>
              <w:bottom w:w="90" w:type="dxa"/>
              <w:right w:w="90" w:type="dxa"/>
            </w:tcMar>
            <w:vAlign w:val="center"/>
          </w:tcPr>
          <w:p w14:paraId="7C1A726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Ambiguous reasons are shown in root-cause analysis as Needs manual review</w:t>
            </w:r>
          </w:p>
        </w:tc>
      </w:tr>
      <w:tr w:rsidR="0084730D" w:rsidRPr="00335C63" w14:paraId="543718A3" w14:textId="77777777" w:rsidTr="00997D20">
        <w:trPr>
          <w:cantSplit/>
          <w:jc w:val="center"/>
        </w:trPr>
        <w:tc>
          <w:tcPr>
            <w:tcW w:w="1564" w:type="pct"/>
            <w:tcMar>
              <w:top w:w="90" w:type="dxa"/>
              <w:left w:w="90" w:type="dxa"/>
              <w:bottom w:w="90" w:type="dxa"/>
              <w:right w:w="90" w:type="dxa"/>
            </w:tcMar>
            <w:vAlign w:val="center"/>
          </w:tcPr>
          <w:p w14:paraId="221CB01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Calendar event</w:t>
            </w:r>
          </w:p>
        </w:tc>
        <w:tc>
          <w:tcPr>
            <w:tcW w:w="1511" w:type="pct"/>
            <w:tcMar>
              <w:top w:w="90" w:type="dxa"/>
              <w:left w:w="90" w:type="dxa"/>
              <w:bottom w:w="90" w:type="dxa"/>
              <w:right w:w="90" w:type="dxa"/>
            </w:tcMar>
            <w:vAlign w:val="center"/>
          </w:tcPr>
          <w:p w14:paraId="419BEF18" w14:textId="77777777" w:rsidR="0084730D" w:rsidRPr="00335C63" w:rsidRDefault="00357319" w:rsidP="000F4170">
            <w:pPr>
              <w:spacing w:after="40" w:line="276" w:lineRule="auto"/>
              <w:jc w:val="left"/>
              <w:rPr>
                <w:rFonts w:ascii="Times New Roman" w:hAnsi="Times New Roman" w:cs="Times New Roman"/>
                <w:sz w:val="24"/>
                <w:szCs w:val="24"/>
              </w:rPr>
            </w:pPr>
            <w:proofErr w:type="gramStart"/>
            <w:r w:rsidRPr="00335C63">
              <w:rPr>
                <w:rFonts w:ascii="Times New Roman" w:hAnsi="Times New Roman" w:cs="Times New Roman" w:eastAsia="Times New Roman"/>
                <w:sz w:val="20"/>
                <w:szCs w:val="24"/>
              </w:rPr>
              <w:t>Parse</w:t>
            </w:r>
            <w:proofErr w:type="gramEnd"/>
            <w:r w:rsidRPr="00335C63">
              <w:rPr>
                <w:rFonts w:ascii="Times New Roman" w:hAnsi="Times New Roman" w:cs="Times New Roman" w:eastAsia="Times New Roman"/>
                <w:sz w:val="20"/>
                <w:szCs w:val="24"/>
              </w:rPr>
              <w:t xml:space="preserve"> event title/description into New/Paid, Warranty, Extra, Follow-up, or Unknown</w:t>
            </w:r>
          </w:p>
        </w:tc>
        <w:tc>
          <w:tcPr>
            <w:tcW w:w="1926" w:type="pct"/>
            <w:tcMar>
              <w:top w:w="90" w:type="dxa"/>
              <w:left w:w="90" w:type="dxa"/>
              <w:bottom w:w="90" w:type="dxa"/>
              <w:right w:w="90" w:type="dxa"/>
            </w:tcMar>
            <w:vAlign w:val="center"/>
          </w:tcPr>
          <w:p w14:paraId="163040E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Unmatched or unknown events are kept in scheduling totals but excluded from service-quality attribution</w:t>
            </w:r>
          </w:p>
        </w:tc>
      </w:tr>
      <w:tr w:rsidR="0084730D" w:rsidRPr="00335C63" w14:paraId="688F2A31" w14:textId="77777777" w:rsidTr="00997D20">
        <w:trPr>
          <w:cantSplit/>
          <w:jc w:val="center"/>
        </w:trPr>
        <w:tc>
          <w:tcPr>
            <w:tcW w:w="1564" w:type="pct"/>
            <w:tcMar>
              <w:top w:w="90" w:type="dxa"/>
              <w:left w:w="90" w:type="dxa"/>
              <w:bottom w:w="90" w:type="dxa"/>
              <w:right w:w="90" w:type="dxa"/>
            </w:tcMar>
            <w:vAlign w:val="center"/>
          </w:tcPr>
          <w:p w14:paraId="60B917E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 match</w:t>
            </w:r>
          </w:p>
        </w:tc>
        <w:tc>
          <w:tcPr>
            <w:tcW w:w="1511" w:type="pct"/>
            <w:tcMar>
              <w:top w:w="90" w:type="dxa"/>
              <w:left w:w="90" w:type="dxa"/>
              <w:bottom w:w="90" w:type="dxa"/>
              <w:right w:w="90" w:type="dxa"/>
            </w:tcMar>
            <w:vAlign w:val="center"/>
          </w:tcPr>
          <w:p w14:paraId="37D7E2D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Attach service-date rainfall, humidity, and temperature using area/postcode centroid</w:t>
            </w:r>
          </w:p>
        </w:tc>
        <w:tc>
          <w:tcPr>
            <w:tcW w:w="1926" w:type="pct"/>
            <w:tcMar>
              <w:top w:w="90" w:type="dxa"/>
              <w:left w:w="90" w:type="dxa"/>
              <w:bottom w:w="90" w:type="dxa"/>
              <w:right w:w="90" w:type="dxa"/>
            </w:tcMar>
            <w:vAlign w:val="center"/>
          </w:tcPr>
          <w:p w14:paraId="7025789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Rows without weather match are kept with weather_data_status = Missing and excluded from weather-specific charts</w:t>
            </w:r>
          </w:p>
        </w:tc>
      </w:tr>
      <w:tr w:rsidR="00BB18A2" w14:paraId="7D26AE05" w14:textId="77777777">
        <w:trPr>
          <w:jc w:val="center"/>
        </w:trPr>
        <w:tc>
          <w:tcPr>
            <w:tcW w:w="2820" w:type="dxa"/>
            <w:vAlign w:val="center"/>
          </w:tcPr>
          <w:p w14:paraId="575279A2" w14:textId="77777777" w:rsidR="00BB18A2" w:rsidRDefault="00000000">
            <w:pPr>
              <w:spacing w:line="276" w:lineRule="auto" w:after="40"/>
              <w:jc w:val="left"/>
            </w:pPr>
            <w:r>
              <w:rPr>
                <w:rFonts w:ascii="Times New Roman" w:hAnsi="Times New Roman" w:eastAsia="Times New Roman" w:cs="Times New Roman"/>
                <w:sz w:val="20"/>
              </w:rPr>
              <w:t>Source columns</w:t>
            </w:r>
          </w:p>
        </w:tc>
        <w:tc>
          <w:tcPr>
            <w:tcW w:w="2725" w:type="dxa"/>
            <w:vAlign w:val="center"/>
          </w:tcPr>
          <w:p w14:paraId="121121E8" w14:textId="77777777" w:rsidR="00BB18A2" w:rsidRDefault="00000000">
            <w:pPr>
              <w:spacing w:line="276" w:lineRule="auto" w:after="40"/>
              <w:jc w:val="left"/>
            </w:pPr>
            <w:r>
              <w:rPr>
                <w:rFonts w:ascii="Times New Roman" w:hAnsi="Times New Roman" w:eastAsia="Times New Roman" w:cs="Times New Roman"/>
                <w:sz w:val="20"/>
              </w:rPr>
              <w:t>Map messy source column names to standard fields using flexible data contracts and alias dictionaries</w:t>
            </w:r>
          </w:p>
        </w:tc>
        <w:tc>
          <w:tcPr>
            <w:tcW w:w="3471" w:type="dxa"/>
            <w:vAlign w:val="center"/>
          </w:tcPr>
          <w:p w14:paraId="364E83E5" w14:textId="77777777" w:rsidR="00BB18A2" w:rsidRDefault="00000000">
            <w:pPr>
              <w:spacing w:line="276" w:lineRule="auto" w:after="40"/>
              <w:jc w:val="left"/>
            </w:pPr>
            <w:r>
              <w:rPr>
                <w:rFonts w:ascii="Times New Roman" w:hAnsi="Times New Roman" w:eastAsia="Times New Roman" w:cs="Times New Roman"/>
                <w:sz w:val="20"/>
              </w:rPr>
              <w:t>Missing critical fields are flagged as failed_data_contract; important/optional fields are warned but do not always block loading</w:t>
            </w:r>
          </w:p>
        </w:tc>
      </w:tr>
    </w:tbl>
    <w:p w14:paraId="4FEF011C" w14:textId="77777777" w:rsidR="0084730D" w:rsidRPr="00335C63" w:rsidRDefault="0084730D" w:rsidP="000F4170">
      <w:pPr>
        <w:spacing w:line="360" w:lineRule="auto" w:after="120"/>
        <w:jc w:val="both"/>
        <w:rPr>
          <w:rFonts w:ascii="Times New Roman" w:hAnsi="Times New Roman" w:cs="Times New Roman"/>
          <w:sz w:val="24"/>
          <w:szCs w:val="24"/>
        </w:rPr>
      </w:pPr>
    </w:p>
    <w:p w14:paraId="1F0A5C6D"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lastRenderedPageBreak/>
        <w:t>The project will use a conservative exclusion policy. Records are not silently deleted. They are first preserved in Bronze raw tables, then marked with validation flags such as invalid_date, duplicate_candidate, unmatched_customer, unknown_area, missing_weather, missing_required_field, failed_data_contract, or low_calendar_match_confidence. A record may be excluded from one analysis but still used in another if the required fields for that analysis are available.</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973"/>
        <w:gridCol w:w="6043"/>
      </w:tblGrid>
      <w:tr w:rsidR="0084730D" w:rsidRPr="00335C63" w14:paraId="1ACFFEAC" w14:textId="77777777" w:rsidTr="00997D20">
        <w:trPr>
          <w:cantSplit/>
          <w:tblHeader/>
          <w:jc w:val="center"/>
        </w:trPr>
        <w:tc>
          <w:tcPr>
            <w:tcW w:w="1649" w:type="pct"/>
            <w:shd w:val="clear" w:color="auto" w:fill="E8F1FA"/>
            <w:tcMar>
              <w:top w:w="90" w:type="dxa"/>
              <w:left w:w="90" w:type="dxa"/>
              <w:bottom w:w="90" w:type="dxa"/>
              <w:right w:w="90" w:type="dxa"/>
            </w:tcMar>
            <w:vAlign w:val="center"/>
            <w:shd w:fill="DCEAF7"/>
          </w:tcPr>
          <w:p w14:paraId="6B887F7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Data Quality Metric</w:t>
            </w:r>
          </w:p>
        </w:tc>
        <w:tc>
          <w:tcPr>
            <w:tcW w:w="3351" w:type="pct"/>
            <w:shd w:val="clear" w:color="auto" w:fill="E8F1FA"/>
            <w:tcMar>
              <w:top w:w="90" w:type="dxa"/>
              <w:left w:w="90" w:type="dxa"/>
              <w:bottom w:w="90" w:type="dxa"/>
              <w:right w:w="90" w:type="dxa"/>
            </w:tcMar>
            <w:vAlign w:val="center"/>
            <w:shd w:fill="DCEAF7"/>
          </w:tcPr>
          <w:p w14:paraId="6E8FB99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Purpose</w:t>
            </w:r>
          </w:p>
        </w:tc>
      </w:tr>
      <w:tr w:rsidR="0084730D" w:rsidRPr="00335C63" w14:paraId="47AD59AF" w14:textId="77777777" w:rsidTr="00997D20">
        <w:trPr>
          <w:cantSplit/>
          <w:jc w:val="center"/>
        </w:trPr>
        <w:tc>
          <w:tcPr>
            <w:tcW w:w="1649" w:type="pct"/>
            <w:tcMar>
              <w:top w:w="90" w:type="dxa"/>
              <w:left w:w="90" w:type="dxa"/>
              <w:bottom w:w="90" w:type="dxa"/>
              <w:right w:w="90" w:type="dxa"/>
            </w:tcMar>
            <w:vAlign w:val="center"/>
          </w:tcPr>
          <w:p w14:paraId="3869C91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Missing-value summary</w:t>
            </w:r>
          </w:p>
        </w:tc>
        <w:tc>
          <w:tcPr>
            <w:tcW w:w="3351" w:type="pct"/>
            <w:tcMar>
              <w:top w:w="90" w:type="dxa"/>
              <w:left w:w="90" w:type="dxa"/>
              <w:bottom w:w="90" w:type="dxa"/>
              <w:right w:w="90" w:type="dxa"/>
            </w:tcMar>
            <w:vAlign w:val="center"/>
          </w:tcPr>
          <w:p w14:paraId="4D54C24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Shows which fields are incomplete by source and by column</w:t>
            </w:r>
          </w:p>
        </w:tc>
      </w:tr>
      <w:tr w:rsidR="0084730D" w:rsidRPr="00335C63" w14:paraId="302B3655" w14:textId="77777777" w:rsidTr="00997D20">
        <w:trPr>
          <w:cantSplit/>
          <w:jc w:val="center"/>
        </w:trPr>
        <w:tc>
          <w:tcPr>
            <w:tcW w:w="1649" w:type="pct"/>
            <w:tcMar>
              <w:top w:w="90" w:type="dxa"/>
              <w:left w:w="90" w:type="dxa"/>
              <w:bottom w:w="90" w:type="dxa"/>
              <w:right w:w="90" w:type="dxa"/>
            </w:tcMar>
            <w:vAlign w:val="center"/>
          </w:tcPr>
          <w:p w14:paraId="6056642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Duplicate-record count</w:t>
            </w:r>
          </w:p>
        </w:tc>
        <w:tc>
          <w:tcPr>
            <w:tcW w:w="3351" w:type="pct"/>
            <w:tcMar>
              <w:top w:w="90" w:type="dxa"/>
              <w:left w:w="90" w:type="dxa"/>
              <w:bottom w:w="90" w:type="dxa"/>
              <w:right w:w="90" w:type="dxa"/>
            </w:tcMar>
            <w:vAlign w:val="center"/>
          </w:tcPr>
          <w:p w14:paraId="6D4CA38C" w14:textId="77777777" w:rsidR="0084730D" w:rsidRPr="00335C63" w:rsidRDefault="00357319" w:rsidP="000F4170">
            <w:pPr>
              <w:spacing w:after="40" w:line="276" w:lineRule="auto"/>
              <w:jc w:val="left"/>
              <w:rPr>
                <w:rFonts w:ascii="Times New Roman" w:hAnsi="Times New Roman" w:cs="Times New Roman"/>
                <w:sz w:val="24"/>
                <w:szCs w:val="24"/>
              </w:rPr>
            </w:pPr>
            <w:proofErr w:type="gramStart"/>
            <w:r w:rsidRPr="00335C63">
              <w:rPr>
                <w:rFonts w:ascii="Times New Roman" w:hAnsi="Times New Roman" w:cs="Times New Roman" w:eastAsia="Times New Roman"/>
                <w:sz w:val="20"/>
                <w:szCs w:val="24"/>
              </w:rPr>
              <w:t>Identifies</w:t>
            </w:r>
            <w:proofErr w:type="gramEnd"/>
            <w:r w:rsidRPr="00335C63">
              <w:rPr>
                <w:rFonts w:ascii="Times New Roman" w:hAnsi="Times New Roman" w:cs="Times New Roman" w:eastAsia="Times New Roman"/>
                <w:sz w:val="20"/>
                <w:szCs w:val="24"/>
              </w:rPr>
              <w:t xml:space="preserve"> repeated customers, services, payments, claims, or calendar rows</w:t>
            </w:r>
          </w:p>
        </w:tc>
      </w:tr>
      <w:tr w:rsidR="0084730D" w:rsidRPr="00335C63" w14:paraId="454F9178" w14:textId="77777777" w:rsidTr="00997D20">
        <w:trPr>
          <w:cantSplit/>
          <w:jc w:val="center"/>
        </w:trPr>
        <w:tc>
          <w:tcPr>
            <w:tcW w:w="1649" w:type="pct"/>
            <w:tcMar>
              <w:top w:w="90" w:type="dxa"/>
              <w:left w:w="90" w:type="dxa"/>
              <w:bottom w:w="90" w:type="dxa"/>
              <w:right w:w="90" w:type="dxa"/>
            </w:tcMar>
            <w:vAlign w:val="center"/>
          </w:tcPr>
          <w:p w14:paraId="04D03A1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Invalid-date count</w:t>
            </w:r>
          </w:p>
        </w:tc>
        <w:tc>
          <w:tcPr>
            <w:tcW w:w="3351" w:type="pct"/>
            <w:tcMar>
              <w:top w:w="90" w:type="dxa"/>
              <w:left w:w="90" w:type="dxa"/>
              <w:bottom w:w="90" w:type="dxa"/>
              <w:right w:w="90" w:type="dxa"/>
            </w:tcMar>
            <w:vAlign w:val="center"/>
          </w:tcPr>
          <w:p w14:paraId="43523F3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Prevents broken time trends and recurrence calculations</w:t>
            </w:r>
          </w:p>
        </w:tc>
      </w:tr>
      <w:tr w:rsidR="0084730D" w:rsidRPr="00335C63" w14:paraId="22A6B49D" w14:textId="77777777" w:rsidTr="00997D20">
        <w:trPr>
          <w:cantSplit/>
          <w:jc w:val="center"/>
        </w:trPr>
        <w:tc>
          <w:tcPr>
            <w:tcW w:w="1649" w:type="pct"/>
            <w:tcMar>
              <w:top w:w="90" w:type="dxa"/>
              <w:left w:w="90" w:type="dxa"/>
              <w:bottom w:w="90" w:type="dxa"/>
              <w:right w:w="90" w:type="dxa"/>
            </w:tcMar>
            <w:vAlign w:val="center"/>
          </w:tcPr>
          <w:p w14:paraId="188C91C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Unmatched-customer count</w:t>
            </w:r>
          </w:p>
        </w:tc>
        <w:tc>
          <w:tcPr>
            <w:tcW w:w="3351" w:type="pct"/>
            <w:tcMar>
              <w:top w:w="90" w:type="dxa"/>
              <w:left w:w="90" w:type="dxa"/>
              <w:bottom w:w="90" w:type="dxa"/>
              <w:right w:w="90" w:type="dxa"/>
            </w:tcMar>
            <w:vAlign w:val="center"/>
          </w:tcPr>
          <w:p w14:paraId="63C1F37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Shows records that cannot be joined confidently across sheets</w:t>
            </w:r>
          </w:p>
        </w:tc>
      </w:tr>
      <w:tr w:rsidR="0084730D" w:rsidRPr="00335C63" w14:paraId="178FCD97" w14:textId="77777777" w:rsidTr="00997D20">
        <w:trPr>
          <w:cantSplit/>
          <w:jc w:val="center"/>
        </w:trPr>
        <w:tc>
          <w:tcPr>
            <w:tcW w:w="1649" w:type="pct"/>
            <w:tcMar>
              <w:top w:w="90" w:type="dxa"/>
              <w:left w:w="90" w:type="dxa"/>
              <w:bottom w:w="90" w:type="dxa"/>
              <w:right w:w="90" w:type="dxa"/>
            </w:tcMar>
            <w:vAlign w:val="center"/>
          </w:tcPr>
          <w:p w14:paraId="706BB95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Area/postcode match confidence</w:t>
            </w:r>
          </w:p>
        </w:tc>
        <w:tc>
          <w:tcPr>
            <w:tcW w:w="3351" w:type="pct"/>
            <w:tcMar>
              <w:top w:w="90" w:type="dxa"/>
              <w:left w:w="90" w:type="dxa"/>
              <w:bottom w:w="90" w:type="dxa"/>
              <w:right w:w="90" w:type="dxa"/>
            </w:tcMar>
            <w:vAlign w:val="center"/>
          </w:tcPr>
          <w:p w14:paraId="6FB1EAF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Indicates whether spatial analysis is based on strong or approximate location matching</w:t>
            </w:r>
          </w:p>
        </w:tc>
      </w:tr>
      <w:tr w:rsidR="0084730D" w:rsidRPr="00335C63" w14:paraId="26B7E2AF" w14:textId="77777777" w:rsidTr="00997D20">
        <w:trPr>
          <w:cantSplit/>
          <w:jc w:val="center"/>
        </w:trPr>
        <w:tc>
          <w:tcPr>
            <w:tcW w:w="1649" w:type="pct"/>
            <w:tcMar>
              <w:top w:w="90" w:type="dxa"/>
              <w:left w:w="90" w:type="dxa"/>
              <w:bottom w:w="90" w:type="dxa"/>
              <w:right w:w="90" w:type="dxa"/>
            </w:tcMar>
            <w:vAlign w:val="center"/>
          </w:tcPr>
          <w:p w14:paraId="02CED4D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Weather-enrichment coverage</w:t>
            </w:r>
          </w:p>
        </w:tc>
        <w:tc>
          <w:tcPr>
            <w:tcW w:w="3351" w:type="pct"/>
            <w:tcMar>
              <w:top w:w="90" w:type="dxa"/>
              <w:left w:w="90" w:type="dxa"/>
              <w:bottom w:w="90" w:type="dxa"/>
              <w:right w:w="90" w:type="dxa"/>
            </w:tcMar>
            <w:vAlign w:val="center"/>
          </w:tcPr>
          <w:p w14:paraId="53C77A9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Shows the percentage of service records with matched rainfall/humidity/temperature</w:t>
            </w:r>
          </w:p>
        </w:tc>
      </w:tr>
      <w:tr w:rsidR="0084730D" w:rsidRPr="00335C63" w14:paraId="00C397EE" w14:textId="77777777" w:rsidTr="00997D20">
        <w:trPr>
          <w:cantSplit/>
          <w:jc w:val="center"/>
        </w:trPr>
        <w:tc>
          <w:tcPr>
            <w:tcW w:w="1649" w:type="pct"/>
            <w:tcMar>
              <w:top w:w="90" w:type="dxa"/>
              <w:left w:w="90" w:type="dxa"/>
              <w:bottom w:w="90" w:type="dxa"/>
              <w:right w:w="90" w:type="dxa"/>
            </w:tcMar>
            <w:vAlign w:val="center"/>
          </w:tcPr>
          <w:p w14:paraId="7780118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Calendar matching confidence</w:t>
            </w:r>
          </w:p>
        </w:tc>
        <w:tc>
          <w:tcPr>
            <w:tcW w:w="3351" w:type="pct"/>
            <w:tcMar>
              <w:top w:w="90" w:type="dxa"/>
              <w:left w:w="90" w:type="dxa"/>
              <w:bottom w:w="90" w:type="dxa"/>
              <w:right w:w="90" w:type="dxa"/>
            </w:tcMar>
            <w:vAlign w:val="center"/>
          </w:tcPr>
          <w:p w14:paraId="072DBD4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Shows how reliable the service-to-calendar linkage is</w:t>
            </w:r>
          </w:p>
        </w:tc>
      </w:tr>
      <w:tr w:rsidR="00BB18A2" w14:paraId="3A6B4AD0" w14:textId="77777777">
        <w:trPr>
          <w:jc w:val="center"/>
        </w:trPr>
        <w:tc>
          <w:tcPr>
            <w:tcW w:w="2973" w:type="dxa"/>
            <w:vAlign w:val="center"/>
          </w:tcPr>
          <w:p w14:paraId="6AA822FB" w14:textId="77777777" w:rsidR="00BB18A2" w:rsidRDefault="00000000">
            <w:pPr>
              <w:spacing w:line="276" w:lineRule="auto" w:after="40"/>
              <w:jc w:val="left"/>
            </w:pPr>
            <w:r>
              <w:rPr>
                <w:rFonts w:ascii="Times New Roman" w:hAnsi="Times New Roman" w:eastAsia="Times New Roman" w:cs="Times New Roman"/>
                <w:sz w:val="20"/>
              </w:rPr>
              <w:t>Flexible data contract status</w:t>
            </w:r>
          </w:p>
        </w:tc>
        <w:tc>
          <w:tcPr>
            <w:tcW w:w="6043" w:type="dxa"/>
            <w:vAlign w:val="center"/>
          </w:tcPr>
          <w:p w14:paraId="4F52E6C1" w14:textId="77777777" w:rsidR="00BB18A2" w:rsidRDefault="00000000">
            <w:pPr>
              <w:spacing w:line="276" w:lineRule="auto" w:after="40"/>
              <w:jc w:val="left"/>
            </w:pPr>
            <w:r>
              <w:rPr>
                <w:rFonts w:ascii="Times New Roman" w:hAnsi="Times New Roman" w:eastAsia="Times New Roman" w:cs="Times New Roman"/>
                <w:sz w:val="20"/>
              </w:rPr>
              <w:t>Shows whether required business fields were mapped successfully for each source</w:t>
            </w:r>
          </w:p>
        </w:tc>
      </w:tr>
      <w:tr w:rsidR="00BB18A2" w14:paraId="639A46A0" w14:textId="77777777">
        <w:trPr>
          <w:jc w:val="center"/>
        </w:trPr>
        <w:tc>
          <w:tcPr>
            <w:tcW w:w="2973" w:type="dxa"/>
            <w:vAlign w:val="center"/>
          </w:tcPr>
          <w:p w14:paraId="4121D917" w14:textId="77777777" w:rsidR="00BB18A2" w:rsidRDefault="00000000">
            <w:pPr>
              <w:spacing w:line="276" w:lineRule="auto" w:after="40"/>
              <w:jc w:val="left"/>
            </w:pPr>
            <w:r>
              <w:rPr>
                <w:rFonts w:ascii="Times New Roman" w:hAnsi="Times New Roman" w:eastAsia="Times New Roman" w:cs="Times New Roman"/>
                <w:sz w:val="20"/>
              </w:rPr>
              <w:t>dbt test result summary</w:t>
            </w:r>
          </w:p>
        </w:tc>
        <w:tc>
          <w:tcPr>
            <w:tcW w:w="6043" w:type="dxa"/>
            <w:vAlign w:val="center"/>
          </w:tcPr>
          <w:p w14:paraId="4A9224CA" w14:textId="77777777" w:rsidR="00BB18A2" w:rsidRDefault="00000000">
            <w:pPr>
              <w:spacing w:line="276" w:lineRule="auto" w:after="40"/>
              <w:jc w:val="left"/>
            </w:pPr>
            <w:r>
              <w:rPr>
                <w:rFonts w:ascii="Times New Roman" w:hAnsi="Times New Roman" w:eastAsia="Times New Roman" w:cs="Times New Roman"/>
                <w:sz w:val="20"/>
              </w:rPr>
              <w:t>Shows failed not-null, unique, accepted-value, or relationship tests</w:t>
            </w:r>
          </w:p>
        </w:tc>
      </w:tr>
      <w:tr w:rsidR="00BB18A2" w14:paraId="7A64E83A" w14:textId="77777777">
        <w:trPr>
          <w:jc w:val="center"/>
        </w:trPr>
        <w:tc>
          <w:tcPr>
            <w:tcW w:w="2973" w:type="dxa"/>
            <w:vAlign w:val="center"/>
          </w:tcPr>
          <w:p w14:paraId="309461E2" w14:textId="77777777" w:rsidR="00BB18A2" w:rsidRDefault="00000000">
            <w:pPr>
              <w:spacing w:line="276" w:lineRule="auto" w:after="40"/>
              <w:jc w:val="left"/>
            </w:pPr>
            <w:r>
              <w:rPr>
                <w:rFonts w:ascii="Times New Roman" w:hAnsi="Times New Roman" w:eastAsia="Times New Roman" w:cs="Times New Roman"/>
                <w:sz w:val="20"/>
              </w:rPr>
              <w:t>Pipeline run status</w:t>
            </w:r>
          </w:p>
        </w:tc>
        <w:tc>
          <w:tcPr>
            <w:tcW w:w="6043" w:type="dxa"/>
            <w:vAlign w:val="center"/>
          </w:tcPr>
          <w:p w14:paraId="477BFB4F" w14:textId="77777777" w:rsidR="00BB18A2" w:rsidRDefault="00000000">
            <w:pPr>
              <w:spacing w:line="276" w:lineRule="auto" w:after="40"/>
              <w:jc w:val="left"/>
            </w:pPr>
            <w:r>
              <w:rPr>
                <w:rFonts w:ascii="Times New Roman" w:hAnsi="Times New Roman" w:eastAsia="Times New Roman" w:cs="Times New Roman"/>
                <w:sz w:val="20"/>
              </w:rPr>
              <w:t>Shows Airflow run time, success/failure state, rows loaded, rows failed, and latest refresh time</w:t>
            </w:r>
          </w:p>
        </w:tc>
      </w:tr>
      <w:tr w:rsidR="00BB18A2" w14:paraId="3E21808F" w14:textId="77777777">
        <w:trPr>
          <w:jc w:val="center"/>
        </w:trPr>
        <w:tc>
          <w:tcPr>
            <w:tcW w:w="2973" w:type="dxa"/>
            <w:vAlign w:val="center"/>
          </w:tcPr>
          <w:p w14:paraId="0C2DF3CE" w14:textId="77777777" w:rsidR="00BB18A2" w:rsidRDefault="00000000">
            <w:pPr>
              <w:spacing w:line="276" w:lineRule="auto" w:after="40"/>
              <w:jc w:val="left"/>
            </w:pPr>
            <w:r>
              <w:rPr>
                <w:rFonts w:ascii="Times New Roman" w:hAnsi="Times New Roman" w:eastAsia="Times New Roman" w:cs="Times New Roman"/>
                <w:sz w:val="20"/>
              </w:rPr>
              <w:t>Lineage coverage</w:t>
            </w:r>
          </w:p>
        </w:tc>
        <w:tc>
          <w:tcPr>
            <w:tcW w:w="6043" w:type="dxa"/>
            <w:vAlign w:val="center"/>
          </w:tcPr>
          <w:p w14:paraId="59EEEDB1" w14:textId="77777777" w:rsidR="00BB18A2" w:rsidRDefault="00000000">
            <w:pPr>
              <w:spacing w:line="276" w:lineRule="auto" w:after="40"/>
              <w:jc w:val="left"/>
            </w:pPr>
            <w:r>
              <w:rPr>
                <w:rFonts w:ascii="Times New Roman" w:hAnsi="Times New Roman" w:eastAsia="Times New Roman" w:cs="Times New Roman"/>
                <w:sz w:val="20"/>
              </w:rPr>
              <w:t>Shows whether dashboard marts can be traced back to source and transformation models</w:t>
            </w:r>
          </w:p>
        </w:tc>
      </w:tr>
    </w:tbl>
    <w:p w14:paraId="264DBEF3" w14:textId="77777777" w:rsidR="0084730D" w:rsidRPr="00335C63" w:rsidRDefault="0084730D" w:rsidP="000F4170">
      <w:pPr>
        <w:spacing w:line="360" w:lineRule="auto" w:after="120"/>
        <w:jc w:val="both"/>
        <w:rPr>
          <w:rFonts w:ascii="Times New Roman" w:hAnsi="Times New Roman" w:cs="Times New Roman"/>
          <w:sz w:val="24"/>
          <w:szCs w:val="24"/>
        </w:rPr>
      </w:pPr>
    </w:p>
    <w:p w14:paraId="0FA33152"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3.6 Analytics Methods</w:t>
      </w:r>
    </w:p>
    <w:p w14:paraId="02A7BD62" w14:textId="77777777" w:rsidR="00984EB3" w:rsidRPr="008D6A1A" w:rsidRDefault="003C0C08"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 xml:space="preserve">Following the AI/ML methodology guide, the CP2 workflow will combine data engineering and analytics. The data engineering lifecycle covers source profiling, extraction, Bronze loading, dbt </w:t>
      </w:r>
      <w:r>
        <w:rPr>
          <w:rFonts w:ascii="Times New Roman" w:hAnsi="Times New Roman" w:eastAsia="Times New Roman" w:cs="Times New Roman"/>
          <w:sz w:val="24"/>
        </w:rPr>
        <w:lastRenderedPageBreak/>
        <w:t>transformation, data testing, lineage documentation, pipeline logging, and scheduled orchestration. The analytics lifecycle then uses the trusted Gold marts for customer, area, warranty, recurrence, weather, hotspot, upsell, and recommendation outputs.</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793"/>
        <w:gridCol w:w="2921"/>
        <w:gridCol w:w="3302"/>
      </w:tblGrid>
      <w:tr w:rsidR="0084730D" w:rsidRPr="00335C63" w14:paraId="2793911F" w14:textId="77777777" w:rsidTr="00997D20">
        <w:trPr>
          <w:cantSplit/>
          <w:tblHeader/>
          <w:jc w:val="center"/>
        </w:trPr>
        <w:tc>
          <w:tcPr>
            <w:tcW w:w="1549" w:type="pct"/>
            <w:shd w:val="clear" w:color="auto" w:fill="E8F1FA"/>
            <w:tcMar>
              <w:top w:w="90" w:type="dxa"/>
              <w:left w:w="90" w:type="dxa"/>
              <w:bottom w:w="90" w:type="dxa"/>
              <w:right w:w="90" w:type="dxa"/>
            </w:tcMar>
            <w:vAlign w:val="center"/>
            <w:shd w:fill="DCEAF7"/>
          </w:tcPr>
          <w:p w14:paraId="7818FA9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Question</w:t>
            </w:r>
          </w:p>
        </w:tc>
        <w:tc>
          <w:tcPr>
            <w:tcW w:w="1620" w:type="pct"/>
            <w:shd w:val="clear" w:color="auto" w:fill="E8F1FA"/>
            <w:tcMar>
              <w:top w:w="90" w:type="dxa"/>
              <w:left w:w="90" w:type="dxa"/>
              <w:bottom w:w="90" w:type="dxa"/>
              <w:right w:w="90" w:type="dxa"/>
            </w:tcMar>
            <w:vAlign w:val="center"/>
            <w:shd w:fill="DCEAF7"/>
          </w:tcPr>
          <w:p w14:paraId="71536B1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Method</w:t>
            </w:r>
          </w:p>
        </w:tc>
        <w:tc>
          <w:tcPr>
            <w:tcW w:w="1831" w:type="pct"/>
            <w:shd w:val="clear" w:color="auto" w:fill="E8F1FA"/>
            <w:tcMar>
              <w:top w:w="90" w:type="dxa"/>
              <w:left w:w="90" w:type="dxa"/>
              <w:bottom w:w="90" w:type="dxa"/>
              <w:right w:w="90" w:type="dxa"/>
            </w:tcMar>
            <w:vAlign w:val="center"/>
            <w:shd w:fill="DCEAF7"/>
          </w:tcPr>
          <w:p w14:paraId="283F830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Output</w:t>
            </w:r>
          </w:p>
        </w:tc>
      </w:tr>
      <w:tr w:rsidR="0084730D" w:rsidRPr="00335C63" w14:paraId="34B7079C" w14:textId="77777777" w:rsidTr="00997D20">
        <w:trPr>
          <w:cantSplit/>
          <w:jc w:val="center"/>
        </w:trPr>
        <w:tc>
          <w:tcPr>
            <w:tcW w:w="1549" w:type="pct"/>
            <w:tcMar>
              <w:top w:w="90" w:type="dxa"/>
              <w:left w:w="90" w:type="dxa"/>
              <w:bottom w:w="90" w:type="dxa"/>
              <w:right w:w="90" w:type="dxa"/>
            </w:tcMar>
            <w:vAlign w:val="center"/>
          </w:tcPr>
          <w:p w14:paraId="63330E5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What happened?</w:t>
            </w:r>
          </w:p>
        </w:tc>
        <w:tc>
          <w:tcPr>
            <w:tcW w:w="1620" w:type="pct"/>
            <w:tcMar>
              <w:top w:w="90" w:type="dxa"/>
              <w:left w:w="90" w:type="dxa"/>
              <w:bottom w:w="90" w:type="dxa"/>
              <w:right w:w="90" w:type="dxa"/>
            </w:tcMar>
            <w:vAlign w:val="center"/>
          </w:tcPr>
          <w:p w14:paraId="38BA867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Descriptive BI by day/week/month</w:t>
            </w:r>
          </w:p>
        </w:tc>
        <w:tc>
          <w:tcPr>
            <w:tcW w:w="1831" w:type="pct"/>
            <w:tcMar>
              <w:top w:w="90" w:type="dxa"/>
              <w:left w:w="90" w:type="dxa"/>
              <w:bottom w:w="90" w:type="dxa"/>
              <w:right w:w="90" w:type="dxa"/>
            </w:tcMar>
            <w:vAlign w:val="center"/>
          </w:tcPr>
          <w:p w14:paraId="66C528B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KPIs, trends, ranking tables, distributions</w:t>
            </w:r>
          </w:p>
        </w:tc>
      </w:tr>
      <w:tr w:rsidR="0084730D" w:rsidRPr="00335C63" w14:paraId="177286F1" w14:textId="77777777" w:rsidTr="00997D20">
        <w:trPr>
          <w:cantSplit/>
          <w:jc w:val="center"/>
        </w:trPr>
        <w:tc>
          <w:tcPr>
            <w:tcW w:w="1549" w:type="pct"/>
            <w:tcMar>
              <w:top w:w="90" w:type="dxa"/>
              <w:left w:w="90" w:type="dxa"/>
              <w:bottom w:w="90" w:type="dxa"/>
              <w:right w:w="90" w:type="dxa"/>
            </w:tcMar>
            <w:vAlign w:val="center"/>
          </w:tcPr>
          <w:p w14:paraId="6CABC86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Where are repeat problems concentrated?</w:t>
            </w:r>
          </w:p>
        </w:tc>
        <w:tc>
          <w:tcPr>
            <w:tcW w:w="1620" w:type="pct"/>
            <w:tcMar>
              <w:top w:w="90" w:type="dxa"/>
              <w:left w:w="90" w:type="dxa"/>
              <w:bottom w:w="90" w:type="dxa"/>
              <w:right w:w="90" w:type="dxa"/>
            </w:tcMar>
            <w:vAlign w:val="center"/>
          </w:tcPr>
          <w:p w14:paraId="15351F3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DBSCAN-style spatial clustering plus KDE heatmap visualization</w:t>
            </w:r>
          </w:p>
        </w:tc>
        <w:tc>
          <w:tcPr>
            <w:tcW w:w="1831" w:type="pct"/>
            <w:tcMar>
              <w:top w:w="90" w:type="dxa"/>
              <w:left w:w="90" w:type="dxa"/>
              <w:bottom w:w="90" w:type="dxa"/>
              <w:right w:w="90" w:type="dxa"/>
            </w:tcMar>
            <w:vAlign w:val="center"/>
          </w:tcPr>
          <w:p w14:paraId="31FB798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Hotspot clusters and density map</w:t>
            </w:r>
          </w:p>
        </w:tc>
      </w:tr>
      <w:tr w:rsidR="0084730D" w:rsidRPr="00335C63" w14:paraId="3A44690F" w14:textId="77777777" w:rsidTr="00997D20">
        <w:trPr>
          <w:cantSplit/>
          <w:jc w:val="center"/>
        </w:trPr>
        <w:tc>
          <w:tcPr>
            <w:tcW w:w="1549" w:type="pct"/>
            <w:tcMar>
              <w:top w:w="90" w:type="dxa"/>
              <w:left w:w="90" w:type="dxa"/>
              <w:bottom w:w="90" w:type="dxa"/>
              <w:right w:w="90" w:type="dxa"/>
            </w:tcMar>
            <w:vAlign w:val="center"/>
          </w:tcPr>
          <w:p w14:paraId="1FAF7CE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When do </w:t>
            </w:r>
            <w:proofErr w:type="gramStart"/>
            <w:r w:rsidRPr="00335C63">
              <w:rPr>
                <w:rFonts w:ascii="Times New Roman" w:hAnsi="Times New Roman" w:cs="Times New Roman" w:eastAsia="Times New Roman"/>
                <w:sz w:val="20"/>
                <w:szCs w:val="24"/>
              </w:rPr>
              <w:t>pest</w:t>
            </w:r>
            <w:proofErr w:type="gramEnd"/>
            <w:r w:rsidRPr="00335C63">
              <w:rPr>
                <w:rFonts w:ascii="Times New Roman" w:hAnsi="Times New Roman" w:cs="Times New Roman" w:eastAsia="Times New Roman"/>
                <w:sz w:val="20"/>
                <w:szCs w:val="24"/>
              </w:rPr>
              <w:t xml:space="preserve"> issues recur?</w:t>
            </w:r>
          </w:p>
        </w:tc>
        <w:tc>
          <w:tcPr>
            <w:tcW w:w="1620" w:type="pct"/>
            <w:tcMar>
              <w:top w:w="90" w:type="dxa"/>
              <w:left w:w="90" w:type="dxa"/>
              <w:bottom w:w="90" w:type="dxa"/>
              <w:right w:w="90" w:type="dxa"/>
            </w:tcMar>
            <w:vAlign w:val="center"/>
          </w:tcPr>
          <w:p w14:paraId="2A5884D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Days-to-recurrence and interval comparison</w:t>
            </w:r>
          </w:p>
        </w:tc>
        <w:tc>
          <w:tcPr>
            <w:tcW w:w="1831" w:type="pct"/>
            <w:tcMar>
              <w:top w:w="90" w:type="dxa"/>
              <w:left w:w="90" w:type="dxa"/>
              <w:bottom w:w="90" w:type="dxa"/>
              <w:right w:w="90" w:type="dxa"/>
            </w:tcMar>
            <w:vAlign w:val="center"/>
          </w:tcPr>
          <w:p w14:paraId="20ECDF6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Average/median recurrence windows and recurrence buckets</w:t>
            </w:r>
          </w:p>
        </w:tc>
      </w:tr>
      <w:tr w:rsidR="0084730D" w:rsidRPr="00335C63" w14:paraId="085797E1" w14:textId="77777777" w:rsidTr="00997D20">
        <w:trPr>
          <w:cantSplit/>
          <w:jc w:val="center"/>
        </w:trPr>
        <w:tc>
          <w:tcPr>
            <w:tcW w:w="1549" w:type="pct"/>
            <w:tcMar>
              <w:top w:w="90" w:type="dxa"/>
              <w:left w:w="90" w:type="dxa"/>
              <w:bottom w:w="90" w:type="dxa"/>
              <w:right w:w="90" w:type="dxa"/>
            </w:tcMar>
            <w:vAlign w:val="center"/>
          </w:tcPr>
          <w:p w14:paraId="6D7F461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Is weather associated with higher warranty/repeat risk?</w:t>
            </w:r>
          </w:p>
        </w:tc>
        <w:tc>
          <w:tcPr>
            <w:tcW w:w="1620" w:type="pct"/>
            <w:tcMar>
              <w:top w:w="90" w:type="dxa"/>
              <w:left w:w="90" w:type="dxa"/>
              <w:bottom w:w="90" w:type="dxa"/>
              <w:right w:w="90" w:type="dxa"/>
            </w:tcMar>
            <w:vAlign w:val="center"/>
          </w:tcPr>
          <w:p w14:paraId="46B0611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Rainfall time-lag features, correlation review, and logistic regression if data is sufficient</w:t>
            </w:r>
          </w:p>
        </w:tc>
        <w:tc>
          <w:tcPr>
            <w:tcW w:w="1831" w:type="pct"/>
            <w:tcMar>
              <w:top w:w="90" w:type="dxa"/>
              <w:left w:w="90" w:type="dxa"/>
              <w:bottom w:w="90" w:type="dxa"/>
              <w:right w:w="90" w:type="dxa"/>
            </w:tcMar>
            <w:vAlign w:val="center"/>
          </w:tcPr>
          <w:p w14:paraId="778A1BC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Weather-associated indicators and risk probabilities</w:t>
            </w:r>
          </w:p>
        </w:tc>
      </w:tr>
      <w:tr w:rsidR="0084730D" w:rsidRPr="00335C63" w14:paraId="2E5C85B3" w14:textId="77777777" w:rsidTr="00997D20">
        <w:trPr>
          <w:cantSplit/>
          <w:jc w:val="center"/>
        </w:trPr>
        <w:tc>
          <w:tcPr>
            <w:tcW w:w="1549" w:type="pct"/>
            <w:tcMar>
              <w:top w:w="90" w:type="dxa"/>
              <w:left w:w="90" w:type="dxa"/>
              <w:bottom w:w="90" w:type="dxa"/>
              <w:right w:w="90" w:type="dxa"/>
            </w:tcMar>
            <w:vAlign w:val="center"/>
          </w:tcPr>
          <w:p w14:paraId="236A416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Which areas are harder to treat?</w:t>
            </w:r>
          </w:p>
        </w:tc>
        <w:tc>
          <w:tcPr>
            <w:tcW w:w="1620" w:type="pct"/>
            <w:tcMar>
              <w:top w:w="90" w:type="dxa"/>
              <w:left w:w="90" w:type="dxa"/>
              <w:bottom w:w="90" w:type="dxa"/>
              <w:right w:w="90" w:type="dxa"/>
            </w:tcMar>
            <w:vAlign w:val="center"/>
          </w:tcPr>
          <w:p w14:paraId="3E5C85E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Weighted treatment difficulty index</w:t>
            </w:r>
          </w:p>
        </w:tc>
        <w:tc>
          <w:tcPr>
            <w:tcW w:w="1831" w:type="pct"/>
            <w:tcMar>
              <w:top w:w="90" w:type="dxa"/>
              <w:left w:w="90" w:type="dxa"/>
              <w:bottom w:w="90" w:type="dxa"/>
              <w:right w:w="90" w:type="dxa"/>
            </w:tcMar>
            <w:vAlign w:val="center"/>
          </w:tcPr>
          <w:p w14:paraId="7E8AD00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Area/pest/team difficulty level and planning action</w:t>
            </w:r>
          </w:p>
        </w:tc>
      </w:tr>
      <w:tr w:rsidR="0084730D" w:rsidRPr="00335C63" w14:paraId="33E7ADD7" w14:textId="77777777" w:rsidTr="00997D20">
        <w:trPr>
          <w:cantSplit/>
          <w:jc w:val="center"/>
        </w:trPr>
        <w:tc>
          <w:tcPr>
            <w:tcW w:w="1549" w:type="pct"/>
            <w:tcMar>
              <w:top w:w="90" w:type="dxa"/>
              <w:left w:w="90" w:type="dxa"/>
              <w:bottom w:w="90" w:type="dxa"/>
              <w:right w:w="90" w:type="dxa"/>
            </w:tcMar>
            <w:vAlign w:val="center"/>
          </w:tcPr>
          <w:p w14:paraId="2E81EAF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Which package fits which customer group?</w:t>
            </w:r>
          </w:p>
        </w:tc>
        <w:tc>
          <w:tcPr>
            <w:tcW w:w="1620" w:type="pct"/>
            <w:tcMar>
              <w:top w:w="90" w:type="dxa"/>
              <w:left w:w="90" w:type="dxa"/>
              <w:bottom w:w="90" w:type="dxa"/>
              <w:right w:w="90" w:type="dxa"/>
            </w:tcMar>
            <w:vAlign w:val="center"/>
          </w:tcPr>
          <w:p w14:paraId="49209FE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Frequency and revenue-based package-fit matrix</w:t>
            </w:r>
          </w:p>
        </w:tc>
        <w:tc>
          <w:tcPr>
            <w:tcW w:w="1831" w:type="pct"/>
            <w:tcMar>
              <w:top w:w="90" w:type="dxa"/>
              <w:left w:w="90" w:type="dxa"/>
              <w:bottom w:w="90" w:type="dxa"/>
              <w:right w:w="90" w:type="dxa"/>
            </w:tcMar>
            <w:vAlign w:val="center"/>
          </w:tcPr>
          <w:p w14:paraId="03A389B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Recommended </w:t>
            </w:r>
            <w:proofErr w:type="gramStart"/>
            <w:r w:rsidRPr="00335C63">
              <w:rPr>
                <w:rFonts w:ascii="Times New Roman" w:hAnsi="Times New Roman" w:cs="Times New Roman" w:eastAsia="Times New Roman"/>
                <w:sz w:val="20"/>
                <w:szCs w:val="24"/>
              </w:rPr>
              <w:t>upsell</w:t>
            </w:r>
            <w:proofErr w:type="gramEnd"/>
            <w:r w:rsidRPr="00335C63">
              <w:rPr>
                <w:rFonts w:ascii="Times New Roman" w:hAnsi="Times New Roman" w:cs="Times New Roman" w:eastAsia="Times New Roman"/>
                <w:sz w:val="20"/>
                <w:szCs w:val="24"/>
              </w:rPr>
              <w:t xml:space="preserve"> package by customer/pest/area segment</w:t>
            </w:r>
          </w:p>
        </w:tc>
      </w:tr>
      <w:tr w:rsidR="0084730D" w:rsidRPr="00335C63" w14:paraId="618349FE" w14:textId="77777777" w:rsidTr="00997D20">
        <w:trPr>
          <w:cantSplit/>
          <w:jc w:val="center"/>
        </w:trPr>
        <w:tc>
          <w:tcPr>
            <w:tcW w:w="1549" w:type="pct"/>
            <w:tcMar>
              <w:top w:w="90" w:type="dxa"/>
              <w:left w:w="90" w:type="dxa"/>
              <w:bottom w:w="90" w:type="dxa"/>
              <w:right w:w="90" w:type="dxa"/>
            </w:tcMar>
            <w:vAlign w:val="center"/>
          </w:tcPr>
          <w:p w14:paraId="5A04E1F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What should management do?</w:t>
            </w:r>
          </w:p>
        </w:tc>
        <w:tc>
          <w:tcPr>
            <w:tcW w:w="1620" w:type="pct"/>
            <w:tcMar>
              <w:top w:w="90" w:type="dxa"/>
              <w:left w:w="90" w:type="dxa"/>
              <w:bottom w:w="90" w:type="dxa"/>
              <w:right w:w="90" w:type="dxa"/>
            </w:tcMar>
            <w:vAlign w:val="center"/>
          </w:tcPr>
          <w:p w14:paraId="085D271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Prescriptive scoring rules and optional local AI explanation</w:t>
            </w:r>
          </w:p>
        </w:tc>
        <w:tc>
          <w:tcPr>
            <w:tcW w:w="1831" w:type="pct"/>
            <w:tcMar>
              <w:top w:w="90" w:type="dxa"/>
              <w:left w:w="90" w:type="dxa"/>
              <w:bottom w:w="90" w:type="dxa"/>
              <w:right w:w="90" w:type="dxa"/>
            </w:tcMar>
            <w:vAlign w:val="center"/>
          </w:tcPr>
          <w:p w14:paraId="78B20C0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Recommended follow-up, assignment, review, or upsell action</w:t>
            </w:r>
          </w:p>
        </w:tc>
      </w:tr>
    </w:tbl>
    <w:p w14:paraId="04BA87FE" w14:textId="77777777" w:rsidR="0084730D" w:rsidRPr="00335C63" w:rsidRDefault="0084730D" w:rsidP="000F4170">
      <w:pPr>
        <w:spacing w:line="360" w:lineRule="auto" w:after="120"/>
        <w:jc w:val="both"/>
        <w:rPr>
          <w:rFonts w:ascii="Times New Roman" w:hAnsi="Times New Roman" w:cs="Times New Roman"/>
          <w:sz w:val="24"/>
          <w:szCs w:val="24"/>
        </w:rPr>
      </w:pPr>
    </w:p>
    <w:p w14:paraId="02FFD246"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3.7 Key Analytics Logic</w:t>
      </w:r>
    </w:p>
    <w:p w14:paraId="2B328758"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Treatment Difficulty Index:</w:t>
      </w:r>
    </w:p>
    <w:p w14:paraId="4C7F127D"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treatment difficulty index will combine repeat-problem rate, warranty-claim rate, refund rate, complimentary-service rate, and extra-session rate. The initial weights will be reviewed </w:t>
      </w:r>
      <w:r w:rsidRPr="00335C63">
        <w:rPr>
          <w:rFonts w:ascii="Times New Roman" w:hAnsi="Times New Roman" w:cs="Times New Roman" w:eastAsia="Times New Roman"/>
          <w:sz w:val="24"/>
          <w:szCs w:val="24"/>
        </w:rPr>
        <w:lastRenderedPageBreak/>
        <w:t>with management because the score is intended as a planning indicator, not an absolute measurement.</w:t>
      </w:r>
    </w:p>
    <w:p w14:paraId="41F515E2"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Weather windows:</w:t>
      </w:r>
    </w:p>
    <w:p w14:paraId="72555C16" w14:textId="77777777" w:rsidR="0084730D" w:rsidRPr="00335C63" w:rsidRDefault="00357319" w:rsidP="008D6A1A">
      <w:pPr>
        <w:spacing w:line="360" w:lineRule="auto" w:after="120"/>
        <w:jc w:val="both"/>
        <w:rPr>
          <w:rFonts w:ascii="Times New Roman" w:hAnsi="Times New Roman" w:cs="Times New Roman"/>
          <w:sz w:val="24"/>
          <w:szCs w:val="24"/>
        </w:rPr>
      </w:pPr>
      <w:proofErr w:type="gramStart"/>
      <w:proofErr w:type="gramEnd"/>
      <w:r>
        <w:rPr>
          <w:rFonts w:ascii="Times New Roman" w:hAnsi="Times New Roman" w:eastAsia="Times New Roman"/>
          <w:sz w:val="24"/>
        </w:rPr>
        <w:t>For each service record with a usable service date and area/postcode coordinate, the ETL process is expected to calculate weather-window features such as same-day rainfall, previous-day rainfall, rainfall over the previous 3 and 7 days, average temperature, average humidity, and a heavy-rain indicator. The exact field names will be finalised in CP2 after testing the weather API output and matching coverage. Warranty and repeat-problem analysis will use service-date weather windows, while area risk dashboards may also show recent or current weather indicators.</w:t>
      </w:r>
    </w:p>
    <w:p w14:paraId="4FBAA1CA"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Warranty factor categories:</w:t>
      </w:r>
    </w:p>
    <w:p w14:paraId="45DDAE8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Warranty claims will be grouped into review categories: Weather-associated, Technician or </w:t>
      </w:r>
      <w:proofErr w:type="gramStart"/>
      <w:r w:rsidRPr="00335C63">
        <w:rPr>
          <w:rFonts w:ascii="Times New Roman" w:hAnsi="Times New Roman" w:cs="Times New Roman" w:eastAsia="Times New Roman"/>
          <w:sz w:val="24"/>
          <w:szCs w:val="24"/>
        </w:rPr>
        <w:t>service</w:t>
      </w:r>
      <w:proofErr w:type="gramEnd"/>
      <w:r w:rsidRPr="00335C63">
        <w:rPr>
          <w:rFonts w:ascii="Times New Roman" w:hAnsi="Times New Roman" w:cs="Times New Roman" w:eastAsia="Times New Roman"/>
          <w:sz w:val="24"/>
          <w:szCs w:val="24"/>
        </w:rPr>
        <w:t xml:space="preserve"> quality review, Area/premise condition, Customer expectation, and </w:t>
      </w:r>
      <w:proofErr w:type="gramStart"/>
      <w:r w:rsidRPr="00335C63">
        <w:rPr>
          <w:rFonts w:ascii="Times New Roman" w:hAnsi="Times New Roman" w:cs="Times New Roman" w:eastAsia="Times New Roman"/>
          <w:sz w:val="24"/>
          <w:szCs w:val="24"/>
        </w:rPr>
        <w:t>Needs</w:t>
      </w:r>
      <w:proofErr w:type="gramEnd"/>
      <w:r w:rsidRPr="00335C63">
        <w:rPr>
          <w:rFonts w:ascii="Times New Roman" w:hAnsi="Times New Roman" w:cs="Times New Roman" w:eastAsia="Times New Roman"/>
          <w:sz w:val="24"/>
          <w:szCs w:val="24"/>
        </w:rPr>
        <w:t xml:space="preserve"> manual review. The wording will remain careful and non-punitive.</w:t>
      </w:r>
    </w:p>
    <w:p w14:paraId="647C68D2"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Recurrence buckets:</w:t>
      </w:r>
    </w:p>
    <w:p w14:paraId="13CE37F4"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Recurrence windows will be grouped into 0-7 days, 8-14 days, 15-30 days, 31-60 days, and 61+ days. These buckets help management plan follow-ups around observed recurrence patterns.</w:t>
      </w:r>
    </w:p>
    <w:p w14:paraId="69454230"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Scheduled refresh:</w:t>
      </w:r>
    </w:p>
    <w:p w14:paraId="21090E45"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system will use a scheduled refresh design rather than streaming real-time processing. A scheduled Python ETL job, warehouse scheduled query, or orchestration tool may refresh cleaned tables and dashboard marts daily or weekly, depending on company needs and data update frequency. This is sufficient for management reporting, warranty review, and service planning because the main business questions are based on day/week/month trends rather than second-by-second operations.</w:t>
      </w:r>
    </w:p>
    <w:p w14:paraId="737536F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Recommendation log:</w:t>
      </w:r>
    </w:p>
    <w:p w14:paraId="72C9BF7F"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Prescriptive outputs will be stored in a recommendation log. Each record will include recommendation type, generated date, related customer/service/area, supporting reason, confidence or review label, management action taken, and later outcome where available. This allows the company to review whether suggested actions were useful and prepares the system for a future local AI explanation layer.</w:t>
      </w:r>
    </w:p>
    <w:p w14:paraId="40C46665" w14:textId="77777777" w:rsidR="00BB18A2" w:rsidRDefault="00000000">
      <w:pPr>
        <w:spacing w:line="360" w:lineRule="auto" w:after="120"/>
        <w:jc w:val="both"/>
      </w:pPr>
      <w:r>
        <w:rPr>
          <w:rFonts w:ascii="Times New Roman" w:hAnsi="Times New Roman" w:eastAsia="Times New Roman" w:cs="Times New Roman"/>
          <w:sz w:val="24"/>
        </w:rPr>
        <w:t>Pipeline orchestration:</w:t>
      </w:r>
    </w:p>
    <w:p w14:paraId="499902E3" w14:textId="77777777" w:rsidR="00BB18A2" w:rsidRDefault="00000000">
      <w:pPr>
        <w:spacing w:line="360" w:lineRule="auto" w:after="120"/>
        <w:jc w:val="both"/>
      </w:pPr>
      <w:r>
        <w:rPr>
          <w:rFonts w:ascii="Times New Roman" w:hAnsi="Times New Roman" w:eastAsia="Times New Roman" w:cs="Times New Roman"/>
          <w:sz w:val="24"/>
        </w:rPr>
        <w:t>A workflow scheduler may be used in CP2 to coordinate the pipeline as a directed workflow. Apache Airflow is a possible platform because it can show task dependencies, retries, logs, and refresh monitoring clearly. A planned workflow may include tasks such as extract_google_sheets, extract_google_calendar, extract_weather_data, load_raw_tables, run_transformations, run_data_tests, update_data_quality_log, and update_refresh_status. If Airflow becomes too heavy for the project scope, the same logic can be implemented using scheduled Python scripts.</w:t>
      </w:r>
    </w:p>
    <w:p w14:paraId="0E10A246" w14:textId="77777777" w:rsidR="00BB18A2" w:rsidRDefault="00000000">
      <w:pPr>
        <w:spacing w:line="360" w:lineRule="auto" w:after="120"/>
        <w:jc w:val="both"/>
      </w:pPr>
      <w:r>
        <w:rPr>
          <w:rFonts w:ascii="Times New Roman" w:hAnsi="Times New Roman" w:eastAsia="Times New Roman" w:cs="Times New Roman"/>
          <w:sz w:val="24"/>
        </w:rPr>
        <w:t>dbt transformations and lineage:</w:t>
      </w:r>
    </w:p>
    <w:p w14:paraId="2F2E08CF" w14:textId="77777777" w:rsidR="00BB18A2" w:rsidRDefault="00000000">
      <w:pPr>
        <w:spacing w:line="360" w:lineRule="auto" w:after="120"/>
        <w:jc w:val="both"/>
      </w:pPr>
      <w:r>
        <w:rPr>
          <w:rFonts w:ascii="Times New Roman" w:hAnsi="Times New Roman" w:eastAsia="Times New Roman" w:cs="Times New Roman"/>
          <w:sz w:val="24"/>
        </w:rPr>
        <w:t>The transformation layer may use dbt Core or SQL/Python scripts to convert raw source tables into cleaned tables and dashboard marts. If dbt Core is selected in CP2, it will support modular SQL models, data tests, documentation, and lineage. The same modelling principles will still apply even if a simpler transformation method is chosen.</w:t>
      </w:r>
    </w:p>
    <w:p w14:paraId="1414BB94" w14:textId="77777777" w:rsidR="00BB18A2" w:rsidRDefault="00000000">
      <w:pPr>
        <w:spacing w:line="360" w:lineRule="auto" w:after="120"/>
        <w:jc w:val="both"/>
      </w:pPr>
      <w:r>
        <w:rPr>
          <w:rFonts w:ascii="Times New Roman" w:hAnsi="Times New Roman" w:eastAsia="Times New Roman" w:cs="Times New Roman"/>
          <w:sz w:val="24"/>
        </w:rPr>
        <w:t>Flexible data contracts:</w:t>
      </w:r>
    </w:p>
    <w:p w14:paraId="7A6CD017" w14:textId="77777777" w:rsidR="00BB18A2" w:rsidRDefault="00000000">
      <w:pPr>
        <w:spacing w:line="360" w:lineRule="auto" w:after="120"/>
        <w:jc w:val="both"/>
      </w:pPr>
      <w:r>
        <w:rPr>
          <w:rFonts w:ascii="Times New Roman" w:hAnsi="Times New Roman" w:eastAsia="Times New Roman" w:cs="Times New Roman"/>
          <w:sz w:val="24"/>
        </w:rPr>
        <w:t>Each source will have a flexible contract defining standard fields, accepted aliases, required/important/optional levels, and validation rules. For example, Nama, Name, and Customer Name may map to customer_name, while Phone No, Contact, and Tel may map to phone_number. If a critical field cannot be mapped, the source or row is flagged for review.</w:t>
      </w:r>
    </w:p>
    <w:p w14:paraId="3B77EC74" w14:textId="77777777" w:rsidR="00BB18A2" w:rsidRDefault="00000000">
      <w:pPr>
        <w:spacing w:line="360" w:lineRule="auto" w:after="120"/>
        <w:jc w:val="both"/>
      </w:pPr>
      <w:r>
        <w:rPr>
          <w:rFonts w:ascii="Times New Roman" w:hAnsi="Times New Roman" w:eastAsia="Times New Roman" w:cs="Times New Roman"/>
          <w:sz w:val="24"/>
        </w:rPr>
        <w:t>Incremental loading:</w:t>
      </w:r>
    </w:p>
    <w:p w14:paraId="02B6FFC7" w14:textId="77777777" w:rsidR="00BB18A2" w:rsidRDefault="00000000">
      <w:pPr>
        <w:spacing w:line="360" w:lineRule="auto" w:after="120"/>
        <w:jc w:val="both"/>
      </w:pPr>
      <w:r>
        <w:rPr>
          <w:rFonts w:ascii="Times New Roman" w:hAnsi="Times New Roman" w:eastAsia="Times New Roman" w:cs="Times New Roman"/>
          <w:sz w:val="24"/>
        </w:rPr>
        <w:t>Where a source provides updated timestamps or stable row identifiers, the pipeline will load only new or changed rows. If such metadata is unavailable, the prototype will use row hashes and loaded_at timestamps to detect changes. Full refresh remains available as a fallback during prototype testing.</w:t>
      </w:r>
    </w:p>
    <w:p w14:paraId="417F1C68" w14:textId="77777777" w:rsidR="0084730D" w:rsidRPr="00335C63" w:rsidRDefault="00357319" w:rsidP="008D6A1A">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3.8 Dashboard Design</w:t>
      </w:r>
    </w:p>
    <w:p w14:paraId="44719494"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visualization layer will use a BI dashboard platform to reduce custom frontend development and align the project with a data analytics capstone. Apache Superset is a possible platform because it is open source, supports SQL-based datasets, filters, charts, and dashboards, and can connect to warehouse tables. The dashboard should connect only to curated marts and anonymised reporting views rather than raw source tables. This ensures the dashboards are based on tested, documented, and refresh-controlled data outputs.</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29"/>
        <w:gridCol w:w="5687"/>
      </w:tblGrid>
      <w:tr w:rsidR="0084730D" w:rsidRPr="00335C63" w14:paraId="2E720715" w14:textId="77777777" w:rsidTr="00997D20">
        <w:trPr>
          <w:cantSplit/>
          <w:tblHeader/>
          <w:jc w:val="center"/>
        </w:trPr>
        <w:tc>
          <w:tcPr>
            <w:tcW w:w="1846" w:type="pct"/>
            <w:shd w:val="clear" w:color="auto" w:fill="E8F1FA"/>
            <w:tcMar>
              <w:top w:w="90" w:type="dxa"/>
              <w:left w:w="90" w:type="dxa"/>
              <w:bottom w:w="90" w:type="dxa"/>
              <w:right w:w="90" w:type="dxa"/>
            </w:tcMar>
            <w:vAlign w:val="center"/>
            <w:shd w:fill="DCEAF7"/>
          </w:tcPr>
          <w:p w14:paraId="545DD79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Dashboard Area</w:t>
            </w:r>
          </w:p>
        </w:tc>
        <w:tc>
          <w:tcPr>
            <w:tcW w:w="3154" w:type="pct"/>
            <w:shd w:val="clear" w:color="auto" w:fill="E8F1FA"/>
            <w:tcMar>
              <w:top w:w="90" w:type="dxa"/>
              <w:left w:w="90" w:type="dxa"/>
              <w:bottom w:w="90" w:type="dxa"/>
              <w:right w:w="90" w:type="dxa"/>
            </w:tcMar>
            <w:vAlign w:val="center"/>
            <w:shd w:fill="DCEAF7"/>
          </w:tcPr>
          <w:p w14:paraId="2F24B64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Main Visuals</w:t>
            </w:r>
          </w:p>
        </w:tc>
      </w:tr>
      <w:tr w:rsidR="0084730D" w:rsidRPr="00335C63" w14:paraId="57FB1888" w14:textId="77777777" w:rsidTr="00997D20">
        <w:trPr>
          <w:cantSplit/>
          <w:jc w:val="center"/>
        </w:trPr>
        <w:tc>
          <w:tcPr>
            <w:tcW w:w="1846" w:type="pct"/>
            <w:tcMar>
              <w:top w:w="90" w:type="dxa"/>
              <w:left w:w="90" w:type="dxa"/>
              <w:bottom w:w="90" w:type="dxa"/>
              <w:right w:w="90" w:type="dxa"/>
            </w:tcMar>
            <w:vAlign w:val="center"/>
          </w:tcPr>
          <w:p w14:paraId="67866E1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Executive Summary</w:t>
            </w:r>
          </w:p>
        </w:tc>
        <w:tc>
          <w:tcPr>
            <w:tcW w:w="3154" w:type="pct"/>
            <w:tcMar>
              <w:top w:w="90" w:type="dxa"/>
              <w:left w:w="90" w:type="dxa"/>
              <w:bottom w:w="90" w:type="dxa"/>
              <w:right w:w="90" w:type="dxa"/>
            </w:tcMar>
            <w:vAlign w:val="center"/>
          </w:tcPr>
          <w:p w14:paraId="2B39804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KPI cards, service/revenue/warranty trends, top areas, active risk indicators</w:t>
            </w:r>
          </w:p>
        </w:tc>
      </w:tr>
      <w:tr w:rsidR="0084730D" w:rsidRPr="00335C63" w14:paraId="68C5388E" w14:textId="77777777" w:rsidTr="00997D20">
        <w:trPr>
          <w:cantSplit/>
          <w:jc w:val="center"/>
        </w:trPr>
        <w:tc>
          <w:tcPr>
            <w:tcW w:w="1846" w:type="pct"/>
            <w:tcMar>
              <w:top w:w="90" w:type="dxa"/>
              <w:left w:w="90" w:type="dxa"/>
              <w:bottom w:w="90" w:type="dxa"/>
              <w:right w:w="90" w:type="dxa"/>
            </w:tcMar>
            <w:vAlign w:val="center"/>
          </w:tcPr>
          <w:p w14:paraId="56E8F31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Marketing and Funnel</w:t>
            </w:r>
          </w:p>
        </w:tc>
        <w:tc>
          <w:tcPr>
            <w:tcW w:w="3154" w:type="pct"/>
            <w:tcMar>
              <w:top w:w="90" w:type="dxa"/>
              <w:left w:w="90" w:type="dxa"/>
              <w:bottom w:w="90" w:type="dxa"/>
              <w:right w:w="90" w:type="dxa"/>
            </w:tcMar>
            <w:vAlign w:val="center"/>
          </w:tcPr>
          <w:p w14:paraId="41C2C9D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Lead source quality, conversion funnel, follow-up depth, PIC performance</w:t>
            </w:r>
          </w:p>
        </w:tc>
      </w:tr>
      <w:tr w:rsidR="0084730D" w:rsidRPr="00335C63" w14:paraId="28ACE498" w14:textId="77777777" w:rsidTr="00997D20">
        <w:trPr>
          <w:cantSplit/>
          <w:jc w:val="center"/>
        </w:trPr>
        <w:tc>
          <w:tcPr>
            <w:tcW w:w="1846" w:type="pct"/>
            <w:tcMar>
              <w:top w:w="90" w:type="dxa"/>
              <w:left w:w="90" w:type="dxa"/>
              <w:bottom w:w="90" w:type="dxa"/>
              <w:right w:w="90" w:type="dxa"/>
            </w:tcMar>
            <w:vAlign w:val="center"/>
          </w:tcPr>
          <w:p w14:paraId="7117936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Area and Weather Risk</w:t>
            </w:r>
          </w:p>
        </w:tc>
        <w:tc>
          <w:tcPr>
            <w:tcW w:w="3154" w:type="pct"/>
            <w:tcMar>
              <w:top w:w="90" w:type="dxa"/>
              <w:left w:w="90" w:type="dxa"/>
              <w:bottom w:w="90" w:type="dxa"/>
              <w:right w:w="90" w:type="dxa"/>
            </w:tcMar>
            <w:vAlign w:val="center"/>
          </w:tcPr>
          <w:p w14:paraId="307F8F6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Map, rainfall indicators, area risk ranking, weather-associated labels</w:t>
            </w:r>
          </w:p>
        </w:tc>
      </w:tr>
      <w:tr w:rsidR="0084730D" w:rsidRPr="00335C63" w14:paraId="28426BA7" w14:textId="77777777" w:rsidTr="00997D20">
        <w:trPr>
          <w:cantSplit/>
          <w:jc w:val="center"/>
        </w:trPr>
        <w:tc>
          <w:tcPr>
            <w:tcW w:w="1846" w:type="pct"/>
            <w:tcMar>
              <w:top w:w="90" w:type="dxa"/>
              <w:left w:w="90" w:type="dxa"/>
              <w:bottom w:w="90" w:type="dxa"/>
              <w:right w:w="90" w:type="dxa"/>
            </w:tcMar>
            <w:vAlign w:val="center"/>
          </w:tcPr>
          <w:p w14:paraId="0BCA58F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Treatment Difficulty</w:t>
            </w:r>
          </w:p>
        </w:tc>
        <w:tc>
          <w:tcPr>
            <w:tcW w:w="3154" w:type="pct"/>
            <w:tcMar>
              <w:top w:w="90" w:type="dxa"/>
              <w:left w:w="90" w:type="dxa"/>
              <w:bottom w:w="90" w:type="dxa"/>
              <w:right w:w="90" w:type="dxa"/>
            </w:tcMar>
            <w:vAlign w:val="center"/>
          </w:tcPr>
          <w:p w14:paraId="6CC3A29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Difficulty ranking, area/pest/team score table, recommended planning actions</w:t>
            </w:r>
          </w:p>
        </w:tc>
      </w:tr>
      <w:tr w:rsidR="0084730D" w:rsidRPr="00335C63" w14:paraId="23B429C2" w14:textId="77777777" w:rsidTr="00997D20">
        <w:trPr>
          <w:cantSplit/>
          <w:jc w:val="center"/>
        </w:trPr>
        <w:tc>
          <w:tcPr>
            <w:tcW w:w="1846" w:type="pct"/>
            <w:tcMar>
              <w:top w:w="90" w:type="dxa"/>
              <w:left w:w="90" w:type="dxa"/>
              <w:bottom w:w="90" w:type="dxa"/>
              <w:right w:w="90" w:type="dxa"/>
            </w:tcMar>
            <w:vAlign w:val="center"/>
          </w:tcPr>
          <w:p w14:paraId="1728C10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Warranty and Repeat Analysis</w:t>
            </w:r>
          </w:p>
        </w:tc>
        <w:tc>
          <w:tcPr>
            <w:tcW w:w="3154" w:type="pct"/>
            <w:tcMar>
              <w:top w:w="90" w:type="dxa"/>
              <w:left w:w="90" w:type="dxa"/>
              <w:bottom w:w="90" w:type="dxa"/>
              <w:right w:w="90" w:type="dxa"/>
            </w:tcMar>
            <w:vAlign w:val="center"/>
          </w:tcPr>
          <w:p w14:paraId="11812D5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Warranty factors by area/pest/technician, review queue, repeat rate trends</w:t>
            </w:r>
          </w:p>
        </w:tc>
      </w:tr>
      <w:tr w:rsidR="0084730D" w:rsidRPr="00335C63" w14:paraId="0F11F27D" w14:textId="77777777" w:rsidTr="00997D20">
        <w:trPr>
          <w:cantSplit/>
          <w:jc w:val="center"/>
        </w:trPr>
        <w:tc>
          <w:tcPr>
            <w:tcW w:w="1846" w:type="pct"/>
            <w:tcMar>
              <w:top w:w="90" w:type="dxa"/>
              <w:left w:w="90" w:type="dxa"/>
              <w:bottom w:w="90" w:type="dxa"/>
              <w:right w:w="90" w:type="dxa"/>
            </w:tcMar>
            <w:vAlign w:val="center"/>
          </w:tcPr>
          <w:p w14:paraId="51B2CD3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Recurrence and Hotspots</w:t>
            </w:r>
          </w:p>
        </w:tc>
        <w:tc>
          <w:tcPr>
            <w:tcW w:w="3154" w:type="pct"/>
            <w:tcMar>
              <w:top w:w="90" w:type="dxa"/>
              <w:left w:w="90" w:type="dxa"/>
              <w:bottom w:w="90" w:type="dxa"/>
              <w:right w:w="90" w:type="dxa"/>
            </w:tcMar>
            <w:vAlign w:val="center"/>
          </w:tcPr>
          <w:p w14:paraId="5376C93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Recurrence buckets, DBSCAN clusters, KDE map layer, cluster movement by period</w:t>
            </w:r>
          </w:p>
        </w:tc>
      </w:tr>
      <w:tr w:rsidR="0084730D" w:rsidRPr="00335C63" w14:paraId="19B4D924" w14:textId="77777777" w:rsidTr="00997D20">
        <w:trPr>
          <w:cantSplit/>
          <w:jc w:val="center"/>
        </w:trPr>
        <w:tc>
          <w:tcPr>
            <w:tcW w:w="1846" w:type="pct"/>
            <w:tcMar>
              <w:top w:w="90" w:type="dxa"/>
              <w:left w:w="90" w:type="dxa"/>
              <w:bottom w:w="90" w:type="dxa"/>
              <w:right w:w="90" w:type="dxa"/>
            </w:tcMar>
            <w:vAlign w:val="center"/>
          </w:tcPr>
          <w:p w14:paraId="3E905F0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Upsell Intelligence</w:t>
            </w:r>
          </w:p>
        </w:tc>
        <w:tc>
          <w:tcPr>
            <w:tcW w:w="3154" w:type="pct"/>
            <w:tcMar>
              <w:top w:w="90" w:type="dxa"/>
              <w:left w:w="90" w:type="dxa"/>
              <w:bottom w:w="90" w:type="dxa"/>
              <w:right w:w="90" w:type="dxa"/>
            </w:tcMar>
            <w:vAlign w:val="center"/>
          </w:tcPr>
          <w:p w14:paraId="439A838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Package effectiveness, package-fit matrix, window performance</w:t>
            </w:r>
          </w:p>
        </w:tc>
      </w:tr>
      <w:tr w:rsidR="0084730D" w:rsidRPr="00335C63" w14:paraId="0850617D" w14:textId="77777777" w:rsidTr="00997D20">
        <w:trPr>
          <w:cantSplit/>
          <w:jc w:val="center"/>
        </w:trPr>
        <w:tc>
          <w:tcPr>
            <w:tcW w:w="1846" w:type="pct"/>
            <w:tcMar>
              <w:top w:w="90" w:type="dxa"/>
              <w:left w:w="90" w:type="dxa"/>
              <w:bottom w:w="90" w:type="dxa"/>
              <w:right w:w="90" w:type="dxa"/>
            </w:tcMar>
            <w:vAlign w:val="center"/>
          </w:tcPr>
          <w:p w14:paraId="49FB00A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Scheduling Capacity</w:t>
            </w:r>
          </w:p>
        </w:tc>
        <w:tc>
          <w:tcPr>
            <w:tcW w:w="3154" w:type="pct"/>
            <w:tcMar>
              <w:top w:w="90" w:type="dxa"/>
              <w:left w:w="90" w:type="dxa"/>
              <w:bottom w:w="90" w:type="dxa"/>
              <w:right w:w="90" w:type="dxa"/>
            </w:tcMar>
            <w:vAlign w:val="center"/>
          </w:tcPr>
          <w:p w14:paraId="3D55314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Slots used, new/warranty/extra split, peak days/times, area density</w:t>
            </w:r>
          </w:p>
        </w:tc>
      </w:tr>
      <w:tr w:rsidR="0084730D" w:rsidRPr="00335C63" w14:paraId="437ECE9C" w14:textId="77777777" w:rsidTr="00997D20">
        <w:trPr>
          <w:cantSplit/>
          <w:jc w:val="center"/>
        </w:trPr>
        <w:tc>
          <w:tcPr>
            <w:tcW w:w="1846" w:type="pct"/>
            <w:tcMar>
              <w:top w:w="90" w:type="dxa"/>
              <w:left w:w="90" w:type="dxa"/>
              <w:bottom w:w="90" w:type="dxa"/>
              <w:right w:w="90" w:type="dxa"/>
            </w:tcMar>
            <w:vAlign w:val="center"/>
          </w:tcPr>
          <w:p w14:paraId="0EB8B31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Refund Root Cause</w:t>
            </w:r>
          </w:p>
        </w:tc>
        <w:tc>
          <w:tcPr>
            <w:tcW w:w="3154" w:type="pct"/>
            <w:tcMar>
              <w:top w:w="90" w:type="dxa"/>
              <w:left w:w="90" w:type="dxa"/>
              <w:bottom w:w="90" w:type="dxa"/>
              <w:right w:w="90" w:type="dxa"/>
            </w:tcMar>
            <w:vAlign w:val="center"/>
          </w:tcPr>
          <w:p w14:paraId="5EBAE8B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Refund categories, amount/rate by area, pest, technician, and source</w:t>
            </w:r>
          </w:p>
        </w:tc>
      </w:tr>
      <w:tr w:rsidR="0084730D" w:rsidRPr="00335C63" w14:paraId="3A30E140" w14:textId="77777777" w:rsidTr="00997D20">
        <w:trPr>
          <w:cantSplit/>
          <w:jc w:val="center"/>
        </w:trPr>
        <w:tc>
          <w:tcPr>
            <w:tcW w:w="1846" w:type="pct"/>
            <w:tcMar>
              <w:top w:w="90" w:type="dxa"/>
              <w:left w:w="90" w:type="dxa"/>
              <w:bottom w:w="90" w:type="dxa"/>
              <w:right w:w="90" w:type="dxa"/>
            </w:tcMar>
            <w:vAlign w:val="center"/>
          </w:tcPr>
          <w:p w14:paraId="72C9027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Quality and Refresh</w:t>
            </w:r>
          </w:p>
        </w:tc>
        <w:tc>
          <w:tcPr>
            <w:tcW w:w="3154" w:type="pct"/>
            <w:tcMar>
              <w:top w:w="90" w:type="dxa"/>
              <w:left w:w="90" w:type="dxa"/>
              <w:bottom w:w="90" w:type="dxa"/>
              <w:right w:w="90" w:type="dxa"/>
            </w:tcMar>
            <w:vAlign w:val="center"/>
          </w:tcPr>
          <w:p w14:paraId="2471BB7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Missing values, duplicates, invalid dates, match confidence, weather coverage, refresh status</w:t>
            </w:r>
          </w:p>
        </w:tc>
      </w:tr>
      <w:tr w:rsidR="0084730D" w:rsidRPr="00335C63" w14:paraId="6643E2FB" w14:textId="77777777" w:rsidTr="00997D20">
        <w:trPr>
          <w:cantSplit/>
          <w:jc w:val="center"/>
        </w:trPr>
        <w:tc>
          <w:tcPr>
            <w:tcW w:w="1846" w:type="pct"/>
            <w:tcMar>
              <w:top w:w="90" w:type="dxa"/>
              <w:left w:w="90" w:type="dxa"/>
              <w:bottom w:w="90" w:type="dxa"/>
              <w:right w:w="90" w:type="dxa"/>
            </w:tcMar>
            <w:vAlign w:val="center"/>
          </w:tcPr>
          <w:p w14:paraId="003E301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Recommendation Log</w:t>
            </w:r>
          </w:p>
        </w:tc>
        <w:tc>
          <w:tcPr>
            <w:tcW w:w="3154" w:type="pct"/>
            <w:tcMar>
              <w:top w:w="90" w:type="dxa"/>
              <w:left w:w="90" w:type="dxa"/>
              <w:bottom w:w="90" w:type="dxa"/>
              <w:right w:w="90" w:type="dxa"/>
            </w:tcMar>
            <w:vAlign w:val="center"/>
          </w:tcPr>
          <w:p w14:paraId="6CC8968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Suggested action, reason, review label, management response, and outcome tracking</w:t>
            </w:r>
          </w:p>
        </w:tc>
      </w:tr>
    </w:tbl>
    <w:p w14:paraId="55679DE9" w14:textId="77777777" w:rsidR="0084730D" w:rsidRPr="00335C63" w:rsidRDefault="0084730D" w:rsidP="000F4170">
      <w:pPr>
        <w:spacing w:line="360" w:lineRule="auto" w:after="120"/>
        <w:jc w:val="both"/>
        <w:rPr>
          <w:rFonts w:ascii="Times New Roman" w:hAnsi="Times New Roman" w:cs="Times New Roman"/>
          <w:sz w:val="24"/>
          <w:szCs w:val="24"/>
        </w:rPr>
      </w:pPr>
    </w:p>
    <w:p w14:paraId="0321CE9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3.9 Data Governance and Privacy</w:t>
      </w:r>
    </w:p>
    <w:p w14:paraId="42FFFDC7"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dashboard will separate internal operational data from academic/reporting views. Sensitive fields such as customer names, phone numbers, and full addresses will be available only where needed for internal matching. Management dashboards and academic outputs will use customer IDs, general area/postcode, pest type, service type, and aggregated metrics. Technician-related analytics will be framed as review indicators for quality improvement rather than blame or direct causation.</w:t>
      </w:r>
    </w:p>
    <w:p w14:paraId="71B7A398" w14:textId="77777777" w:rsidR="008D6A1A" w:rsidRPr="00335C63" w:rsidRDefault="008D6A1A" w:rsidP="008D6A1A">
      <w:pPr>
        <w:spacing w:line="360" w:lineRule="auto" w:after="120"/>
        <w:jc w:val="both"/>
        <w:rPr>
          <w:rFonts w:ascii="Times New Roman" w:hAnsi="Times New Roman" w:cs="Times New Roman"/>
          <w:sz w:val="24"/>
          <w:szCs w:val="24"/>
        </w:rPr>
      </w:pPr>
    </w:p>
    <w:p w14:paraId="2D0BE91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analytics model will support anonymised views for reporting. These views will remove or mask personally identifiable information while preserving the fields needed for analysis, such as service date, area, pest type, package type, claim status, refund category, and difficulty level. This supports privacy, ethics, and company confidence in using the system.</w:t>
      </w:r>
    </w:p>
    <w:p w14:paraId="3CF90BE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3.10 AI Recommendation Extension</w:t>
      </w:r>
    </w:p>
    <w:p w14:paraId="394AE893"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 future enhancement may connect a local AI model to the analytics system. One possible option is Ollama because it can run locally and avoid external AI API cost. The recommended design is to keep AI outside the warehouse and dashboard as an explanation layer only. A Python backend or worker can retrieve relevant scores, pass structured context to the local model, and store generated recommendation text back into the recommendation log for dashboard display.</w:t>
      </w:r>
    </w:p>
    <w:p w14:paraId="09C91DB5" w14:textId="77777777" w:rsidR="008D6A1A" w:rsidRPr="00335C63" w:rsidRDefault="008D6A1A" w:rsidP="008D6A1A">
      <w:pPr>
        <w:spacing w:line="360" w:lineRule="auto" w:after="120"/>
        <w:jc w:val="both"/>
        <w:rPr>
          <w:rFonts w:ascii="Times New Roman" w:hAnsi="Times New Roman" w:cs="Times New Roman"/>
          <w:sz w:val="24"/>
          <w:szCs w:val="24"/>
        </w:rPr>
      </w:pPr>
    </w:p>
    <w:p w14:paraId="0385551E"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design avoids external AI API cost and protects company data. The AI will explain analytics-backed recommendations such as assigning an experienced technician, scheduling a follow-up within a specific window, reviewing an area/premise condition, or recommending a package-fit upsell. It will not make final decisions or invent unsupported claims.</w:t>
      </w:r>
    </w:p>
    <w:p w14:paraId="2D1F016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3.11 Computing Factors and Constraints</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96"/>
        <w:gridCol w:w="2916"/>
        <w:gridCol w:w="3704"/>
      </w:tblGrid>
      <w:tr w:rsidR="0084730D" w:rsidRPr="00335C63" w14:paraId="5CB4D783" w14:textId="77777777" w:rsidTr="00997D20">
        <w:trPr>
          <w:cantSplit/>
          <w:tblHeader/>
          <w:jc w:val="center"/>
        </w:trPr>
        <w:tc>
          <w:tcPr>
            <w:tcW w:w="1329" w:type="pct"/>
            <w:shd w:val="clear" w:color="auto" w:fill="E8F1FA"/>
            <w:tcMar>
              <w:top w:w="90" w:type="dxa"/>
              <w:left w:w="90" w:type="dxa"/>
              <w:bottom w:w="90" w:type="dxa"/>
              <w:right w:w="90" w:type="dxa"/>
            </w:tcMar>
            <w:vAlign w:val="center"/>
            <w:shd w:fill="DCEAF7"/>
          </w:tcPr>
          <w:p w14:paraId="19853A9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Factor</w:t>
            </w:r>
          </w:p>
        </w:tc>
        <w:tc>
          <w:tcPr>
            <w:tcW w:w="1617" w:type="pct"/>
            <w:shd w:val="clear" w:color="auto" w:fill="E8F1FA"/>
            <w:tcMar>
              <w:top w:w="90" w:type="dxa"/>
              <w:left w:w="90" w:type="dxa"/>
              <w:bottom w:w="90" w:type="dxa"/>
              <w:right w:w="90" w:type="dxa"/>
            </w:tcMar>
            <w:vAlign w:val="center"/>
            <w:shd w:fill="DCEAF7"/>
          </w:tcPr>
          <w:p w14:paraId="27255D7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Consideration</w:t>
            </w:r>
          </w:p>
        </w:tc>
        <w:tc>
          <w:tcPr>
            <w:tcW w:w="2054" w:type="pct"/>
            <w:shd w:val="clear" w:color="auto" w:fill="E8F1FA"/>
            <w:tcMar>
              <w:top w:w="90" w:type="dxa"/>
              <w:left w:w="90" w:type="dxa"/>
              <w:bottom w:w="90" w:type="dxa"/>
              <w:right w:w="90" w:type="dxa"/>
            </w:tcMar>
            <w:vAlign w:val="center"/>
            <w:shd w:fill="DCEAF7"/>
          </w:tcPr>
          <w:p w14:paraId="5F806BC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Proposed Handling</w:t>
            </w:r>
          </w:p>
        </w:tc>
      </w:tr>
      <w:tr w:rsidR="0084730D" w:rsidRPr="00335C63" w14:paraId="0C378453" w14:textId="77777777" w:rsidTr="00997D20">
        <w:trPr>
          <w:cantSplit/>
          <w:jc w:val="center"/>
        </w:trPr>
        <w:tc>
          <w:tcPr>
            <w:tcW w:w="1329" w:type="pct"/>
            <w:tcMar>
              <w:top w:w="90" w:type="dxa"/>
              <w:left w:w="90" w:type="dxa"/>
              <w:bottom w:w="90" w:type="dxa"/>
              <w:right w:w="90" w:type="dxa"/>
            </w:tcMar>
            <w:vAlign w:val="center"/>
          </w:tcPr>
          <w:p w14:paraId="20BCAB5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Performance</w:t>
            </w:r>
          </w:p>
        </w:tc>
        <w:tc>
          <w:tcPr>
            <w:tcW w:w="1617" w:type="pct"/>
            <w:tcMar>
              <w:top w:w="90" w:type="dxa"/>
              <w:left w:w="90" w:type="dxa"/>
              <w:bottom w:w="90" w:type="dxa"/>
              <w:right w:w="90" w:type="dxa"/>
            </w:tcMar>
            <w:vAlign w:val="center"/>
          </w:tcPr>
          <w:p w14:paraId="0105C78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Dashboard queries should remain responsive</w:t>
            </w:r>
          </w:p>
        </w:tc>
        <w:tc>
          <w:tcPr>
            <w:tcW w:w="2054" w:type="pct"/>
            <w:tcMar>
              <w:top w:w="90" w:type="dxa"/>
              <w:left w:w="90" w:type="dxa"/>
              <w:bottom w:w="90" w:type="dxa"/>
              <w:right w:w="90" w:type="dxa"/>
            </w:tcMar>
            <w:vAlign w:val="center"/>
          </w:tcPr>
          <w:p w14:paraId="55C546BC"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Use curated marts and scheduled transformations rather than recalculating every chart live</w:t>
            </w:r>
          </w:p>
        </w:tc>
      </w:tr>
      <w:tr w:rsidR="0084730D" w:rsidRPr="00335C63" w14:paraId="5785DAFF" w14:textId="77777777" w:rsidTr="00997D20">
        <w:trPr>
          <w:cantSplit/>
          <w:jc w:val="center"/>
        </w:trPr>
        <w:tc>
          <w:tcPr>
            <w:tcW w:w="1329" w:type="pct"/>
            <w:tcMar>
              <w:top w:w="90" w:type="dxa"/>
              <w:left w:w="90" w:type="dxa"/>
              <w:bottom w:w="90" w:type="dxa"/>
              <w:right w:w="90" w:type="dxa"/>
            </w:tcMar>
            <w:vAlign w:val="center"/>
          </w:tcPr>
          <w:p w14:paraId="48DC23E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Security and privacy</w:t>
            </w:r>
          </w:p>
        </w:tc>
        <w:tc>
          <w:tcPr>
            <w:tcW w:w="1617" w:type="pct"/>
            <w:tcMar>
              <w:top w:w="90" w:type="dxa"/>
              <w:left w:w="90" w:type="dxa"/>
              <w:bottom w:w="90" w:type="dxa"/>
              <w:right w:w="90" w:type="dxa"/>
            </w:tcMar>
            <w:vAlign w:val="center"/>
          </w:tcPr>
          <w:p w14:paraId="405AB7F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Customer names, phone numbers, and locations are sensitive</w:t>
            </w:r>
          </w:p>
        </w:tc>
        <w:tc>
          <w:tcPr>
            <w:tcW w:w="2054" w:type="pct"/>
            <w:tcMar>
              <w:top w:w="90" w:type="dxa"/>
              <w:left w:w="90" w:type="dxa"/>
              <w:bottom w:w="90" w:type="dxa"/>
              <w:right w:w="90" w:type="dxa"/>
            </w:tcMar>
            <w:vAlign w:val="center"/>
          </w:tcPr>
          <w:p w14:paraId="734FCD5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access control, anonymised reports, customer IDs, and area/postcode-level coordinates</w:t>
            </w:r>
          </w:p>
        </w:tc>
      </w:tr>
      <w:tr w:rsidR="0084730D" w:rsidRPr="00335C63" w14:paraId="6ED39400" w14:textId="77777777" w:rsidTr="00997D20">
        <w:trPr>
          <w:cantSplit/>
          <w:jc w:val="center"/>
        </w:trPr>
        <w:tc>
          <w:tcPr>
            <w:tcW w:w="1329" w:type="pct"/>
            <w:tcMar>
              <w:top w:w="90" w:type="dxa"/>
              <w:left w:w="90" w:type="dxa"/>
              <w:bottom w:w="90" w:type="dxa"/>
              <w:right w:w="90" w:type="dxa"/>
            </w:tcMar>
            <w:vAlign w:val="center"/>
          </w:tcPr>
          <w:p w14:paraId="452F58A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Ethics</w:t>
            </w:r>
          </w:p>
        </w:tc>
        <w:tc>
          <w:tcPr>
            <w:tcW w:w="1617" w:type="pct"/>
            <w:tcMar>
              <w:top w:w="90" w:type="dxa"/>
              <w:left w:w="90" w:type="dxa"/>
              <w:bottom w:w="90" w:type="dxa"/>
              <w:right w:w="90" w:type="dxa"/>
            </w:tcMar>
            <w:vAlign w:val="center"/>
          </w:tcPr>
          <w:p w14:paraId="4468EDB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Technician and weather analysis can be misread as blame or causation</w:t>
            </w:r>
          </w:p>
        </w:tc>
        <w:tc>
          <w:tcPr>
            <w:tcW w:w="2054" w:type="pct"/>
            <w:tcMar>
              <w:top w:w="90" w:type="dxa"/>
              <w:left w:w="90" w:type="dxa"/>
              <w:bottom w:w="90" w:type="dxa"/>
              <w:right w:w="90" w:type="dxa"/>
            </w:tcMar>
            <w:vAlign w:val="center"/>
          </w:tcPr>
          <w:p w14:paraId="0874404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wording such as review indicator, associated factor, and requires manual review</w:t>
            </w:r>
          </w:p>
        </w:tc>
      </w:tr>
      <w:tr w:rsidR="0084730D" w:rsidRPr="00335C63" w14:paraId="1BBAA2B2" w14:textId="77777777" w:rsidTr="00997D20">
        <w:trPr>
          <w:cantSplit/>
          <w:jc w:val="center"/>
        </w:trPr>
        <w:tc>
          <w:tcPr>
            <w:tcW w:w="1329" w:type="pct"/>
            <w:tcMar>
              <w:top w:w="90" w:type="dxa"/>
              <w:left w:w="90" w:type="dxa"/>
              <w:bottom w:w="90" w:type="dxa"/>
              <w:right w:w="90" w:type="dxa"/>
            </w:tcMar>
            <w:vAlign w:val="center"/>
          </w:tcPr>
          <w:p w14:paraId="45E1AF8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Usability</w:t>
            </w:r>
          </w:p>
        </w:tc>
        <w:tc>
          <w:tcPr>
            <w:tcW w:w="1617" w:type="pct"/>
            <w:tcMar>
              <w:top w:w="90" w:type="dxa"/>
              <w:left w:w="90" w:type="dxa"/>
              <w:bottom w:w="90" w:type="dxa"/>
              <w:right w:w="90" w:type="dxa"/>
            </w:tcMar>
            <w:vAlign w:val="center"/>
          </w:tcPr>
          <w:p w14:paraId="7E17745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Management needs quick insights, not technical complexity</w:t>
            </w:r>
          </w:p>
        </w:tc>
        <w:tc>
          <w:tcPr>
            <w:tcW w:w="2054" w:type="pct"/>
            <w:tcMar>
              <w:top w:w="90" w:type="dxa"/>
              <w:left w:w="90" w:type="dxa"/>
              <w:bottom w:w="90" w:type="dxa"/>
              <w:right w:w="90" w:type="dxa"/>
            </w:tcMar>
            <w:vAlign w:val="center"/>
          </w:tcPr>
          <w:p w14:paraId="64D6B3B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KPI cards, maps, filters, ranking tables, and short recommendations</w:t>
            </w:r>
          </w:p>
        </w:tc>
      </w:tr>
      <w:tr w:rsidR="0084730D" w:rsidRPr="00335C63" w14:paraId="4A7151C9" w14:textId="77777777" w:rsidTr="00997D20">
        <w:trPr>
          <w:cantSplit/>
          <w:jc w:val="center"/>
        </w:trPr>
        <w:tc>
          <w:tcPr>
            <w:tcW w:w="1329" w:type="pct"/>
            <w:tcMar>
              <w:top w:w="90" w:type="dxa"/>
              <w:left w:w="90" w:type="dxa"/>
              <w:bottom w:w="90" w:type="dxa"/>
              <w:right w:w="90" w:type="dxa"/>
            </w:tcMar>
            <w:vAlign w:val="center"/>
          </w:tcPr>
          <w:p w14:paraId="6200474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quality</w:t>
            </w:r>
          </w:p>
        </w:tc>
        <w:tc>
          <w:tcPr>
            <w:tcW w:w="1617" w:type="pct"/>
            <w:tcMar>
              <w:top w:w="90" w:type="dxa"/>
              <w:left w:w="90" w:type="dxa"/>
              <w:bottom w:w="90" w:type="dxa"/>
              <w:right w:w="90" w:type="dxa"/>
            </w:tcMar>
            <w:vAlign w:val="center"/>
          </w:tcPr>
          <w:p w14:paraId="3FBA521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Sheets may contain duplicates, missing fields, inconsistent labels</w:t>
            </w:r>
          </w:p>
        </w:tc>
        <w:tc>
          <w:tcPr>
            <w:tcW w:w="2054" w:type="pct"/>
            <w:tcMar>
              <w:top w:w="90" w:type="dxa"/>
              <w:left w:w="90" w:type="dxa"/>
              <w:bottom w:w="90" w:type="dxa"/>
              <w:right w:w="90" w:type="dxa"/>
            </w:tcMar>
            <w:vAlign w:val="center"/>
          </w:tcPr>
          <w:p w14:paraId="69ED2A0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Create cleaning rules, validation reports, unmatched-record logs, and data quality dashboard</w:t>
            </w:r>
          </w:p>
        </w:tc>
      </w:tr>
      <w:tr w:rsidR="0084730D" w:rsidRPr="00335C63" w14:paraId="1BA023C6" w14:textId="77777777" w:rsidTr="00997D20">
        <w:trPr>
          <w:cantSplit/>
          <w:jc w:val="center"/>
        </w:trPr>
        <w:tc>
          <w:tcPr>
            <w:tcW w:w="1329" w:type="pct"/>
            <w:tcMar>
              <w:top w:w="90" w:type="dxa"/>
              <w:left w:w="90" w:type="dxa"/>
              <w:bottom w:w="90" w:type="dxa"/>
              <w:right w:w="90" w:type="dxa"/>
            </w:tcMar>
            <w:vAlign w:val="center"/>
          </w:tcPr>
          <w:p w14:paraId="785B7BA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Refresh reliability</w:t>
            </w:r>
          </w:p>
        </w:tc>
        <w:tc>
          <w:tcPr>
            <w:tcW w:w="1617" w:type="pct"/>
            <w:tcMar>
              <w:top w:w="90" w:type="dxa"/>
              <w:left w:w="90" w:type="dxa"/>
              <w:bottom w:w="90" w:type="dxa"/>
              <w:right w:w="90" w:type="dxa"/>
            </w:tcMar>
            <w:vAlign w:val="center"/>
          </w:tcPr>
          <w:p w14:paraId="68A3F4F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Company data changes over time</w:t>
            </w:r>
          </w:p>
        </w:tc>
        <w:tc>
          <w:tcPr>
            <w:tcW w:w="2054" w:type="pct"/>
            <w:tcMar>
              <w:top w:w="90" w:type="dxa"/>
              <w:left w:w="90" w:type="dxa"/>
              <w:bottom w:w="90" w:type="dxa"/>
              <w:right w:w="90" w:type="dxa"/>
            </w:tcMar>
            <w:vAlign w:val="center"/>
          </w:tcPr>
          <w:p w14:paraId="74F950D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scheduled ETL/queries and show last refresh time and failed refresh status</w:t>
            </w:r>
          </w:p>
        </w:tc>
      </w:tr>
      <w:tr w:rsidR="0084730D" w:rsidRPr="00335C63" w14:paraId="33163FFC" w14:textId="77777777" w:rsidTr="00997D20">
        <w:trPr>
          <w:cantSplit/>
          <w:jc w:val="center"/>
        </w:trPr>
        <w:tc>
          <w:tcPr>
            <w:tcW w:w="1329" w:type="pct"/>
            <w:tcMar>
              <w:top w:w="90" w:type="dxa"/>
              <w:left w:w="90" w:type="dxa"/>
              <w:bottom w:w="90" w:type="dxa"/>
              <w:right w:w="90" w:type="dxa"/>
            </w:tcMar>
            <w:vAlign w:val="center"/>
          </w:tcPr>
          <w:p w14:paraId="6989359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Cost</w:t>
            </w:r>
          </w:p>
        </w:tc>
        <w:tc>
          <w:tcPr>
            <w:tcW w:w="1617" w:type="pct"/>
            <w:tcMar>
              <w:top w:w="90" w:type="dxa"/>
              <w:left w:w="90" w:type="dxa"/>
              <w:bottom w:w="90" w:type="dxa"/>
              <w:right w:w="90" w:type="dxa"/>
            </w:tcMar>
            <w:vAlign w:val="center"/>
          </w:tcPr>
          <w:p w14:paraId="4FD92FA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Company prefers low-cost tools</w:t>
            </w:r>
          </w:p>
        </w:tc>
        <w:tc>
          <w:tcPr>
            <w:tcW w:w="2054" w:type="pct"/>
            <w:tcMar>
              <w:top w:w="90" w:type="dxa"/>
              <w:left w:w="90" w:type="dxa"/>
              <w:bottom w:w="90" w:type="dxa"/>
              <w:right w:w="90" w:type="dxa"/>
            </w:tcMar>
            <w:vAlign w:val="center"/>
          </w:tcPr>
          <w:p w14:paraId="5A05FF0B" w14:textId="77777777" w:rsidR="0084730D" w:rsidRPr="00335C63" w:rsidRDefault="00357319" w:rsidP="000F4170">
            <w:pPr>
              <w:spacing w:after="40" w:line="276" w:lineRule="auto"/>
              <w:jc w:val="left"/>
              <w:rPr>
                <w:rFonts w:ascii="Times New Roman" w:hAnsi="Times New Roman" w:cs="Times New Roman"/>
                <w:sz w:val="24"/>
                <w:szCs w:val="24"/>
              </w:rPr>
            </w:pPr>
            <w:r>
              <w:rPr>
                <w:rFonts w:ascii="Times New Roman" w:hAnsi="Times New Roman" w:eastAsia="Times New Roman"/>
                <w:sz w:val="20"/>
              </w:rPr>
              <w:t>Prefer low-cost or free-tier tools, open-source dashboard options, Open-Meteo, and possible local AI later</w:t>
            </w:r>
          </w:p>
        </w:tc>
      </w:tr>
      <w:tr w:rsidR="0084730D" w:rsidRPr="00335C63" w14:paraId="2597DBB1" w14:textId="77777777" w:rsidTr="00997D20">
        <w:trPr>
          <w:cantSplit/>
          <w:jc w:val="center"/>
        </w:trPr>
        <w:tc>
          <w:tcPr>
            <w:tcW w:w="1329" w:type="pct"/>
            <w:tcMar>
              <w:top w:w="90" w:type="dxa"/>
              <w:left w:w="90" w:type="dxa"/>
              <w:bottom w:w="90" w:type="dxa"/>
              <w:right w:w="90" w:type="dxa"/>
            </w:tcMar>
            <w:vAlign w:val="center"/>
          </w:tcPr>
          <w:p w14:paraId="77A16B1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Model reliability</w:t>
            </w:r>
          </w:p>
        </w:tc>
        <w:tc>
          <w:tcPr>
            <w:tcW w:w="1617" w:type="pct"/>
            <w:tcMar>
              <w:top w:w="90" w:type="dxa"/>
              <w:left w:w="90" w:type="dxa"/>
              <w:bottom w:w="90" w:type="dxa"/>
              <w:right w:w="90" w:type="dxa"/>
            </w:tcMar>
            <w:vAlign w:val="center"/>
          </w:tcPr>
          <w:p w14:paraId="0696CC5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Warranty dataset is limited</w:t>
            </w:r>
          </w:p>
        </w:tc>
        <w:tc>
          <w:tcPr>
            <w:tcW w:w="2054" w:type="pct"/>
            <w:tcMar>
              <w:top w:w="90" w:type="dxa"/>
              <w:left w:w="90" w:type="dxa"/>
              <w:bottom w:w="90" w:type="dxa"/>
              <w:right w:w="90" w:type="dxa"/>
            </w:tcMar>
            <w:vAlign w:val="center"/>
          </w:tcPr>
          <w:p w14:paraId="622AF8C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Prefer explainable scoring and simple statistical methods before complex ML</w:t>
            </w:r>
          </w:p>
        </w:tc>
      </w:tr>
      <w:tr w:rsidR="00BB18A2" w14:paraId="58B6F22D" w14:textId="77777777">
        <w:trPr>
          <w:jc w:val="center"/>
        </w:trPr>
        <w:tc>
          <w:tcPr>
            <w:tcW w:w="2396" w:type="dxa"/>
            <w:vAlign w:val="center"/>
          </w:tcPr>
          <w:p w14:paraId="4DD3DB82" w14:textId="77777777" w:rsidR="00BB18A2" w:rsidRDefault="00000000">
            <w:pPr>
              <w:spacing w:line="276" w:lineRule="auto" w:after="40"/>
              <w:jc w:val="left"/>
            </w:pPr>
            <w:r>
              <w:rPr>
                <w:rFonts w:ascii="Times New Roman" w:hAnsi="Times New Roman" w:eastAsia="Times New Roman" w:cs="Times New Roman"/>
                <w:sz w:val="20"/>
              </w:rPr>
              <w:t>Pipeline complexity</w:t>
            </w:r>
          </w:p>
        </w:tc>
        <w:tc>
          <w:tcPr>
            <w:tcW w:w="2916" w:type="dxa"/>
            <w:vAlign w:val="center"/>
          </w:tcPr>
          <w:p w14:paraId="5398EBA2" w14:textId="77777777" w:rsidR="00BB18A2" w:rsidRDefault="00000000">
            <w:pPr>
              <w:spacing w:line="276" w:lineRule="auto" w:after="40"/>
              <w:jc w:val="left"/>
            </w:pPr>
            <w:r>
              <w:rPr>
                <w:rFonts w:ascii="Times New Roman" w:hAnsi="Times New Roman" w:eastAsia="Times New Roman" w:cs="Times New Roman"/>
                <w:sz w:val="20"/>
              </w:rPr>
              <w:t>Airflow and dbt add setup effort compared with a simple script</w:t>
            </w:r>
          </w:p>
        </w:tc>
        <w:tc>
          <w:tcPr>
            <w:tcW w:w="3704" w:type="dxa"/>
            <w:vAlign w:val="center"/>
          </w:tcPr>
          <w:p w14:paraId="2C9484CA" w14:textId="77777777" w:rsidR="00BB18A2" w:rsidRDefault="00000000">
            <w:pPr>
              <w:spacing w:line="276" w:lineRule="auto" w:after="40"/>
              <w:jc w:val="left"/>
            </w:pPr>
            <w:r>
              <w:rPr>
                <w:rFonts w:ascii="Times New Roman" w:hAnsi="Times New Roman" w:eastAsia="Times New Roman" w:cs="Times New Roman"/>
                <w:sz w:val="20"/>
              </w:rPr>
              <w:t>Keep the DAG small, use batch refresh, document fallback manual runs, and prioritise core tables first</w:t>
            </w:r>
          </w:p>
        </w:tc>
      </w:tr>
      <w:tr w:rsidR="00BB18A2" w14:paraId="2713ED82" w14:textId="77777777">
        <w:trPr>
          <w:jc w:val="center"/>
        </w:trPr>
        <w:tc>
          <w:tcPr>
            <w:tcW w:w="2396" w:type="dxa"/>
            <w:vAlign w:val="center"/>
          </w:tcPr>
          <w:p w14:paraId="7D759C68" w14:textId="77777777" w:rsidR="00BB18A2" w:rsidRDefault="00000000">
            <w:pPr>
              <w:spacing w:line="276" w:lineRule="auto" w:after="40"/>
              <w:jc w:val="left"/>
            </w:pPr>
            <w:r>
              <w:rPr>
                <w:rFonts w:ascii="Times New Roman" w:hAnsi="Times New Roman" w:eastAsia="Times New Roman" w:cs="Times New Roman"/>
                <w:sz w:val="20"/>
              </w:rPr>
              <w:t>Schema flexibility</w:t>
            </w:r>
          </w:p>
        </w:tc>
        <w:tc>
          <w:tcPr>
            <w:tcW w:w="2916" w:type="dxa"/>
            <w:vAlign w:val="center"/>
          </w:tcPr>
          <w:p w14:paraId="23FE4FD9" w14:textId="77777777" w:rsidR="00BB18A2" w:rsidRDefault="00000000">
            <w:pPr>
              <w:spacing w:line="276" w:lineRule="auto" w:after="40"/>
              <w:jc w:val="left"/>
            </w:pPr>
            <w:r>
              <w:rPr>
                <w:rFonts w:ascii="Times New Roman" w:hAnsi="Times New Roman" w:eastAsia="Times New Roman" w:cs="Times New Roman"/>
                <w:sz w:val="20"/>
              </w:rPr>
              <w:t>Company sheets may change column names or contain messy formats</w:t>
            </w:r>
          </w:p>
        </w:tc>
        <w:tc>
          <w:tcPr>
            <w:tcW w:w="3704" w:type="dxa"/>
            <w:vAlign w:val="center"/>
          </w:tcPr>
          <w:p w14:paraId="6E49FA4A" w14:textId="77777777" w:rsidR="00BB18A2" w:rsidRDefault="00000000">
            <w:pPr>
              <w:spacing w:line="276" w:lineRule="auto" w:after="40"/>
              <w:jc w:val="left"/>
            </w:pPr>
            <w:r>
              <w:rPr>
                <w:rFonts w:ascii="Times New Roman" w:hAnsi="Times New Roman" w:eastAsia="Times New Roman" w:cs="Times New Roman"/>
                <w:sz w:val="20"/>
              </w:rPr>
              <w:t>Use flexible data contracts, alias mapping, validation flags, and source-level quality status</w:t>
            </w:r>
          </w:p>
        </w:tc>
      </w:tr>
    </w:tbl>
    <w:p w14:paraId="428B5B2F" w14:textId="77777777" w:rsidR="0084730D" w:rsidRPr="00335C63" w:rsidRDefault="0084730D" w:rsidP="000F4170">
      <w:pPr>
        <w:spacing w:line="360" w:lineRule="auto" w:after="120"/>
        <w:jc w:val="both"/>
        <w:rPr>
          <w:rFonts w:ascii="Times New Roman" w:hAnsi="Times New Roman" w:cs="Times New Roman"/>
          <w:sz w:val="24"/>
          <w:szCs w:val="24"/>
        </w:rPr>
      </w:pPr>
    </w:p>
    <w:p w14:paraId="7735F46F"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3.12 Evaluation Plan</w:t>
      </w:r>
    </w:p>
    <w:p w14:paraId="6BEF48C6"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Functional testing: verify data upload/sync, cleaning outputs, analytics storage table creation, and dashboard refresh.</w:t>
      </w:r>
    </w:p>
    <w:p w14:paraId="55C7B6E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Data quality testing: verify missing-value summaries, duplicate counts, invalid-date flags, unmatched-customer logs, coordinate match confidence, weather coverage, and calendar matching confidence.</w:t>
      </w:r>
    </w:p>
    <w:p w14:paraId="69C0E088"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Refresh testing: confirm scheduled ETL, scheduled warehouse jobs, or workflow orchestration update marts and show last refresh status.</w:t>
      </w:r>
    </w:p>
    <w:p w14:paraId="2772C415"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Analytics validation: compare selected dashboard metrics against manual spreadsheet calculations.</w:t>
      </w:r>
    </w:p>
    <w:p w14:paraId="78D92B13"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Usability testing: ask management or operations users to complete business questions using the dashboard.</w:t>
      </w:r>
    </w:p>
    <w:p w14:paraId="3E5662C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Privacy testing: confirm anonymised views remove customer names, phone numbers, and full address fields from academic/reporting outputs.</w:t>
      </w:r>
    </w:p>
    <w:p w14:paraId="13173A7E"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Recommendation testing: verify recommendation log fields are generated and that management response/outcome can be tracked.</w:t>
      </w:r>
    </w:p>
    <w:p w14:paraId="7D2BA5F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Insight usefulness: collect feedback on whether area risk, recurrence, treatment difficulty, and upsell outputs are actionable.</w:t>
      </w:r>
    </w:p>
    <w:p w14:paraId="0E8B362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Method review: confirm that weather and technician analysis is framed as association/review indicator, not direct blame or causation.</w:t>
      </w:r>
    </w:p>
    <w:p w14:paraId="0DA81610"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4: Work Plan and Timeline</w:t>
      </w:r>
    </w:p>
    <w:p w14:paraId="04630C47"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project will be completed in iterative stages. The timeline below assumes a 14-week capstone implementation period after proposal approval. Activities are arranged to reduce risk: data understanding and warehouse design come first, then analytics logic, then dashboards, then evaluation.</w:t>
      </w:r>
    </w:p>
    <w:p w14:paraId="66DAB690" w14:textId="77777777" w:rsidR="00984EB3" w:rsidRDefault="003C0C08">
      <w:pPr>
        <w:pStyle w:val="Heading2"/>
        <w:spacing w:line="360" w:lineRule="auto" w:after="120" w:before="160"/>
        <w:jc w:val="left"/>
      </w:pPr>
      <w:r>
        <w:rPr>
          <w:rFonts w:ascii="Times New Roman" w:hAnsi="Times New Roman" w:eastAsia="Times New Roman" w:cs="Times New Roman"/>
          <w:b/>
          <w:color w:val="000000"/>
          <w:sz w:val="24"/>
        </w:rPr>
        <w:t>4.1 Proposed CP1 Gantt Chart</w:t>
      </w:r>
    </w:p>
    <w:p w14:paraId="6F9AAA0C" w14:textId="77777777" w:rsidR="00984EB3" w:rsidRPr="008D6A1A"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The Gantt chart below summarises the proposed CP1 planning timeline. It focuses on proposal preparation, literature review, methodology design, data understanding, architecture planning, and report finalisation. System implementation, dashboard development, and company evaluation will continue in CP2.</w:t>
      </w:r>
    </w:p>
    <w:p w14:paraId="1B7A723E" w14:textId="77777777" w:rsidR="00984EB3" w:rsidRDefault="00984EB3">
      <w:pPr>
        <w:spacing w:line="360" w:lineRule="auto" w:after="120"/>
        <w:jc w:val="both"/>
      </w:pPr>
    </w:p>
    <w:p w14:paraId="437D6CF2" w14:textId="77777777" w:rsidR="00984EB3" w:rsidRDefault="003C0C08">
      <w:pPr>
        <w:spacing w:line="360" w:lineRule="auto" w:after="120"/>
        <w:jc w:val="both"/>
      </w:pPr>
      <w:r>
        <w:rPr>
          <w:rFonts w:ascii="Times New Roman" w:hAnsi="Times New Roman" w:eastAsia="Times New Roman" w:cs="Times New Roman"/>
          <w:i/>
          <w:sz w:val="24"/>
        </w:rPr>
        <w:t>Figure 4.1: Proposed Gantt chart for Capstone Project 1 planning activities.</w:t>
      </w:r>
    </w:p>
    <w:p>
      <w:pPr>
        <w:pStyle w:val="Heading2"/>
        <w:spacing w:line="360" w:lineRule="auto" w:after="120" w:before="160"/>
        <w:jc w:val="left"/>
      </w:pPr>
      <w:r>
        <w:rPr>
          <w:rFonts w:ascii="Times New Roman" w:hAnsi="Times New Roman" w:eastAsia="Times New Roman"/>
          <w:b/>
          <w:color w:val="000000"/>
          <w:sz w:val="24"/>
        </w:rPr>
        <w:t>4.2 Proposed CP2 Gantt Chart</w:t>
      </w:r>
    </w:p>
    <w:p>
      <w:pPr>
        <w:spacing w:line="360" w:lineRule="auto" w:after="120"/>
        <w:jc w:val="both"/>
      </w:pPr>
      <w:r>
        <w:rPr>
          <w:rFonts w:ascii="Times New Roman" w:hAnsi="Times New Roman" w:eastAsia="Times New Roman"/>
          <w:sz w:val="24"/>
        </w:rPr>
        <w:t>The CP2 Gantt chart will guide the implementation semester. It covers source profiling, Python extraction, analytics storage setup, transformation logic, weather enrichment, analytics mart development, dashboard creation, recommendation logging, testing, user feedback, and final presentation preparation. The editable Gantt workbook is saved separately so the timeline can be refined after supervisor approval.</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6"/>
        <w:gridCol w:w="2256"/>
        <w:gridCol w:w="2256"/>
        <w:gridCol w:w="2256"/>
      </w:tblGrid>
      <w:tr>
        <w:tc>
          <w:tcPr>
            <w:tcW w:type="dxa" w:w="2256"/>
            <w:shd w:fill="1F2937"/>
            <w:vAlign w:val="center"/>
            <w:shd w:fill="DCEAF7"/>
          </w:tcPr>
          <w:p>
            <w:pPr>
              <w:spacing w:line="276" w:lineRule="auto" w:after="40"/>
              <w:jc w:val="left"/>
            </w:pPr>
            <w:r>
              <w:rPr>
                <w:rFonts w:ascii="Times New Roman" w:hAnsi="Times New Roman" w:eastAsia="Times New Roman"/>
                <w:b/>
                <w:color w:val="FFFFFF"/>
                <w:sz w:val="20"/>
              </w:rPr>
              <w:t>CP2 Phase</w:t>
            </w:r>
          </w:p>
        </w:tc>
        <w:tc>
          <w:tcPr>
            <w:tcW w:type="dxa" w:w="2256"/>
            <w:shd w:fill="1F2937"/>
            <w:vAlign w:val="center"/>
            <w:shd w:fill="DCEAF7"/>
          </w:tcPr>
          <w:p>
            <w:pPr>
              <w:spacing w:line="276" w:lineRule="auto" w:after="40"/>
              <w:jc w:val="left"/>
            </w:pPr>
            <w:r>
              <w:rPr>
                <w:rFonts w:ascii="Times New Roman" w:hAnsi="Times New Roman" w:eastAsia="Times New Roman"/>
                <w:b/>
                <w:color w:val="FFFFFF"/>
                <w:sz w:val="20"/>
              </w:rPr>
              <w:t>Main Work</w:t>
            </w:r>
          </w:p>
        </w:tc>
        <w:tc>
          <w:tcPr>
            <w:tcW w:type="dxa" w:w="2256"/>
            <w:shd w:fill="1F2937"/>
            <w:vAlign w:val="center"/>
            <w:shd w:fill="DCEAF7"/>
          </w:tcPr>
          <w:p>
            <w:pPr>
              <w:spacing w:line="276" w:lineRule="auto" w:after="40"/>
              <w:jc w:val="left"/>
            </w:pPr>
            <w:r>
              <w:rPr>
                <w:rFonts w:ascii="Times New Roman" w:hAnsi="Times New Roman" w:eastAsia="Times New Roman"/>
                <w:b/>
                <w:color w:val="FFFFFF"/>
                <w:sz w:val="20"/>
              </w:rPr>
              <w:t>Planned Weeks</w:t>
            </w:r>
          </w:p>
        </w:tc>
        <w:tc>
          <w:tcPr>
            <w:tcW w:type="dxa" w:w="2256"/>
            <w:shd w:fill="1F2937"/>
            <w:vAlign w:val="center"/>
            <w:shd w:fill="DCEAF7"/>
          </w:tcPr>
          <w:p>
            <w:pPr>
              <w:spacing w:line="276" w:lineRule="auto" w:after="40"/>
              <w:jc w:val="left"/>
            </w:pPr>
            <w:r>
              <w:rPr>
                <w:rFonts w:ascii="Times New Roman" w:hAnsi="Times New Roman" w:eastAsia="Times New Roman"/>
                <w:b/>
                <w:color w:val="FFFFFF"/>
                <w:sz w:val="20"/>
              </w:rPr>
              <w:t>Expected Output</w:t>
            </w:r>
          </w:p>
        </w:tc>
      </w:tr>
      <w:tr>
        <w:tc>
          <w:tcPr>
            <w:tcW w:type="dxa" w:w="2256"/>
            <w:vAlign w:val="center"/>
          </w:tcPr>
          <w:p>
            <w:pPr>
              <w:spacing w:line="276" w:lineRule="auto" w:after="40"/>
              <w:jc w:val="left"/>
            </w:pPr>
            <w:r>
              <w:rPr>
                <w:rFonts w:ascii="Times New Roman" w:hAnsi="Times New Roman" w:eastAsia="Times New Roman"/>
                <w:sz w:val="20"/>
              </w:rPr>
              <w:t>Setup and profiling</w:t>
            </w:r>
          </w:p>
        </w:tc>
        <w:tc>
          <w:tcPr>
            <w:tcW w:type="dxa" w:w="2256"/>
            <w:vAlign w:val="center"/>
          </w:tcPr>
          <w:p>
            <w:pPr>
              <w:spacing w:line="276" w:lineRule="auto" w:after="40"/>
              <w:jc w:val="left"/>
            </w:pPr>
            <w:r>
              <w:rPr>
                <w:rFonts w:ascii="Times New Roman" w:hAnsi="Times New Roman" w:eastAsia="Times New Roman"/>
                <w:sz w:val="20"/>
              </w:rPr>
              <w:t>Configure repository, environments, source access and data profiling scripts.</w:t>
            </w:r>
          </w:p>
        </w:tc>
        <w:tc>
          <w:tcPr>
            <w:tcW w:type="dxa" w:w="2256"/>
            <w:vAlign w:val="center"/>
          </w:tcPr>
          <w:p>
            <w:pPr>
              <w:spacing w:line="276" w:lineRule="auto" w:after="40"/>
              <w:jc w:val="left"/>
            </w:pPr>
            <w:r>
              <w:rPr>
                <w:rFonts w:ascii="Times New Roman" w:hAnsi="Times New Roman" w:eastAsia="Times New Roman"/>
                <w:sz w:val="20"/>
              </w:rPr>
              <w:t>Weeks 1-3</w:t>
            </w:r>
          </w:p>
        </w:tc>
        <w:tc>
          <w:tcPr>
            <w:tcW w:type="dxa" w:w="2256"/>
            <w:vAlign w:val="center"/>
          </w:tcPr>
          <w:p>
            <w:pPr>
              <w:spacing w:line="276" w:lineRule="auto" w:after="40"/>
              <w:jc w:val="left"/>
            </w:pPr>
            <w:r>
              <w:rPr>
                <w:rFonts w:ascii="Times New Roman" w:hAnsi="Times New Roman" w:eastAsia="Times New Roman"/>
                <w:sz w:val="20"/>
              </w:rPr>
              <w:t>Confirmed source inventory and project setup</w:t>
            </w:r>
          </w:p>
        </w:tc>
      </w:tr>
      <w:tr>
        <w:tc>
          <w:tcPr>
            <w:tcW w:type="dxa" w:w="2256"/>
            <w:vAlign w:val="center"/>
          </w:tcPr>
          <w:p>
            <w:pPr>
              <w:spacing w:line="276" w:lineRule="auto" w:after="40"/>
              <w:jc w:val="left"/>
            </w:pPr>
            <w:r>
              <w:rPr>
                <w:rFonts w:ascii="Times New Roman" w:hAnsi="Times New Roman" w:eastAsia="Times New Roman"/>
                <w:sz w:val="20"/>
              </w:rPr>
              <w:t>ETL and warehouse</w:t>
            </w:r>
          </w:p>
        </w:tc>
        <w:tc>
          <w:tcPr>
            <w:tcW w:type="dxa" w:w="2256"/>
            <w:vAlign w:val="center"/>
          </w:tcPr>
          <w:p>
            <w:pPr>
              <w:spacing w:line="276" w:lineRule="auto" w:after="40"/>
              <w:jc w:val="left"/>
            </w:pPr>
            <w:r>
              <w:rPr>
                <w:rFonts w:ascii="Times New Roman" w:hAnsi="Times New Roman" w:eastAsia="Times New Roman"/>
                <w:sz w:val="20"/>
              </w:rPr>
              <w:t>Build Python extraction, raw staging loads, data quality checks, and cleaned transformation models.</w:t>
            </w:r>
          </w:p>
        </w:tc>
        <w:tc>
          <w:tcPr>
            <w:tcW w:type="dxa" w:w="2256"/>
            <w:vAlign w:val="center"/>
          </w:tcPr>
          <w:p>
            <w:pPr>
              <w:spacing w:line="276" w:lineRule="auto" w:after="40"/>
              <w:jc w:val="left"/>
            </w:pPr>
            <w:r>
              <w:rPr>
                <w:rFonts w:ascii="Times New Roman" w:hAnsi="Times New Roman" w:eastAsia="Times New Roman"/>
                <w:sz w:val="20"/>
              </w:rPr>
              <w:t>Weeks 4-9</w:t>
            </w:r>
          </w:p>
        </w:tc>
        <w:tc>
          <w:tcPr>
            <w:tcW w:type="dxa" w:w="2256"/>
            <w:vAlign w:val="center"/>
          </w:tcPr>
          <w:p>
            <w:pPr>
              <w:spacing w:line="276" w:lineRule="auto" w:after="40"/>
              <w:jc w:val="left"/>
            </w:pPr>
            <w:r>
              <w:rPr>
                <w:rFonts w:ascii="Times New Roman" w:hAnsi="Times New Roman" w:eastAsia="Times New Roman"/>
                <w:sz w:val="20"/>
              </w:rPr>
              <w:t>Validated warehouse tables and data quality outputs</w:t>
            </w:r>
          </w:p>
        </w:tc>
      </w:tr>
      <w:tr>
        <w:tc>
          <w:tcPr>
            <w:tcW w:type="dxa" w:w="2256"/>
            <w:vAlign w:val="center"/>
          </w:tcPr>
          <w:p>
            <w:pPr>
              <w:spacing w:line="276" w:lineRule="auto" w:after="40"/>
              <w:jc w:val="left"/>
            </w:pPr>
            <w:r>
              <w:rPr>
                <w:rFonts w:ascii="Times New Roman" w:hAnsi="Times New Roman" w:eastAsia="Times New Roman"/>
                <w:sz w:val="20"/>
              </w:rPr>
              <w:t>Analytics marts</w:t>
            </w:r>
          </w:p>
        </w:tc>
        <w:tc>
          <w:tcPr>
            <w:tcW w:type="dxa" w:w="2256"/>
            <w:vAlign w:val="center"/>
          </w:tcPr>
          <w:p>
            <w:pPr>
              <w:spacing w:line="276" w:lineRule="auto" w:after="40"/>
              <w:jc w:val="left"/>
            </w:pPr>
            <w:r>
              <w:rPr>
                <w:rFonts w:ascii="Times New Roman" w:hAnsi="Times New Roman" w:eastAsia="Times New Roman"/>
                <w:sz w:val="20"/>
              </w:rPr>
              <w:t>Create weather, recurrence, hotspot, treatment difficulty, warranty and upsell mart tables.</w:t>
            </w:r>
          </w:p>
        </w:tc>
        <w:tc>
          <w:tcPr>
            <w:tcW w:type="dxa" w:w="2256"/>
            <w:vAlign w:val="center"/>
          </w:tcPr>
          <w:p>
            <w:pPr>
              <w:spacing w:line="276" w:lineRule="auto" w:after="40"/>
              <w:jc w:val="left"/>
            </w:pPr>
            <w:r>
              <w:rPr>
                <w:rFonts w:ascii="Times New Roman" w:hAnsi="Times New Roman" w:eastAsia="Times New Roman"/>
                <w:sz w:val="20"/>
              </w:rPr>
              <w:t>Weeks 8-13</w:t>
            </w:r>
          </w:p>
        </w:tc>
        <w:tc>
          <w:tcPr>
            <w:tcW w:type="dxa" w:w="2256"/>
            <w:vAlign w:val="center"/>
          </w:tcPr>
          <w:p>
            <w:pPr>
              <w:spacing w:line="276" w:lineRule="auto" w:after="40"/>
              <w:jc w:val="left"/>
            </w:pPr>
            <w:r>
              <w:rPr>
                <w:rFonts w:ascii="Times New Roman" w:hAnsi="Times New Roman" w:eastAsia="Times New Roman"/>
                <w:sz w:val="20"/>
              </w:rPr>
              <w:t>Dashboard-ready gold-layer marts</w:t>
            </w:r>
          </w:p>
        </w:tc>
      </w:tr>
      <w:tr>
        <w:tc>
          <w:tcPr>
            <w:tcW w:type="dxa" w:w="2256"/>
            <w:vAlign w:val="center"/>
          </w:tcPr>
          <w:p>
            <w:pPr>
              <w:spacing w:line="276" w:lineRule="auto" w:after="40"/>
              <w:jc w:val="left"/>
            </w:pPr>
            <w:r>
              <w:rPr>
                <w:rFonts w:ascii="Times New Roman" w:hAnsi="Times New Roman" w:eastAsia="Times New Roman"/>
                <w:sz w:val="20"/>
              </w:rPr>
              <w:t>Dashboard and decision support</w:t>
            </w:r>
          </w:p>
        </w:tc>
        <w:tc>
          <w:tcPr>
            <w:tcW w:type="dxa" w:w="2256"/>
            <w:vAlign w:val="center"/>
          </w:tcPr>
          <w:p>
            <w:pPr>
              <w:spacing w:line="276" w:lineRule="auto" w:after="40"/>
              <w:jc w:val="left"/>
            </w:pPr>
            <w:r>
              <w:rPr>
                <w:rFonts w:ascii="Times New Roman" w:hAnsi="Times New Roman" w:eastAsia="Times New Roman"/>
                <w:sz w:val="20"/>
              </w:rPr>
              <w:t>Build Superset dashboards and recommendation log outputs.</w:t>
            </w:r>
          </w:p>
        </w:tc>
        <w:tc>
          <w:tcPr>
            <w:tcW w:type="dxa" w:w="2256"/>
            <w:vAlign w:val="center"/>
          </w:tcPr>
          <w:p>
            <w:pPr>
              <w:spacing w:line="276" w:lineRule="auto" w:after="40"/>
              <w:jc w:val="left"/>
            </w:pPr>
            <w:r>
              <w:rPr>
                <w:rFonts w:ascii="Times New Roman" w:hAnsi="Times New Roman" w:eastAsia="Times New Roman"/>
                <w:sz w:val="20"/>
              </w:rPr>
              <w:t>Weeks 12-15</w:t>
            </w:r>
          </w:p>
        </w:tc>
        <w:tc>
          <w:tcPr>
            <w:tcW w:type="dxa" w:w="2256"/>
            <w:vAlign w:val="center"/>
          </w:tcPr>
          <w:p>
            <w:pPr>
              <w:spacing w:line="276" w:lineRule="auto" w:after="40"/>
              <w:jc w:val="left"/>
            </w:pPr>
            <w:r>
              <w:rPr>
                <w:rFonts w:ascii="Times New Roman" w:hAnsi="Times New Roman" w:eastAsia="Times New Roman"/>
                <w:sz w:val="20"/>
              </w:rPr>
              <w:t>Management dashboard prototype</w:t>
            </w:r>
          </w:p>
        </w:tc>
      </w:tr>
      <w:tr>
        <w:tc>
          <w:tcPr>
            <w:tcW w:type="dxa" w:w="2256"/>
            <w:vAlign w:val="center"/>
          </w:tcPr>
          <w:p>
            <w:pPr>
              <w:spacing w:line="276" w:lineRule="auto" w:after="40"/>
              <w:jc w:val="left"/>
            </w:pPr>
            <w:r>
              <w:rPr>
                <w:rFonts w:ascii="Times New Roman" w:hAnsi="Times New Roman" w:eastAsia="Times New Roman"/>
                <w:sz w:val="20"/>
              </w:rPr>
              <w:t>Testing and evaluation</w:t>
            </w:r>
          </w:p>
        </w:tc>
        <w:tc>
          <w:tcPr>
            <w:tcW w:type="dxa" w:w="2256"/>
            <w:vAlign w:val="center"/>
          </w:tcPr>
          <w:p>
            <w:pPr>
              <w:spacing w:line="276" w:lineRule="auto" w:after="40"/>
              <w:jc w:val="left"/>
            </w:pPr>
            <w:r>
              <w:rPr>
                <w:rFonts w:ascii="Times New Roman" w:hAnsi="Times New Roman" w:eastAsia="Times New Roman"/>
                <w:sz w:val="20"/>
              </w:rPr>
              <w:t>Run pipeline checks, dashboard verification, sample validation and company feedback.</w:t>
            </w:r>
          </w:p>
        </w:tc>
        <w:tc>
          <w:tcPr>
            <w:tcW w:type="dxa" w:w="2256"/>
            <w:vAlign w:val="center"/>
          </w:tcPr>
          <w:p>
            <w:pPr>
              <w:spacing w:line="276" w:lineRule="auto" w:after="40"/>
              <w:jc w:val="left"/>
            </w:pPr>
            <w:r>
              <w:rPr>
                <w:rFonts w:ascii="Times New Roman" w:hAnsi="Times New Roman" w:eastAsia="Times New Roman"/>
                <w:sz w:val="20"/>
              </w:rPr>
              <w:t>Weeks 15-17</w:t>
            </w:r>
          </w:p>
        </w:tc>
        <w:tc>
          <w:tcPr>
            <w:tcW w:type="dxa" w:w="2256"/>
            <w:vAlign w:val="center"/>
          </w:tcPr>
          <w:p>
            <w:pPr>
              <w:spacing w:line="276" w:lineRule="auto" w:after="40"/>
              <w:jc w:val="left"/>
            </w:pPr>
            <w:r>
              <w:rPr>
                <w:rFonts w:ascii="Times New Roman" w:hAnsi="Times New Roman" w:eastAsia="Times New Roman"/>
                <w:sz w:val="20"/>
              </w:rPr>
              <w:t>Evaluation results and improvement notes</w:t>
            </w:r>
          </w:p>
        </w:tc>
      </w:tr>
      <w:tr>
        <w:tc>
          <w:tcPr>
            <w:tcW w:type="dxa" w:w="2256"/>
            <w:vAlign w:val="center"/>
          </w:tcPr>
          <w:p>
            <w:pPr>
              <w:spacing w:line="276" w:lineRule="auto" w:after="40"/>
              <w:jc w:val="left"/>
            </w:pPr>
            <w:r>
              <w:rPr>
                <w:rFonts w:ascii="Times New Roman" w:hAnsi="Times New Roman" w:eastAsia="Times New Roman"/>
                <w:sz w:val="20"/>
              </w:rPr>
              <w:t>Final reporting</w:t>
            </w:r>
          </w:p>
        </w:tc>
        <w:tc>
          <w:tcPr>
            <w:tcW w:type="dxa" w:w="2256"/>
            <w:vAlign w:val="center"/>
          </w:tcPr>
          <w:p>
            <w:pPr>
              <w:spacing w:line="276" w:lineRule="auto" w:after="40"/>
              <w:jc w:val="left"/>
            </w:pPr>
            <w:r>
              <w:rPr>
                <w:rFonts w:ascii="Times New Roman" w:hAnsi="Times New Roman" w:eastAsia="Times New Roman"/>
                <w:sz w:val="20"/>
              </w:rPr>
              <w:t>Prepare CP2 report, presentation, demo flow, limitations and future work.</w:t>
            </w:r>
          </w:p>
        </w:tc>
        <w:tc>
          <w:tcPr>
            <w:tcW w:type="dxa" w:w="2256"/>
            <w:vAlign w:val="center"/>
          </w:tcPr>
          <w:p>
            <w:pPr>
              <w:spacing w:line="276" w:lineRule="auto" w:after="40"/>
              <w:jc w:val="left"/>
            </w:pPr>
            <w:r>
              <w:rPr>
                <w:rFonts w:ascii="Times New Roman" w:hAnsi="Times New Roman" w:eastAsia="Times New Roman"/>
                <w:sz w:val="20"/>
              </w:rPr>
              <w:t>Weeks 17-20</w:t>
            </w:r>
          </w:p>
        </w:tc>
        <w:tc>
          <w:tcPr>
            <w:tcW w:type="dxa" w:w="2256"/>
            <w:vAlign w:val="center"/>
          </w:tcPr>
          <w:p>
            <w:pPr>
              <w:spacing w:line="276" w:lineRule="auto" w:after="40"/>
              <w:jc w:val="left"/>
            </w:pPr>
            <w:r>
              <w:rPr>
                <w:rFonts w:ascii="Times New Roman" w:hAnsi="Times New Roman" w:eastAsia="Times New Roman"/>
                <w:sz w:val="20"/>
              </w:rPr>
              <w:t>Final capstone submission</w:t>
            </w:r>
          </w:p>
        </w:tc>
      </w:tr>
    </w:tbl>
    <w:p>
      <w:pPr>
        <w:spacing w:line="360" w:lineRule="auto" w:after="120"/>
        <w:jc w:val="both"/>
      </w:pPr>
      <w:r>
        <w:rPr>
          <w:rFonts w:ascii="Times New Roman" w:hAnsi="Times New Roman" w:eastAsia="Times New Roman"/>
          <w:i/>
          <w:sz w:val="24"/>
        </w:rPr>
        <w:t>Table 4.1: Summary of the proposed CP2 implementation timeline. The detailed editable chart is provided in Nomobug_CP1_CP2_Gantt_Chart.xlsx.</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72"/>
        <w:gridCol w:w="4320"/>
        <w:gridCol w:w="3424"/>
      </w:tblGrid>
      <w:tr w:rsidR="0084730D" w:rsidRPr="00335C63" w14:paraId="6405BD33" w14:textId="77777777" w:rsidTr="00997D20">
        <w:trPr>
          <w:cantSplit/>
          <w:tblHeader/>
          <w:jc w:val="center"/>
        </w:trPr>
        <w:tc>
          <w:tcPr>
            <w:tcW w:w="705" w:type="pct"/>
            <w:shd w:val="clear" w:color="auto" w:fill="E8F1FA"/>
            <w:tcMar>
              <w:top w:w="90" w:type="dxa"/>
              <w:left w:w="90" w:type="dxa"/>
              <w:bottom w:w="90" w:type="dxa"/>
              <w:right w:w="90" w:type="dxa"/>
            </w:tcMar>
            <w:vAlign w:val="center"/>
            <w:shd w:fill="DCEAF7"/>
          </w:tcPr>
          <w:p w14:paraId="3DC9512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Week</w:t>
            </w:r>
          </w:p>
        </w:tc>
        <w:tc>
          <w:tcPr>
            <w:tcW w:w="2396" w:type="pct"/>
            <w:shd w:val="clear" w:color="auto" w:fill="E8F1FA"/>
            <w:tcMar>
              <w:top w:w="90" w:type="dxa"/>
              <w:left w:w="90" w:type="dxa"/>
              <w:bottom w:w="90" w:type="dxa"/>
              <w:right w:w="90" w:type="dxa"/>
            </w:tcMar>
            <w:vAlign w:val="center"/>
            <w:shd w:fill="DCEAF7"/>
          </w:tcPr>
          <w:p w14:paraId="6F3A81A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Work Package</w:t>
            </w:r>
          </w:p>
        </w:tc>
        <w:tc>
          <w:tcPr>
            <w:tcW w:w="1899" w:type="pct"/>
            <w:shd w:val="clear" w:color="auto" w:fill="E8F1FA"/>
            <w:tcMar>
              <w:top w:w="90" w:type="dxa"/>
              <w:left w:w="90" w:type="dxa"/>
              <w:bottom w:w="90" w:type="dxa"/>
              <w:right w:w="90" w:type="dxa"/>
            </w:tcMar>
            <w:vAlign w:val="center"/>
            <w:shd w:fill="DCEAF7"/>
          </w:tcPr>
          <w:p w14:paraId="328CF0F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Deliverable</w:t>
            </w:r>
          </w:p>
        </w:tc>
      </w:tr>
      <w:tr w:rsidR="0084730D" w:rsidRPr="00335C63" w14:paraId="2CDE19D2" w14:textId="77777777" w:rsidTr="00997D20">
        <w:trPr>
          <w:cantSplit/>
          <w:jc w:val="center"/>
        </w:trPr>
        <w:tc>
          <w:tcPr>
            <w:tcW w:w="705" w:type="pct"/>
            <w:tcMar>
              <w:top w:w="90" w:type="dxa"/>
              <w:left w:w="90" w:type="dxa"/>
              <w:bottom w:w="90" w:type="dxa"/>
              <w:right w:w="90" w:type="dxa"/>
            </w:tcMar>
            <w:vAlign w:val="center"/>
          </w:tcPr>
          <w:p w14:paraId="4B383C9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1</w:t>
            </w:r>
          </w:p>
        </w:tc>
        <w:tc>
          <w:tcPr>
            <w:tcW w:w="2396" w:type="pct"/>
            <w:tcMar>
              <w:top w:w="90" w:type="dxa"/>
              <w:left w:w="90" w:type="dxa"/>
              <w:bottom w:w="90" w:type="dxa"/>
              <w:right w:w="90" w:type="dxa"/>
            </w:tcMar>
            <w:vAlign w:val="center"/>
          </w:tcPr>
          <w:p w14:paraId="47788E3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Confirm scope, finalise data sources, review rubric and supervisor feedback</w:t>
            </w:r>
          </w:p>
        </w:tc>
        <w:tc>
          <w:tcPr>
            <w:tcW w:w="1899" w:type="pct"/>
            <w:tcMar>
              <w:top w:w="90" w:type="dxa"/>
              <w:left w:w="90" w:type="dxa"/>
              <w:bottom w:w="90" w:type="dxa"/>
              <w:right w:w="90" w:type="dxa"/>
            </w:tcMar>
            <w:vAlign w:val="center"/>
          </w:tcPr>
          <w:p w14:paraId="76F4EAB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Approved project scope and data access checklist</w:t>
            </w:r>
          </w:p>
        </w:tc>
      </w:tr>
      <w:tr w:rsidR="0084730D" w:rsidRPr="00335C63" w14:paraId="1451E390" w14:textId="77777777" w:rsidTr="00997D20">
        <w:trPr>
          <w:cantSplit/>
          <w:jc w:val="center"/>
        </w:trPr>
        <w:tc>
          <w:tcPr>
            <w:tcW w:w="705" w:type="pct"/>
            <w:tcMar>
              <w:top w:w="90" w:type="dxa"/>
              <w:left w:w="90" w:type="dxa"/>
              <w:bottom w:w="90" w:type="dxa"/>
              <w:right w:w="90" w:type="dxa"/>
            </w:tcMar>
            <w:vAlign w:val="center"/>
          </w:tcPr>
          <w:p w14:paraId="5F9159F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2</w:t>
            </w:r>
          </w:p>
        </w:tc>
        <w:tc>
          <w:tcPr>
            <w:tcW w:w="2396" w:type="pct"/>
            <w:tcMar>
              <w:top w:w="90" w:type="dxa"/>
              <w:left w:w="90" w:type="dxa"/>
              <w:bottom w:w="90" w:type="dxa"/>
              <w:right w:w="90" w:type="dxa"/>
            </w:tcMar>
            <w:vAlign w:val="center"/>
          </w:tcPr>
          <w:p w14:paraId="6634456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profiling for Google Sheets, warranty records, refunds, services, payments, and calendar exports</w:t>
            </w:r>
          </w:p>
        </w:tc>
        <w:tc>
          <w:tcPr>
            <w:tcW w:w="1899" w:type="pct"/>
            <w:tcMar>
              <w:top w:w="90" w:type="dxa"/>
              <w:left w:w="90" w:type="dxa"/>
              <w:bottom w:w="90" w:type="dxa"/>
              <w:right w:w="90" w:type="dxa"/>
            </w:tcMar>
            <w:vAlign w:val="center"/>
          </w:tcPr>
          <w:p w14:paraId="7E58160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Data quality report</w:t>
            </w:r>
          </w:p>
        </w:tc>
      </w:tr>
      <w:tr w:rsidR="0084730D" w:rsidRPr="00335C63" w14:paraId="4E69EFA5" w14:textId="77777777" w:rsidTr="00997D20">
        <w:trPr>
          <w:cantSplit/>
          <w:jc w:val="center"/>
        </w:trPr>
        <w:tc>
          <w:tcPr>
            <w:tcW w:w="705" w:type="pct"/>
            <w:tcMar>
              <w:top w:w="90" w:type="dxa"/>
              <w:left w:w="90" w:type="dxa"/>
              <w:bottom w:w="90" w:type="dxa"/>
              <w:right w:w="90" w:type="dxa"/>
            </w:tcMar>
            <w:vAlign w:val="center"/>
          </w:tcPr>
          <w:p w14:paraId="2493B6B3" w14:textId="77777777" w:rsidR="00BB18A2" w:rsidRDefault="00000000">
            <w:pPr>
              <w:spacing w:line="276" w:lineRule="auto" w:after="40"/>
              <w:jc w:val="left"/>
            </w:pPr>
            <w:r>
              <w:rPr>
                <w:rFonts w:ascii="Times New Roman" w:hAnsi="Times New Roman" w:eastAsia="Times New Roman" w:cs="Times New Roman"/>
                <w:sz w:val="20"/>
              </w:rPr>
              <w:t>3</w:t>
            </w:r>
          </w:p>
        </w:tc>
        <w:tc>
          <w:tcPr>
            <w:tcW w:w="2396" w:type="pct"/>
            <w:tcMar>
              <w:top w:w="90" w:type="dxa"/>
              <w:left w:w="90" w:type="dxa"/>
              <w:bottom w:w="90" w:type="dxa"/>
              <w:right w:w="90" w:type="dxa"/>
            </w:tcMar>
            <w:vAlign w:val="center"/>
          </w:tcPr>
          <w:p w14:paraId="51D4AB05" w14:textId="77777777" w:rsidR="00BB18A2" w:rsidRDefault="00000000">
            <w:pPr>
              <w:spacing w:line="276" w:lineRule="auto" w:after="40"/>
              <w:jc w:val="left"/>
            </w:pPr>
            <w:r>
              <w:rPr>
                <w:rFonts w:ascii="Times New Roman" w:hAnsi="Times New Roman" w:eastAsia="Times New Roman"/>
                <w:sz w:val="20"/>
              </w:rPr>
              <w:t>Design layered analytics storage, transformation model layers, table relationships, matching keys, anonymised views, and recommendation log</w:t>
            </w:r>
          </w:p>
        </w:tc>
        <w:tc>
          <w:tcPr>
            <w:tcW w:w="1899" w:type="pct"/>
            <w:tcMar>
              <w:top w:w="90" w:type="dxa"/>
              <w:left w:w="90" w:type="dxa"/>
              <w:bottom w:w="90" w:type="dxa"/>
              <w:right w:w="90" w:type="dxa"/>
            </w:tcMar>
            <w:vAlign w:val="center"/>
          </w:tcPr>
          <w:p w14:paraId="66B1CF48" w14:textId="77777777" w:rsidR="00BB18A2" w:rsidRDefault="00000000">
            <w:pPr>
              <w:spacing w:line="276" w:lineRule="auto" w:after="40"/>
              <w:jc w:val="left"/>
            </w:pPr>
            <w:r>
              <w:rPr>
                <w:rFonts w:ascii="Times New Roman" w:hAnsi="Times New Roman" w:eastAsia="Times New Roman"/>
                <w:sz w:val="20"/>
              </w:rPr>
              <w:t>Analytics storage and transformation design document</w:t>
            </w:r>
          </w:p>
        </w:tc>
      </w:tr>
      <w:tr w:rsidR="0084730D" w:rsidRPr="00335C63" w14:paraId="06523649" w14:textId="77777777" w:rsidTr="00997D20">
        <w:trPr>
          <w:cantSplit/>
          <w:jc w:val="center"/>
        </w:trPr>
        <w:tc>
          <w:tcPr>
            <w:tcW w:w="705" w:type="pct"/>
            <w:tcMar>
              <w:top w:w="90" w:type="dxa"/>
              <w:left w:w="90" w:type="dxa"/>
              <w:bottom w:w="90" w:type="dxa"/>
              <w:right w:w="90" w:type="dxa"/>
            </w:tcMar>
            <w:vAlign w:val="center"/>
          </w:tcPr>
          <w:p w14:paraId="511B7BC2" w14:textId="77777777" w:rsidR="00BB18A2" w:rsidRDefault="00000000">
            <w:pPr>
              <w:spacing w:line="276" w:lineRule="auto" w:after="40"/>
              <w:jc w:val="left"/>
            </w:pPr>
            <w:r>
              <w:rPr>
                <w:rFonts w:ascii="Times New Roman" w:hAnsi="Times New Roman" w:eastAsia="Times New Roman" w:cs="Times New Roman"/>
                <w:sz w:val="20"/>
              </w:rPr>
              <w:lastRenderedPageBreak/>
              <w:t>4</w:t>
            </w:r>
          </w:p>
        </w:tc>
        <w:tc>
          <w:tcPr>
            <w:tcW w:w="2396" w:type="pct"/>
            <w:tcMar>
              <w:top w:w="90" w:type="dxa"/>
              <w:left w:w="90" w:type="dxa"/>
              <w:bottom w:w="90" w:type="dxa"/>
              <w:right w:w="90" w:type="dxa"/>
            </w:tcMar>
            <w:vAlign w:val="center"/>
          </w:tcPr>
          <w:p w14:paraId="2667B41E" w14:textId="77777777" w:rsidR="00BB18A2" w:rsidRDefault="00000000">
            <w:pPr>
              <w:spacing w:line="276" w:lineRule="auto" w:after="40"/>
              <w:jc w:val="left"/>
            </w:pPr>
            <w:r>
              <w:rPr>
                <w:rFonts w:ascii="Times New Roman" w:hAnsi="Times New Roman" w:eastAsia="Times New Roman" w:cs="Times New Roman"/>
                <w:sz w:val="20"/>
              </w:rPr>
              <w:t>Build Python extraction/load scripts, flexible data contracts, validation flags, and Bronze raw loading</w:t>
            </w:r>
          </w:p>
        </w:tc>
        <w:tc>
          <w:tcPr>
            <w:tcW w:w="1899" w:type="pct"/>
            <w:tcMar>
              <w:top w:w="90" w:type="dxa"/>
              <w:left w:w="90" w:type="dxa"/>
              <w:bottom w:w="90" w:type="dxa"/>
              <w:right w:w="90" w:type="dxa"/>
            </w:tcMar>
            <w:vAlign w:val="center"/>
          </w:tcPr>
          <w:p w14:paraId="7375B94A" w14:textId="77777777" w:rsidR="00BB18A2" w:rsidRDefault="00000000">
            <w:pPr>
              <w:spacing w:line="276" w:lineRule="auto" w:after="40"/>
              <w:jc w:val="left"/>
            </w:pPr>
            <w:r>
              <w:rPr>
                <w:rFonts w:ascii="Times New Roman" w:hAnsi="Times New Roman" w:eastAsia="Times New Roman" w:cs="Times New Roman"/>
                <w:sz w:val="20"/>
              </w:rPr>
              <w:t>Bronze loading pipeline and source quality report</w:t>
            </w:r>
          </w:p>
        </w:tc>
      </w:tr>
      <w:tr w:rsidR="0084730D" w:rsidRPr="00335C63" w14:paraId="7B0C7647" w14:textId="77777777" w:rsidTr="00997D20">
        <w:trPr>
          <w:cantSplit/>
          <w:jc w:val="center"/>
        </w:trPr>
        <w:tc>
          <w:tcPr>
            <w:tcW w:w="705" w:type="pct"/>
            <w:tcMar>
              <w:top w:w="90" w:type="dxa"/>
              <w:left w:w="90" w:type="dxa"/>
              <w:bottom w:w="90" w:type="dxa"/>
              <w:right w:w="90" w:type="dxa"/>
            </w:tcMar>
            <w:vAlign w:val="center"/>
          </w:tcPr>
          <w:p w14:paraId="1AF93F4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5</w:t>
            </w:r>
          </w:p>
        </w:tc>
        <w:tc>
          <w:tcPr>
            <w:tcW w:w="2396" w:type="pct"/>
            <w:tcMar>
              <w:top w:w="90" w:type="dxa"/>
              <w:left w:w="90" w:type="dxa"/>
              <w:bottom w:w="90" w:type="dxa"/>
              <w:right w:w="90" w:type="dxa"/>
            </w:tcMar>
            <w:vAlign w:val="center"/>
          </w:tcPr>
          <w:p w14:paraId="66FE29F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Implement area/postcode lookup, weather enrichment features, and weather coverage reporting</w:t>
            </w:r>
          </w:p>
        </w:tc>
        <w:tc>
          <w:tcPr>
            <w:tcW w:w="1899" w:type="pct"/>
            <w:tcMar>
              <w:top w:w="90" w:type="dxa"/>
              <w:left w:w="90" w:type="dxa"/>
              <w:bottom w:w="90" w:type="dxa"/>
              <w:right w:w="90" w:type="dxa"/>
            </w:tcMar>
            <w:vAlign w:val="center"/>
          </w:tcPr>
          <w:p w14:paraId="3F9CBD0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Weather-enriched service table</w:t>
            </w:r>
          </w:p>
        </w:tc>
      </w:tr>
      <w:tr w:rsidR="0084730D" w:rsidRPr="00335C63" w14:paraId="325260FC" w14:textId="77777777" w:rsidTr="00997D20">
        <w:trPr>
          <w:cantSplit/>
          <w:jc w:val="center"/>
        </w:trPr>
        <w:tc>
          <w:tcPr>
            <w:tcW w:w="705" w:type="pct"/>
            <w:tcMar>
              <w:top w:w="90" w:type="dxa"/>
              <w:left w:w="90" w:type="dxa"/>
              <w:bottom w:w="90" w:type="dxa"/>
              <w:right w:w="90" w:type="dxa"/>
            </w:tcMar>
            <w:vAlign w:val="center"/>
          </w:tcPr>
          <w:p w14:paraId="28227F99" w14:textId="77777777" w:rsidR="00BB18A2" w:rsidRDefault="00000000">
            <w:pPr>
              <w:spacing w:line="276" w:lineRule="auto" w:after="40"/>
              <w:jc w:val="left"/>
            </w:pPr>
            <w:r>
              <w:rPr>
                <w:rFonts w:ascii="Times New Roman" w:hAnsi="Times New Roman" w:eastAsia="Times New Roman" w:cs="Times New Roman"/>
                <w:sz w:val="20"/>
              </w:rPr>
              <w:t>6</w:t>
            </w:r>
          </w:p>
        </w:tc>
        <w:tc>
          <w:tcPr>
            <w:tcW w:w="2396" w:type="pct"/>
            <w:tcMar>
              <w:top w:w="90" w:type="dxa"/>
              <w:left w:w="90" w:type="dxa"/>
              <w:bottom w:w="90" w:type="dxa"/>
              <w:right w:w="90" w:type="dxa"/>
            </w:tcMar>
            <w:vAlign w:val="center"/>
          </w:tcPr>
          <w:p w14:paraId="4E85E985" w14:textId="77777777" w:rsidR="00BB18A2" w:rsidRDefault="00000000">
            <w:pPr>
              <w:spacing w:line="276" w:lineRule="auto" w:after="40"/>
              <w:jc w:val="left"/>
            </w:pPr>
            <w:r>
              <w:rPr>
                <w:rFonts w:ascii="Times New Roman" w:hAnsi="Times New Roman" w:eastAsia="Times New Roman" w:cs="Times New Roman"/>
                <w:sz w:val="20"/>
              </w:rPr>
              <w:t>Build dbt staging, fact, dimension, and core descriptive marts for service, sales, warranty, refund, and scheduling</w:t>
            </w:r>
          </w:p>
        </w:tc>
        <w:tc>
          <w:tcPr>
            <w:tcW w:w="1899" w:type="pct"/>
            <w:tcMar>
              <w:top w:w="90" w:type="dxa"/>
              <w:left w:w="90" w:type="dxa"/>
              <w:bottom w:w="90" w:type="dxa"/>
              <w:right w:w="90" w:type="dxa"/>
            </w:tcMar>
            <w:vAlign w:val="center"/>
          </w:tcPr>
          <w:p w14:paraId="025C8476" w14:textId="77777777" w:rsidR="00BB18A2" w:rsidRDefault="00000000">
            <w:pPr>
              <w:spacing w:line="276" w:lineRule="auto" w:after="40"/>
              <w:jc w:val="left"/>
            </w:pPr>
            <w:r>
              <w:rPr>
                <w:rFonts w:ascii="Times New Roman" w:hAnsi="Times New Roman" w:eastAsia="Times New Roman" w:cs="Times New Roman"/>
                <w:sz w:val="20"/>
              </w:rPr>
              <w:t>Silver tables and core Gold marts</w:t>
            </w:r>
          </w:p>
        </w:tc>
      </w:tr>
      <w:tr w:rsidR="0084730D" w:rsidRPr="00335C63" w14:paraId="78F2A772" w14:textId="77777777" w:rsidTr="00997D20">
        <w:trPr>
          <w:cantSplit/>
          <w:jc w:val="center"/>
        </w:trPr>
        <w:tc>
          <w:tcPr>
            <w:tcW w:w="705" w:type="pct"/>
            <w:tcMar>
              <w:top w:w="90" w:type="dxa"/>
              <w:left w:w="90" w:type="dxa"/>
              <w:bottom w:w="90" w:type="dxa"/>
              <w:right w:w="90" w:type="dxa"/>
            </w:tcMar>
            <w:vAlign w:val="center"/>
          </w:tcPr>
          <w:p w14:paraId="1D5F6D4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7</w:t>
            </w:r>
          </w:p>
        </w:tc>
        <w:tc>
          <w:tcPr>
            <w:tcW w:w="2396" w:type="pct"/>
            <w:tcMar>
              <w:top w:w="90" w:type="dxa"/>
              <w:left w:w="90" w:type="dxa"/>
              <w:bottom w:w="90" w:type="dxa"/>
              <w:right w:w="90" w:type="dxa"/>
            </w:tcMar>
            <w:vAlign w:val="center"/>
          </w:tcPr>
          <w:p w14:paraId="70F0237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Develop treatment difficulty, recurrence window, and warranty factor analytics</w:t>
            </w:r>
          </w:p>
        </w:tc>
        <w:tc>
          <w:tcPr>
            <w:tcW w:w="1899" w:type="pct"/>
            <w:tcMar>
              <w:top w:w="90" w:type="dxa"/>
              <w:left w:w="90" w:type="dxa"/>
              <w:bottom w:w="90" w:type="dxa"/>
              <w:right w:w="90" w:type="dxa"/>
            </w:tcMar>
            <w:vAlign w:val="center"/>
          </w:tcPr>
          <w:p w14:paraId="478CA06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Quality and recurrence marts</w:t>
            </w:r>
          </w:p>
        </w:tc>
      </w:tr>
      <w:tr w:rsidR="0084730D" w:rsidRPr="00335C63" w14:paraId="5D500FD8" w14:textId="77777777" w:rsidTr="00997D20">
        <w:trPr>
          <w:cantSplit/>
          <w:jc w:val="center"/>
        </w:trPr>
        <w:tc>
          <w:tcPr>
            <w:tcW w:w="705" w:type="pct"/>
            <w:tcMar>
              <w:top w:w="90" w:type="dxa"/>
              <w:left w:w="90" w:type="dxa"/>
              <w:bottom w:w="90" w:type="dxa"/>
              <w:right w:w="90" w:type="dxa"/>
            </w:tcMar>
            <w:vAlign w:val="center"/>
          </w:tcPr>
          <w:p w14:paraId="100EAF5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8</w:t>
            </w:r>
          </w:p>
        </w:tc>
        <w:tc>
          <w:tcPr>
            <w:tcW w:w="2396" w:type="pct"/>
            <w:tcMar>
              <w:top w:w="90" w:type="dxa"/>
              <w:left w:w="90" w:type="dxa"/>
              <w:bottom w:w="90" w:type="dxa"/>
              <w:right w:w="90" w:type="dxa"/>
            </w:tcMar>
            <w:vAlign w:val="center"/>
          </w:tcPr>
          <w:p w14:paraId="1E683CF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Develop DBSCAN hotspot detection and KDE map-ready outputs</w:t>
            </w:r>
          </w:p>
        </w:tc>
        <w:tc>
          <w:tcPr>
            <w:tcW w:w="1899" w:type="pct"/>
            <w:tcMar>
              <w:top w:w="90" w:type="dxa"/>
              <w:left w:w="90" w:type="dxa"/>
              <w:bottom w:w="90" w:type="dxa"/>
              <w:right w:w="90" w:type="dxa"/>
            </w:tcMar>
            <w:vAlign w:val="center"/>
          </w:tcPr>
          <w:p w14:paraId="1FF6E23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Hotspot output table</w:t>
            </w:r>
          </w:p>
        </w:tc>
      </w:tr>
      <w:tr w:rsidR="0084730D" w:rsidRPr="00335C63" w14:paraId="1A71B322" w14:textId="77777777" w:rsidTr="00997D20">
        <w:trPr>
          <w:cantSplit/>
          <w:jc w:val="center"/>
        </w:trPr>
        <w:tc>
          <w:tcPr>
            <w:tcW w:w="705" w:type="pct"/>
            <w:tcMar>
              <w:top w:w="90" w:type="dxa"/>
              <w:left w:w="90" w:type="dxa"/>
              <w:bottom w:w="90" w:type="dxa"/>
              <w:right w:w="90" w:type="dxa"/>
            </w:tcMar>
            <w:vAlign w:val="center"/>
          </w:tcPr>
          <w:p w14:paraId="637CCB73"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9</w:t>
            </w:r>
          </w:p>
        </w:tc>
        <w:tc>
          <w:tcPr>
            <w:tcW w:w="2396" w:type="pct"/>
            <w:tcMar>
              <w:top w:w="90" w:type="dxa"/>
              <w:left w:w="90" w:type="dxa"/>
              <w:bottom w:w="90" w:type="dxa"/>
              <w:right w:w="90" w:type="dxa"/>
            </w:tcMar>
            <w:vAlign w:val="center"/>
          </w:tcPr>
          <w:p w14:paraId="4595EFE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Develop upsell package effectiveness, package-fit, window performance analytics, and recommendation log outputs</w:t>
            </w:r>
          </w:p>
        </w:tc>
        <w:tc>
          <w:tcPr>
            <w:tcW w:w="1899" w:type="pct"/>
            <w:tcMar>
              <w:top w:w="90" w:type="dxa"/>
              <w:left w:w="90" w:type="dxa"/>
              <w:bottom w:w="90" w:type="dxa"/>
              <w:right w:w="90" w:type="dxa"/>
            </w:tcMar>
            <w:vAlign w:val="center"/>
          </w:tcPr>
          <w:p w14:paraId="2420D3F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Upsell intelligence and recommendation marts</w:t>
            </w:r>
          </w:p>
        </w:tc>
      </w:tr>
      <w:tr w:rsidR="0084730D" w:rsidRPr="00335C63" w14:paraId="13CC63E7" w14:textId="77777777" w:rsidTr="00997D20">
        <w:trPr>
          <w:cantSplit/>
          <w:jc w:val="center"/>
        </w:trPr>
        <w:tc>
          <w:tcPr>
            <w:tcW w:w="705" w:type="pct"/>
            <w:tcMar>
              <w:top w:w="90" w:type="dxa"/>
              <w:left w:w="90" w:type="dxa"/>
              <w:bottom w:w="90" w:type="dxa"/>
              <w:right w:w="90" w:type="dxa"/>
            </w:tcMar>
            <w:vAlign w:val="center"/>
          </w:tcPr>
          <w:p w14:paraId="16F1DC7F" w14:textId="77777777" w:rsidR="00BB18A2" w:rsidRDefault="00000000">
            <w:pPr>
              <w:spacing w:line="276" w:lineRule="auto" w:after="40"/>
              <w:jc w:val="left"/>
            </w:pPr>
            <w:r>
              <w:rPr>
                <w:rFonts w:ascii="Times New Roman" w:hAnsi="Times New Roman" w:eastAsia="Times New Roman" w:cs="Times New Roman"/>
                <w:sz w:val="20"/>
              </w:rPr>
              <w:t>10</w:t>
            </w:r>
          </w:p>
        </w:tc>
        <w:tc>
          <w:tcPr>
            <w:tcW w:w="2396" w:type="pct"/>
            <w:tcMar>
              <w:top w:w="90" w:type="dxa"/>
              <w:left w:w="90" w:type="dxa"/>
              <w:bottom w:w="90" w:type="dxa"/>
              <w:right w:w="90" w:type="dxa"/>
            </w:tcMar>
            <w:vAlign w:val="center"/>
          </w:tcPr>
          <w:p w14:paraId="57A4B001" w14:textId="77777777" w:rsidR="00BB18A2" w:rsidRDefault="00000000">
            <w:pPr>
              <w:spacing w:line="276" w:lineRule="auto" w:after="40"/>
              <w:jc w:val="left"/>
            </w:pPr>
            <w:r>
              <w:rPr>
                <w:rFonts w:ascii="Times New Roman" w:hAnsi="Times New Roman" w:eastAsia="Times New Roman"/>
                <w:sz w:val="20"/>
              </w:rPr>
              <w:t>Create a scheduled workflow to orchestrate extraction, loading, transformation/testing, weather enrichment, and refresh logging</w:t>
            </w:r>
          </w:p>
        </w:tc>
        <w:tc>
          <w:tcPr>
            <w:tcW w:w="1899" w:type="pct"/>
            <w:tcMar>
              <w:top w:w="90" w:type="dxa"/>
              <w:left w:w="90" w:type="dxa"/>
              <w:bottom w:w="90" w:type="dxa"/>
              <w:right w:w="90" w:type="dxa"/>
            </w:tcMar>
            <w:vAlign w:val="center"/>
          </w:tcPr>
          <w:p w14:paraId="6400F538" w14:textId="77777777" w:rsidR="00BB18A2" w:rsidRDefault="00000000">
            <w:pPr>
              <w:spacing w:line="276" w:lineRule="auto" w:after="40"/>
              <w:jc w:val="left"/>
            </w:pPr>
            <w:r>
              <w:rPr>
                <w:rFonts w:ascii="Times New Roman" w:hAnsi="Times New Roman" w:eastAsia="Times New Roman"/>
                <w:sz w:val="20"/>
              </w:rPr>
              <w:t>Scheduled ELT prototype</w:t>
            </w:r>
          </w:p>
        </w:tc>
      </w:tr>
      <w:tr w:rsidR="0084730D" w:rsidRPr="00335C63" w14:paraId="0CBC07E1" w14:textId="77777777" w:rsidTr="00997D20">
        <w:trPr>
          <w:cantSplit/>
          <w:jc w:val="center"/>
        </w:trPr>
        <w:tc>
          <w:tcPr>
            <w:tcW w:w="705" w:type="pct"/>
            <w:tcMar>
              <w:top w:w="90" w:type="dxa"/>
              <w:left w:w="90" w:type="dxa"/>
              <w:bottom w:w="90" w:type="dxa"/>
              <w:right w:w="90" w:type="dxa"/>
            </w:tcMar>
            <w:vAlign w:val="center"/>
          </w:tcPr>
          <w:p w14:paraId="23214061" w14:textId="77777777" w:rsidR="00BB18A2" w:rsidRDefault="00000000">
            <w:pPr>
              <w:spacing w:line="276" w:lineRule="auto" w:after="40"/>
              <w:jc w:val="left"/>
            </w:pPr>
            <w:r>
              <w:rPr>
                <w:rFonts w:ascii="Times New Roman" w:hAnsi="Times New Roman" w:eastAsia="Times New Roman" w:cs="Times New Roman"/>
                <w:sz w:val="20"/>
              </w:rPr>
              <w:t>11</w:t>
            </w:r>
          </w:p>
        </w:tc>
        <w:tc>
          <w:tcPr>
            <w:tcW w:w="2396" w:type="pct"/>
            <w:tcMar>
              <w:top w:w="90" w:type="dxa"/>
              <w:left w:w="90" w:type="dxa"/>
              <w:bottom w:w="90" w:type="dxa"/>
              <w:right w:w="90" w:type="dxa"/>
            </w:tcMar>
            <w:vAlign w:val="center"/>
          </w:tcPr>
          <w:p w14:paraId="4DAF8A33" w14:textId="77777777" w:rsidR="00BB18A2" w:rsidRDefault="00000000">
            <w:pPr>
              <w:spacing w:line="276" w:lineRule="auto" w:after="40"/>
              <w:jc w:val="left"/>
            </w:pPr>
            <w:r>
              <w:rPr>
                <w:rFonts w:ascii="Times New Roman" w:hAnsi="Times New Roman" w:eastAsia="Times New Roman"/>
                <w:sz w:val="20"/>
              </w:rPr>
              <w:t>Connect the selected BI tool to dashboard-ready marts and build first dashboard pages</w:t>
            </w:r>
          </w:p>
        </w:tc>
        <w:tc>
          <w:tcPr>
            <w:tcW w:w="1899" w:type="pct"/>
            <w:tcMar>
              <w:top w:w="90" w:type="dxa"/>
              <w:left w:w="90" w:type="dxa"/>
              <w:bottom w:w="90" w:type="dxa"/>
              <w:right w:w="90" w:type="dxa"/>
            </w:tcMar>
            <w:vAlign w:val="center"/>
          </w:tcPr>
          <w:p w14:paraId="6255B2DF" w14:textId="77777777" w:rsidR="00BB18A2" w:rsidRDefault="00000000">
            <w:pPr>
              <w:spacing w:line="276" w:lineRule="auto" w:after="40"/>
              <w:jc w:val="left"/>
            </w:pPr>
            <w:r>
              <w:rPr>
                <w:rFonts w:ascii="Times New Roman" w:hAnsi="Times New Roman" w:eastAsia="Times New Roman"/>
                <w:sz w:val="20"/>
              </w:rPr>
              <w:t>Dashboard prototype v1</w:t>
            </w:r>
          </w:p>
        </w:tc>
      </w:tr>
      <w:tr w:rsidR="0084730D" w:rsidRPr="00335C63" w14:paraId="00F50213" w14:textId="77777777" w:rsidTr="00997D20">
        <w:trPr>
          <w:cantSplit/>
          <w:jc w:val="center"/>
        </w:trPr>
        <w:tc>
          <w:tcPr>
            <w:tcW w:w="705" w:type="pct"/>
            <w:tcMar>
              <w:top w:w="90" w:type="dxa"/>
              <w:left w:w="90" w:type="dxa"/>
              <w:bottom w:w="90" w:type="dxa"/>
              <w:right w:w="90" w:type="dxa"/>
            </w:tcMar>
            <w:vAlign w:val="center"/>
          </w:tcPr>
          <w:p w14:paraId="248707AD" w14:textId="77777777" w:rsidR="00BB18A2" w:rsidRDefault="00000000">
            <w:pPr>
              <w:spacing w:line="276" w:lineRule="auto" w:after="40"/>
              <w:jc w:val="left"/>
            </w:pPr>
            <w:r>
              <w:rPr>
                <w:rFonts w:ascii="Times New Roman" w:hAnsi="Times New Roman" w:eastAsia="Times New Roman" w:cs="Times New Roman"/>
                <w:sz w:val="20"/>
              </w:rPr>
              <w:t>12</w:t>
            </w:r>
          </w:p>
        </w:tc>
        <w:tc>
          <w:tcPr>
            <w:tcW w:w="2396" w:type="pct"/>
            <w:tcMar>
              <w:top w:w="90" w:type="dxa"/>
              <w:left w:w="90" w:type="dxa"/>
              <w:bottom w:w="90" w:type="dxa"/>
              <w:right w:w="90" w:type="dxa"/>
            </w:tcMar>
            <w:vAlign w:val="center"/>
          </w:tcPr>
          <w:p w14:paraId="6B3E2F84" w14:textId="77777777" w:rsidR="00BB18A2" w:rsidRDefault="00000000">
            <w:pPr>
              <w:spacing w:line="276" w:lineRule="auto" w:after="40"/>
              <w:jc w:val="left"/>
            </w:pPr>
            <w:r>
              <w:rPr>
                <w:rFonts w:ascii="Times New Roman" w:hAnsi="Times New Roman" w:eastAsia="Times New Roman" w:cs="Times New Roman"/>
                <w:sz w:val="20"/>
              </w:rPr>
              <w:t>Refine filters, maps, data quality views, pipeline status, rankings, and recommendations with company feedback</w:t>
            </w:r>
          </w:p>
        </w:tc>
        <w:tc>
          <w:tcPr>
            <w:tcW w:w="1899" w:type="pct"/>
            <w:tcMar>
              <w:top w:w="90" w:type="dxa"/>
              <w:left w:w="90" w:type="dxa"/>
              <w:bottom w:w="90" w:type="dxa"/>
              <w:right w:w="90" w:type="dxa"/>
            </w:tcMar>
            <w:vAlign w:val="center"/>
          </w:tcPr>
          <w:p w14:paraId="4BB1D995" w14:textId="77777777" w:rsidR="00BB18A2" w:rsidRDefault="00000000">
            <w:pPr>
              <w:spacing w:line="276" w:lineRule="auto" w:after="40"/>
              <w:jc w:val="left"/>
            </w:pPr>
            <w:r>
              <w:rPr>
                <w:rFonts w:ascii="Times New Roman" w:hAnsi="Times New Roman" w:eastAsia="Times New Roman" w:cs="Times New Roman"/>
                <w:sz w:val="20"/>
              </w:rPr>
              <w:t>Dashboard prototype v2 and pipeline status view</w:t>
            </w:r>
          </w:p>
        </w:tc>
      </w:tr>
      <w:tr w:rsidR="0084730D" w:rsidRPr="00335C63" w14:paraId="49BB36F4" w14:textId="77777777" w:rsidTr="00997D20">
        <w:trPr>
          <w:cantSplit/>
          <w:jc w:val="center"/>
        </w:trPr>
        <w:tc>
          <w:tcPr>
            <w:tcW w:w="705" w:type="pct"/>
            <w:tcMar>
              <w:top w:w="90" w:type="dxa"/>
              <w:left w:w="90" w:type="dxa"/>
              <w:bottom w:w="90" w:type="dxa"/>
              <w:right w:w="90" w:type="dxa"/>
            </w:tcMar>
            <w:vAlign w:val="center"/>
          </w:tcPr>
          <w:p w14:paraId="525D3751" w14:textId="77777777" w:rsidR="00BB18A2" w:rsidRDefault="00000000">
            <w:pPr>
              <w:spacing w:line="276" w:lineRule="auto" w:after="40"/>
              <w:jc w:val="left"/>
            </w:pPr>
            <w:r>
              <w:rPr>
                <w:rFonts w:ascii="Times New Roman" w:hAnsi="Times New Roman" w:eastAsia="Times New Roman" w:cs="Times New Roman"/>
                <w:sz w:val="20"/>
              </w:rPr>
              <w:t>13</w:t>
            </w:r>
          </w:p>
        </w:tc>
        <w:tc>
          <w:tcPr>
            <w:tcW w:w="2396" w:type="pct"/>
            <w:tcMar>
              <w:top w:w="90" w:type="dxa"/>
              <w:left w:w="90" w:type="dxa"/>
              <w:bottom w:w="90" w:type="dxa"/>
              <w:right w:w="90" w:type="dxa"/>
            </w:tcMar>
            <w:vAlign w:val="center"/>
          </w:tcPr>
          <w:p w14:paraId="5D2002E8" w14:textId="77777777" w:rsidR="00BB18A2" w:rsidRDefault="00000000">
            <w:pPr>
              <w:spacing w:line="276" w:lineRule="auto" w:after="40"/>
              <w:jc w:val="left"/>
            </w:pPr>
            <w:r>
              <w:rPr>
                <w:rFonts w:ascii="Times New Roman" w:hAnsi="Times New Roman" w:eastAsia="Times New Roman" w:cs="Times New Roman"/>
                <w:sz w:val="20"/>
              </w:rPr>
              <w:t>Evaluate dashboard and pipeline against manual spreadsheet answers, dbt test results, and refresh logs</w:t>
            </w:r>
          </w:p>
        </w:tc>
        <w:tc>
          <w:tcPr>
            <w:tcW w:w="1899" w:type="pct"/>
            <w:tcMar>
              <w:top w:w="90" w:type="dxa"/>
              <w:left w:w="90" w:type="dxa"/>
              <w:bottom w:w="90" w:type="dxa"/>
              <w:right w:w="90" w:type="dxa"/>
            </w:tcMar>
            <w:vAlign w:val="center"/>
          </w:tcPr>
          <w:p w14:paraId="301C537A" w14:textId="77777777" w:rsidR="00BB18A2" w:rsidRDefault="00000000">
            <w:pPr>
              <w:spacing w:line="276" w:lineRule="auto" w:after="40"/>
              <w:jc w:val="left"/>
            </w:pPr>
            <w:r>
              <w:rPr>
                <w:rFonts w:ascii="Times New Roman" w:hAnsi="Times New Roman" w:eastAsia="Times New Roman" w:cs="Times New Roman"/>
                <w:sz w:val="20"/>
              </w:rPr>
              <w:t>Evaluation report draft</w:t>
            </w:r>
          </w:p>
        </w:tc>
      </w:tr>
      <w:tr w:rsidR="0084730D" w:rsidRPr="00335C63" w14:paraId="739E1980" w14:textId="77777777" w:rsidTr="00997D20">
        <w:trPr>
          <w:cantSplit/>
          <w:jc w:val="center"/>
        </w:trPr>
        <w:tc>
          <w:tcPr>
            <w:tcW w:w="705" w:type="pct"/>
            <w:tcMar>
              <w:top w:w="90" w:type="dxa"/>
              <w:left w:w="90" w:type="dxa"/>
              <w:bottom w:w="90" w:type="dxa"/>
              <w:right w:w="90" w:type="dxa"/>
            </w:tcMar>
            <w:vAlign w:val="center"/>
          </w:tcPr>
          <w:p w14:paraId="2E37FAFE" w14:textId="77777777" w:rsidR="00BB18A2" w:rsidRDefault="00000000">
            <w:pPr>
              <w:spacing w:line="276" w:lineRule="auto" w:after="40"/>
              <w:jc w:val="left"/>
            </w:pPr>
            <w:r>
              <w:rPr>
                <w:rFonts w:ascii="Times New Roman" w:hAnsi="Times New Roman" w:eastAsia="Times New Roman" w:cs="Times New Roman"/>
                <w:sz w:val="20"/>
              </w:rPr>
              <w:t>14</w:t>
            </w:r>
          </w:p>
        </w:tc>
        <w:tc>
          <w:tcPr>
            <w:tcW w:w="2396" w:type="pct"/>
            <w:tcMar>
              <w:top w:w="90" w:type="dxa"/>
              <w:left w:w="90" w:type="dxa"/>
              <w:bottom w:w="90" w:type="dxa"/>
              <w:right w:w="90" w:type="dxa"/>
            </w:tcMar>
            <w:vAlign w:val="center"/>
          </w:tcPr>
          <w:p w14:paraId="34A4BFA3" w14:textId="77777777" w:rsidR="00BB18A2" w:rsidRDefault="00000000">
            <w:pPr>
              <w:spacing w:line="276" w:lineRule="auto" w:after="40"/>
              <w:jc w:val="left"/>
            </w:pPr>
            <w:r>
              <w:rPr>
                <w:rFonts w:ascii="Times New Roman" w:hAnsi="Times New Roman" w:eastAsia="Times New Roman" w:cs="Times New Roman"/>
                <w:sz w:val="20"/>
              </w:rPr>
              <w:t>Prepare final report, screenshots, architecture diagram, Airflow DAG view, dbt lineage graph, and viva explanation</w:t>
            </w:r>
          </w:p>
        </w:tc>
        <w:tc>
          <w:tcPr>
            <w:tcW w:w="1899" w:type="pct"/>
            <w:tcMar>
              <w:top w:w="90" w:type="dxa"/>
              <w:left w:w="90" w:type="dxa"/>
              <w:bottom w:w="90" w:type="dxa"/>
              <w:right w:w="90" w:type="dxa"/>
            </w:tcMar>
            <w:vAlign w:val="center"/>
          </w:tcPr>
          <w:p w14:paraId="2F589021" w14:textId="77777777" w:rsidR="00BB18A2" w:rsidRDefault="00000000">
            <w:pPr>
              <w:spacing w:line="276" w:lineRule="auto" w:after="40"/>
              <w:jc w:val="left"/>
            </w:pPr>
            <w:r>
              <w:rPr>
                <w:rFonts w:ascii="Times New Roman" w:hAnsi="Times New Roman" w:eastAsia="Times New Roman" w:cs="Times New Roman"/>
                <w:sz w:val="20"/>
              </w:rPr>
              <w:t>Final project submission</w:t>
            </w:r>
          </w:p>
        </w:tc>
      </w:tr>
    </w:tbl>
    <w:p w14:paraId="134549B3" w14:textId="77777777" w:rsidR="0084730D" w:rsidRPr="00335C63" w:rsidRDefault="0084730D" w:rsidP="000F4170">
      <w:pPr>
        <w:spacing w:line="360" w:lineRule="auto" w:after="120"/>
        <w:jc w:val="both"/>
        <w:rPr>
          <w:rFonts w:ascii="Times New Roman" w:hAnsi="Times New Roman" w:cs="Times New Roman"/>
          <w:sz w:val="24"/>
          <w:szCs w:val="24"/>
        </w:rPr>
      </w:pPr>
    </w:p>
    <w:p w14:paraId="642917C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b/>
          <w:color w:val="000000"/>
          <w:sz w:val="24"/>
        </w:rPr>
        <w:t>4.3 Milestones</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57"/>
        <w:gridCol w:w="1518"/>
        <w:gridCol w:w="4641"/>
      </w:tblGrid>
      <w:tr w:rsidR="0084730D" w:rsidRPr="00335C63" w14:paraId="71219287" w14:textId="77777777" w:rsidTr="00997D20">
        <w:trPr>
          <w:cantSplit/>
          <w:tblHeader/>
          <w:jc w:val="center"/>
        </w:trPr>
        <w:tc>
          <w:tcPr>
            <w:tcW w:w="1584" w:type="pct"/>
            <w:shd w:val="clear" w:color="auto" w:fill="E8F1FA"/>
            <w:tcMar>
              <w:top w:w="90" w:type="dxa"/>
              <w:left w:w="90" w:type="dxa"/>
              <w:bottom w:w="90" w:type="dxa"/>
              <w:right w:w="90" w:type="dxa"/>
            </w:tcMar>
            <w:vAlign w:val="center"/>
            <w:shd w:fill="DCEAF7"/>
          </w:tcPr>
          <w:p w14:paraId="1782905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Milestone</w:t>
            </w:r>
          </w:p>
        </w:tc>
        <w:tc>
          <w:tcPr>
            <w:tcW w:w="842" w:type="pct"/>
            <w:shd w:val="clear" w:color="auto" w:fill="E8F1FA"/>
            <w:tcMar>
              <w:top w:w="90" w:type="dxa"/>
              <w:left w:w="90" w:type="dxa"/>
              <w:bottom w:w="90" w:type="dxa"/>
              <w:right w:w="90" w:type="dxa"/>
            </w:tcMar>
            <w:vAlign w:val="center"/>
            <w:shd w:fill="DCEAF7"/>
          </w:tcPr>
          <w:p w14:paraId="06E7A83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Target Week</w:t>
            </w:r>
          </w:p>
        </w:tc>
        <w:tc>
          <w:tcPr>
            <w:tcW w:w="2573" w:type="pct"/>
            <w:shd w:val="clear" w:color="auto" w:fill="E8F1FA"/>
            <w:tcMar>
              <w:top w:w="90" w:type="dxa"/>
              <w:left w:w="90" w:type="dxa"/>
              <w:bottom w:w="90" w:type="dxa"/>
              <w:right w:w="90" w:type="dxa"/>
            </w:tcMar>
            <w:vAlign w:val="center"/>
            <w:shd w:fill="DCEAF7"/>
          </w:tcPr>
          <w:p w14:paraId="002D9E6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Success Criteria</w:t>
            </w:r>
          </w:p>
        </w:tc>
      </w:tr>
      <w:tr w:rsidR="0084730D" w:rsidRPr="00335C63" w14:paraId="7CBB7A67" w14:textId="77777777" w:rsidTr="00997D20">
        <w:trPr>
          <w:cantSplit/>
          <w:jc w:val="center"/>
        </w:trPr>
        <w:tc>
          <w:tcPr>
            <w:tcW w:w="1584" w:type="pct"/>
            <w:tcMar>
              <w:top w:w="90" w:type="dxa"/>
              <w:left w:w="90" w:type="dxa"/>
              <w:bottom w:w="90" w:type="dxa"/>
              <w:right w:w="90" w:type="dxa"/>
            </w:tcMar>
            <w:vAlign w:val="center"/>
          </w:tcPr>
          <w:p w14:paraId="2FFF341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M1: Data source confirmation</w:t>
            </w:r>
          </w:p>
        </w:tc>
        <w:tc>
          <w:tcPr>
            <w:tcW w:w="842" w:type="pct"/>
            <w:tcMar>
              <w:top w:w="90" w:type="dxa"/>
              <w:left w:w="90" w:type="dxa"/>
              <w:bottom w:w="90" w:type="dxa"/>
              <w:right w:w="90" w:type="dxa"/>
            </w:tcMar>
            <w:vAlign w:val="center"/>
          </w:tcPr>
          <w:p w14:paraId="6C7E1F8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Week 1</w:t>
            </w:r>
          </w:p>
        </w:tc>
        <w:tc>
          <w:tcPr>
            <w:tcW w:w="2573" w:type="pct"/>
            <w:tcMar>
              <w:top w:w="90" w:type="dxa"/>
              <w:left w:w="90" w:type="dxa"/>
              <w:bottom w:w="90" w:type="dxa"/>
              <w:right w:w="90" w:type="dxa"/>
            </w:tcMar>
            <w:vAlign w:val="center"/>
          </w:tcPr>
          <w:p w14:paraId="3D8D9C8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Required sheets/calendar exports identified and accessible</w:t>
            </w:r>
          </w:p>
        </w:tc>
      </w:tr>
      <w:tr w:rsidR="0084730D" w:rsidRPr="00335C63" w14:paraId="4DD68E9F" w14:textId="77777777" w:rsidTr="00997D20">
        <w:trPr>
          <w:cantSplit/>
          <w:jc w:val="center"/>
        </w:trPr>
        <w:tc>
          <w:tcPr>
            <w:tcW w:w="1584" w:type="pct"/>
            <w:tcMar>
              <w:top w:w="90" w:type="dxa"/>
              <w:left w:w="90" w:type="dxa"/>
              <w:bottom w:w="90" w:type="dxa"/>
              <w:right w:w="90" w:type="dxa"/>
            </w:tcMar>
            <w:vAlign w:val="center"/>
          </w:tcPr>
          <w:p w14:paraId="3F53AF9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M2: Clean analytics dataset</w:t>
            </w:r>
          </w:p>
        </w:tc>
        <w:tc>
          <w:tcPr>
            <w:tcW w:w="842" w:type="pct"/>
            <w:tcMar>
              <w:top w:w="90" w:type="dxa"/>
              <w:left w:w="90" w:type="dxa"/>
              <w:bottom w:w="90" w:type="dxa"/>
              <w:right w:w="90" w:type="dxa"/>
            </w:tcMar>
            <w:vAlign w:val="center"/>
          </w:tcPr>
          <w:p w14:paraId="088301C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Week 4</w:t>
            </w:r>
          </w:p>
        </w:tc>
        <w:tc>
          <w:tcPr>
            <w:tcW w:w="2573" w:type="pct"/>
            <w:tcMar>
              <w:top w:w="90" w:type="dxa"/>
              <w:left w:w="90" w:type="dxa"/>
              <w:bottom w:w="90" w:type="dxa"/>
              <w:right w:w="90" w:type="dxa"/>
            </w:tcMar>
            <w:vAlign w:val="center"/>
          </w:tcPr>
          <w:p w14:paraId="24E705C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 xml:space="preserve">Cleaning rules run </w:t>
            </w:r>
            <w:proofErr w:type="gramStart"/>
            <w:r w:rsidRPr="00335C63">
              <w:rPr>
                <w:rFonts w:ascii="Times New Roman" w:hAnsi="Times New Roman" w:cs="Times New Roman" w:eastAsia="Times New Roman"/>
                <w:sz w:val="20"/>
                <w:szCs w:val="24"/>
              </w:rPr>
              <w:t>successfully</w:t>
            </w:r>
            <w:proofErr w:type="gramEnd"/>
            <w:r w:rsidRPr="00335C63">
              <w:rPr>
                <w:rFonts w:ascii="Times New Roman" w:hAnsi="Times New Roman" w:cs="Times New Roman" w:eastAsia="Times New Roman"/>
                <w:sz w:val="20"/>
                <w:szCs w:val="24"/>
              </w:rPr>
              <w:t xml:space="preserve"> and data quality issues are documented</w:t>
            </w:r>
          </w:p>
        </w:tc>
      </w:tr>
      <w:tr w:rsidR="0084730D" w:rsidRPr="00335C63" w14:paraId="7776D649" w14:textId="77777777" w:rsidTr="00997D20">
        <w:trPr>
          <w:cantSplit/>
          <w:jc w:val="center"/>
        </w:trPr>
        <w:tc>
          <w:tcPr>
            <w:tcW w:w="1584" w:type="pct"/>
            <w:tcMar>
              <w:top w:w="90" w:type="dxa"/>
              <w:left w:w="90" w:type="dxa"/>
              <w:bottom w:w="90" w:type="dxa"/>
              <w:right w:w="90" w:type="dxa"/>
            </w:tcMar>
            <w:vAlign w:val="center"/>
          </w:tcPr>
          <w:p w14:paraId="3B2A3AFC" w14:textId="77777777" w:rsidR="00BB18A2" w:rsidRDefault="00000000">
            <w:pPr>
              <w:spacing w:line="276" w:lineRule="auto" w:after="40"/>
              <w:jc w:val="left"/>
            </w:pPr>
            <w:r>
              <w:rPr>
                <w:rFonts w:ascii="Times New Roman" w:hAnsi="Times New Roman" w:eastAsia="Times New Roman"/>
                <w:sz w:val="20"/>
              </w:rPr>
              <w:t>M3: Analytics storage and transformation layer ready</w:t>
            </w:r>
          </w:p>
        </w:tc>
        <w:tc>
          <w:tcPr>
            <w:tcW w:w="842" w:type="pct"/>
            <w:tcMar>
              <w:top w:w="90" w:type="dxa"/>
              <w:left w:w="90" w:type="dxa"/>
              <w:bottom w:w="90" w:type="dxa"/>
              <w:right w:w="90" w:type="dxa"/>
            </w:tcMar>
            <w:vAlign w:val="center"/>
          </w:tcPr>
          <w:p w14:paraId="5E25AB7D" w14:textId="77777777" w:rsidR="00BB18A2" w:rsidRDefault="00000000">
            <w:pPr>
              <w:spacing w:line="276" w:lineRule="auto" w:after="40"/>
              <w:jc w:val="left"/>
            </w:pPr>
            <w:r>
              <w:rPr>
                <w:rFonts w:ascii="Times New Roman" w:hAnsi="Times New Roman" w:eastAsia="Times New Roman" w:cs="Times New Roman"/>
                <w:sz w:val="20"/>
              </w:rPr>
              <w:t>Week 6</w:t>
            </w:r>
          </w:p>
        </w:tc>
        <w:tc>
          <w:tcPr>
            <w:tcW w:w="2573" w:type="pct"/>
            <w:tcMar>
              <w:top w:w="90" w:type="dxa"/>
              <w:left w:w="90" w:type="dxa"/>
              <w:bottom w:w="90" w:type="dxa"/>
              <w:right w:w="90" w:type="dxa"/>
            </w:tcMar>
            <w:vAlign w:val="center"/>
          </w:tcPr>
          <w:p w14:paraId="6630C15C" w14:textId="77777777" w:rsidR="00BB18A2" w:rsidRDefault="00000000">
            <w:pPr>
              <w:spacing w:line="276" w:lineRule="auto" w:after="40"/>
              <w:jc w:val="left"/>
            </w:pPr>
            <w:r>
              <w:rPr>
                <w:rFonts w:ascii="Times New Roman" w:hAnsi="Times New Roman" w:eastAsia="Times New Roman"/>
                <w:sz w:val="20"/>
              </w:rPr>
              <w:t>Raw, cleaned, and dashboard-ready tables created with initial transformation tests</w:t>
            </w:r>
          </w:p>
        </w:tc>
      </w:tr>
      <w:tr w:rsidR="0084730D" w:rsidRPr="00335C63" w14:paraId="7E3990E1" w14:textId="77777777" w:rsidTr="00997D20">
        <w:trPr>
          <w:cantSplit/>
          <w:jc w:val="center"/>
        </w:trPr>
        <w:tc>
          <w:tcPr>
            <w:tcW w:w="1584" w:type="pct"/>
            <w:tcMar>
              <w:top w:w="90" w:type="dxa"/>
              <w:left w:w="90" w:type="dxa"/>
              <w:bottom w:w="90" w:type="dxa"/>
              <w:right w:w="90" w:type="dxa"/>
            </w:tcMar>
            <w:vAlign w:val="center"/>
          </w:tcPr>
          <w:p w14:paraId="2507B5F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M4: Core analytics complete</w:t>
            </w:r>
          </w:p>
        </w:tc>
        <w:tc>
          <w:tcPr>
            <w:tcW w:w="842" w:type="pct"/>
            <w:tcMar>
              <w:top w:w="90" w:type="dxa"/>
              <w:left w:w="90" w:type="dxa"/>
              <w:bottom w:w="90" w:type="dxa"/>
              <w:right w:w="90" w:type="dxa"/>
            </w:tcMar>
            <w:vAlign w:val="center"/>
          </w:tcPr>
          <w:p w14:paraId="33DD9456"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Week 9</w:t>
            </w:r>
          </w:p>
        </w:tc>
        <w:tc>
          <w:tcPr>
            <w:tcW w:w="2573" w:type="pct"/>
            <w:tcMar>
              <w:top w:w="90" w:type="dxa"/>
              <w:left w:w="90" w:type="dxa"/>
              <w:bottom w:w="90" w:type="dxa"/>
              <w:right w:w="90" w:type="dxa"/>
            </w:tcMar>
            <w:vAlign w:val="center"/>
          </w:tcPr>
          <w:p w14:paraId="5690708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Treatment, recurrence, hotspot, weather, and upsell analytics produce outputs</w:t>
            </w:r>
          </w:p>
        </w:tc>
      </w:tr>
      <w:tr w:rsidR="0084730D" w:rsidRPr="00335C63" w14:paraId="30ED2AAA" w14:textId="77777777" w:rsidTr="00997D20">
        <w:trPr>
          <w:cantSplit/>
          <w:jc w:val="center"/>
        </w:trPr>
        <w:tc>
          <w:tcPr>
            <w:tcW w:w="1584" w:type="pct"/>
            <w:tcMar>
              <w:top w:w="90" w:type="dxa"/>
              <w:left w:w="90" w:type="dxa"/>
              <w:bottom w:w="90" w:type="dxa"/>
              <w:right w:w="90" w:type="dxa"/>
            </w:tcMar>
            <w:vAlign w:val="center"/>
          </w:tcPr>
          <w:p w14:paraId="0177FD88" w14:textId="77777777" w:rsidR="00BB18A2" w:rsidRDefault="00000000">
            <w:pPr>
              <w:spacing w:line="276" w:lineRule="auto" w:after="40"/>
              <w:jc w:val="left"/>
            </w:pPr>
            <w:r>
              <w:rPr>
                <w:rFonts w:ascii="Times New Roman" w:hAnsi="Times New Roman" w:eastAsia="Times New Roman" w:cs="Times New Roman"/>
                <w:sz w:val="20"/>
              </w:rPr>
              <w:t>M5: Airflow and dashboard prototype complete</w:t>
            </w:r>
          </w:p>
        </w:tc>
        <w:tc>
          <w:tcPr>
            <w:tcW w:w="842" w:type="pct"/>
            <w:tcMar>
              <w:top w:w="90" w:type="dxa"/>
              <w:left w:w="90" w:type="dxa"/>
              <w:bottom w:w="90" w:type="dxa"/>
              <w:right w:w="90" w:type="dxa"/>
            </w:tcMar>
            <w:vAlign w:val="center"/>
          </w:tcPr>
          <w:p w14:paraId="7345EC32" w14:textId="77777777" w:rsidR="00BB18A2" w:rsidRDefault="00000000">
            <w:pPr>
              <w:spacing w:line="276" w:lineRule="auto" w:after="40"/>
              <w:jc w:val="left"/>
            </w:pPr>
            <w:r>
              <w:rPr>
                <w:rFonts w:ascii="Times New Roman" w:hAnsi="Times New Roman" w:eastAsia="Times New Roman" w:cs="Times New Roman"/>
                <w:sz w:val="20"/>
              </w:rPr>
              <w:t>Week 11</w:t>
            </w:r>
          </w:p>
        </w:tc>
        <w:tc>
          <w:tcPr>
            <w:tcW w:w="2573" w:type="pct"/>
            <w:tcMar>
              <w:top w:w="90" w:type="dxa"/>
              <w:left w:w="90" w:type="dxa"/>
              <w:bottom w:w="90" w:type="dxa"/>
              <w:right w:w="90" w:type="dxa"/>
            </w:tcMar>
            <w:vAlign w:val="center"/>
          </w:tcPr>
          <w:p w14:paraId="5C83374B" w14:textId="77777777" w:rsidR="00BB18A2" w:rsidRDefault="00000000">
            <w:pPr>
              <w:spacing w:line="276" w:lineRule="auto" w:after="40"/>
              <w:jc w:val="left"/>
            </w:pPr>
            <w:r>
              <w:rPr>
                <w:rFonts w:ascii="Times New Roman" w:hAnsi="Times New Roman" w:eastAsia="Times New Roman" w:cs="Times New Roman"/>
                <w:sz w:val="20"/>
              </w:rPr>
              <w:t>Airflow DAG runs core pipeline and Superset dashboards answer key management questions</w:t>
            </w:r>
          </w:p>
        </w:tc>
      </w:tr>
      <w:tr w:rsidR="0084730D" w:rsidRPr="00335C63" w14:paraId="4FFADDB0" w14:textId="77777777" w:rsidTr="00997D20">
        <w:trPr>
          <w:cantSplit/>
          <w:jc w:val="center"/>
        </w:trPr>
        <w:tc>
          <w:tcPr>
            <w:tcW w:w="1584" w:type="pct"/>
            <w:tcMar>
              <w:top w:w="90" w:type="dxa"/>
              <w:left w:w="90" w:type="dxa"/>
              <w:bottom w:w="90" w:type="dxa"/>
              <w:right w:w="90" w:type="dxa"/>
            </w:tcMar>
            <w:vAlign w:val="center"/>
          </w:tcPr>
          <w:p w14:paraId="158A7D4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M6: Evaluation complete</w:t>
            </w:r>
          </w:p>
        </w:tc>
        <w:tc>
          <w:tcPr>
            <w:tcW w:w="842" w:type="pct"/>
            <w:tcMar>
              <w:top w:w="90" w:type="dxa"/>
              <w:left w:w="90" w:type="dxa"/>
              <w:bottom w:w="90" w:type="dxa"/>
              <w:right w:w="90" w:type="dxa"/>
            </w:tcMar>
            <w:vAlign w:val="center"/>
          </w:tcPr>
          <w:p w14:paraId="7CF3AA4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Week 12</w:t>
            </w:r>
          </w:p>
        </w:tc>
        <w:tc>
          <w:tcPr>
            <w:tcW w:w="2573" w:type="pct"/>
            <w:tcMar>
              <w:top w:w="90" w:type="dxa"/>
              <w:left w:w="90" w:type="dxa"/>
              <w:bottom w:w="90" w:type="dxa"/>
              <w:right w:w="90" w:type="dxa"/>
            </w:tcMar>
            <w:vAlign w:val="center"/>
          </w:tcPr>
          <w:p w14:paraId="2AD8888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Management feedback and manual-check comparison documented</w:t>
            </w:r>
          </w:p>
        </w:tc>
      </w:tr>
      <w:tr w:rsidR="0084730D" w:rsidRPr="00335C63" w14:paraId="651221F2" w14:textId="77777777" w:rsidTr="00997D20">
        <w:trPr>
          <w:cantSplit/>
          <w:jc w:val="center"/>
        </w:trPr>
        <w:tc>
          <w:tcPr>
            <w:tcW w:w="1584" w:type="pct"/>
            <w:tcMar>
              <w:top w:w="90" w:type="dxa"/>
              <w:left w:w="90" w:type="dxa"/>
              <w:bottom w:w="90" w:type="dxa"/>
              <w:right w:w="90" w:type="dxa"/>
            </w:tcMar>
            <w:vAlign w:val="center"/>
          </w:tcPr>
          <w:p w14:paraId="661794A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M7: Final submission ready</w:t>
            </w:r>
          </w:p>
        </w:tc>
        <w:tc>
          <w:tcPr>
            <w:tcW w:w="842" w:type="pct"/>
            <w:tcMar>
              <w:top w:w="90" w:type="dxa"/>
              <w:left w:w="90" w:type="dxa"/>
              <w:bottom w:w="90" w:type="dxa"/>
              <w:right w:w="90" w:type="dxa"/>
            </w:tcMar>
            <w:vAlign w:val="center"/>
          </w:tcPr>
          <w:p w14:paraId="31AFDF0F"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Week 14</w:t>
            </w:r>
          </w:p>
        </w:tc>
        <w:tc>
          <w:tcPr>
            <w:tcW w:w="2573" w:type="pct"/>
            <w:tcMar>
              <w:top w:w="90" w:type="dxa"/>
              <w:left w:w="90" w:type="dxa"/>
              <w:bottom w:w="90" w:type="dxa"/>
              <w:right w:w="90" w:type="dxa"/>
            </w:tcMar>
            <w:vAlign w:val="center"/>
          </w:tcPr>
          <w:p w14:paraId="430D01F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Report, dashboard screenshots, and demonstration environment prepared</w:t>
            </w:r>
          </w:p>
        </w:tc>
      </w:tr>
    </w:tbl>
    <w:p w14:paraId="03AD355B" w14:textId="77777777" w:rsidR="0084730D" w:rsidRPr="00335C63" w:rsidRDefault="0084730D" w:rsidP="000F4170">
      <w:pPr>
        <w:spacing w:line="360" w:lineRule="auto" w:after="120"/>
        <w:jc w:val="both"/>
        <w:rPr>
          <w:rFonts w:ascii="Times New Roman" w:hAnsi="Times New Roman" w:cs="Times New Roman"/>
          <w:sz w:val="24"/>
          <w:szCs w:val="24"/>
        </w:rPr>
      </w:pPr>
    </w:p>
    <w:p w14:paraId="26E4A1E0"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b/>
          <w:color w:val="000000"/>
          <w:sz w:val="24"/>
        </w:rPr>
        <w:t>4.4 Risks and Mitigation</w:t>
      </w:r>
    </w:p>
    <w:tbl>
      <w:tblPr>
        <w:tblStyle w:val="TableGrid"/>
        <w:tblW w:w="5000" w:type="pct"/>
        <w:tblLook w:val="04A0" w:firstRow="1" w:lastRow="0" w:firstColumn="1" w:lastColumn="0" w:noHBand="0" w:noVBand="1"/>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94"/>
        <w:gridCol w:w="2416"/>
        <w:gridCol w:w="3206"/>
      </w:tblGrid>
      <w:tr w:rsidR="0084730D" w:rsidRPr="00335C63" w14:paraId="7A403D77" w14:textId="77777777" w:rsidTr="00997D20">
        <w:trPr>
          <w:cantSplit/>
          <w:tblHeader/>
          <w:jc w:val="center"/>
        </w:trPr>
        <w:tc>
          <w:tcPr>
            <w:tcW w:w="1882" w:type="pct"/>
            <w:shd w:val="clear" w:color="auto" w:fill="E8F1FA"/>
            <w:tcMar>
              <w:top w:w="90" w:type="dxa"/>
              <w:left w:w="90" w:type="dxa"/>
              <w:bottom w:w="90" w:type="dxa"/>
              <w:right w:w="90" w:type="dxa"/>
            </w:tcMar>
            <w:vAlign w:val="center"/>
            <w:shd w:fill="DCEAF7"/>
          </w:tcPr>
          <w:p w14:paraId="2C22E29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Risk</w:t>
            </w:r>
          </w:p>
        </w:tc>
        <w:tc>
          <w:tcPr>
            <w:tcW w:w="1340" w:type="pct"/>
            <w:shd w:val="clear" w:color="auto" w:fill="E8F1FA"/>
            <w:tcMar>
              <w:top w:w="90" w:type="dxa"/>
              <w:left w:w="90" w:type="dxa"/>
              <w:bottom w:w="90" w:type="dxa"/>
              <w:right w:w="90" w:type="dxa"/>
            </w:tcMar>
            <w:vAlign w:val="center"/>
            <w:shd w:fill="DCEAF7"/>
          </w:tcPr>
          <w:p w14:paraId="515BC15A"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Impact</w:t>
            </w:r>
          </w:p>
        </w:tc>
        <w:tc>
          <w:tcPr>
            <w:tcW w:w="1778" w:type="pct"/>
            <w:shd w:val="clear" w:color="auto" w:fill="E8F1FA"/>
            <w:tcMar>
              <w:top w:w="90" w:type="dxa"/>
              <w:left w:w="90" w:type="dxa"/>
              <w:bottom w:w="90" w:type="dxa"/>
              <w:right w:w="90" w:type="dxa"/>
            </w:tcMar>
            <w:vAlign w:val="center"/>
            <w:shd w:fill="DCEAF7"/>
          </w:tcPr>
          <w:p w14:paraId="4815754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0"/>
                <w:szCs w:val="24"/>
              </w:rPr>
              <w:t>Mitigation</w:t>
            </w:r>
          </w:p>
        </w:tc>
      </w:tr>
      <w:tr w:rsidR="0084730D" w:rsidRPr="00335C63" w14:paraId="2B5E89D6" w14:textId="77777777" w:rsidTr="00997D20">
        <w:trPr>
          <w:cantSplit/>
          <w:jc w:val="center"/>
        </w:trPr>
        <w:tc>
          <w:tcPr>
            <w:tcW w:w="1882" w:type="pct"/>
            <w:tcMar>
              <w:top w:w="90" w:type="dxa"/>
              <w:left w:w="90" w:type="dxa"/>
              <w:bottom w:w="90" w:type="dxa"/>
              <w:right w:w="90" w:type="dxa"/>
            </w:tcMar>
            <w:vAlign w:val="center"/>
          </w:tcPr>
          <w:p w14:paraId="0D82EBEE"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Warranty data has only around 200+ records</w:t>
            </w:r>
          </w:p>
        </w:tc>
        <w:tc>
          <w:tcPr>
            <w:tcW w:w="1340" w:type="pct"/>
            <w:tcMar>
              <w:top w:w="90" w:type="dxa"/>
              <w:left w:w="90" w:type="dxa"/>
              <w:bottom w:w="90" w:type="dxa"/>
              <w:right w:w="90" w:type="dxa"/>
            </w:tcMar>
            <w:vAlign w:val="center"/>
          </w:tcPr>
          <w:p w14:paraId="72A1B9F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Complex ML may overfit</w:t>
            </w:r>
          </w:p>
        </w:tc>
        <w:tc>
          <w:tcPr>
            <w:tcW w:w="1778" w:type="pct"/>
            <w:tcMar>
              <w:top w:w="90" w:type="dxa"/>
              <w:left w:w="90" w:type="dxa"/>
              <w:bottom w:w="90" w:type="dxa"/>
              <w:right w:w="90" w:type="dxa"/>
            </w:tcMar>
            <w:vAlign w:val="center"/>
          </w:tcPr>
          <w:p w14:paraId="41671A0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explainable scoring, lag analysis, and logistic regression only if stable</w:t>
            </w:r>
          </w:p>
        </w:tc>
      </w:tr>
      <w:tr w:rsidR="0084730D" w:rsidRPr="00335C63" w14:paraId="01D5243F" w14:textId="77777777" w:rsidTr="00997D20">
        <w:trPr>
          <w:cantSplit/>
          <w:jc w:val="center"/>
        </w:trPr>
        <w:tc>
          <w:tcPr>
            <w:tcW w:w="1882" w:type="pct"/>
            <w:tcMar>
              <w:top w:w="90" w:type="dxa"/>
              <w:left w:w="90" w:type="dxa"/>
              <w:bottom w:w="90" w:type="dxa"/>
              <w:right w:w="90" w:type="dxa"/>
            </w:tcMar>
            <w:vAlign w:val="center"/>
          </w:tcPr>
          <w:p w14:paraId="64DAA3E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Google Sheets columns change</w:t>
            </w:r>
          </w:p>
        </w:tc>
        <w:tc>
          <w:tcPr>
            <w:tcW w:w="1340" w:type="pct"/>
            <w:tcMar>
              <w:top w:w="90" w:type="dxa"/>
              <w:left w:w="90" w:type="dxa"/>
              <w:bottom w:w="90" w:type="dxa"/>
              <w:right w:w="90" w:type="dxa"/>
            </w:tcMar>
            <w:vAlign w:val="center"/>
          </w:tcPr>
          <w:p w14:paraId="32CF4BA8"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ETL can break</w:t>
            </w:r>
          </w:p>
        </w:tc>
        <w:tc>
          <w:tcPr>
            <w:tcW w:w="1778" w:type="pct"/>
            <w:tcMar>
              <w:top w:w="90" w:type="dxa"/>
              <w:left w:w="90" w:type="dxa"/>
              <w:bottom w:w="90" w:type="dxa"/>
              <w:right w:w="90" w:type="dxa"/>
            </w:tcMar>
            <w:vAlign w:val="center"/>
          </w:tcPr>
          <w:p w14:paraId="55964B57"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canonical column mapping and alias handling</w:t>
            </w:r>
          </w:p>
        </w:tc>
      </w:tr>
      <w:tr w:rsidR="0084730D" w:rsidRPr="00335C63" w14:paraId="39F7F4EC" w14:textId="77777777" w:rsidTr="00997D20">
        <w:trPr>
          <w:cantSplit/>
          <w:jc w:val="center"/>
        </w:trPr>
        <w:tc>
          <w:tcPr>
            <w:tcW w:w="1882" w:type="pct"/>
            <w:tcMar>
              <w:top w:w="90" w:type="dxa"/>
              <w:left w:w="90" w:type="dxa"/>
              <w:bottom w:w="90" w:type="dxa"/>
              <w:right w:w="90" w:type="dxa"/>
            </w:tcMar>
            <w:vAlign w:val="center"/>
          </w:tcPr>
          <w:p w14:paraId="68DC3DF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Calendar event names are inconsistent</w:t>
            </w:r>
          </w:p>
        </w:tc>
        <w:tc>
          <w:tcPr>
            <w:tcW w:w="1340" w:type="pct"/>
            <w:tcMar>
              <w:top w:w="90" w:type="dxa"/>
              <w:left w:w="90" w:type="dxa"/>
              <w:bottom w:w="90" w:type="dxa"/>
              <w:right w:w="90" w:type="dxa"/>
            </w:tcMar>
            <w:vAlign w:val="center"/>
          </w:tcPr>
          <w:p w14:paraId="6442AFC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Session classification errors</w:t>
            </w:r>
          </w:p>
        </w:tc>
        <w:tc>
          <w:tcPr>
            <w:tcW w:w="1778" w:type="pct"/>
            <w:tcMar>
              <w:top w:w="90" w:type="dxa"/>
              <w:left w:w="90" w:type="dxa"/>
              <w:bottom w:w="90" w:type="dxa"/>
              <w:right w:w="90" w:type="dxa"/>
            </w:tcMar>
            <w:vAlign w:val="center"/>
          </w:tcPr>
          <w:p w14:paraId="6D5D93B2"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keyword rules and manual review list</w:t>
            </w:r>
          </w:p>
        </w:tc>
      </w:tr>
      <w:tr w:rsidR="0084730D" w:rsidRPr="00335C63" w14:paraId="53BDC5B1" w14:textId="77777777" w:rsidTr="00997D20">
        <w:trPr>
          <w:cantSplit/>
          <w:jc w:val="center"/>
        </w:trPr>
        <w:tc>
          <w:tcPr>
            <w:tcW w:w="1882" w:type="pct"/>
            <w:tcMar>
              <w:top w:w="90" w:type="dxa"/>
              <w:left w:w="90" w:type="dxa"/>
              <w:bottom w:w="90" w:type="dxa"/>
              <w:right w:w="90" w:type="dxa"/>
            </w:tcMar>
            <w:vAlign w:val="center"/>
          </w:tcPr>
          <w:p w14:paraId="787BD2E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lastRenderedPageBreak/>
              <w:t>Coordinates are incomplete</w:t>
            </w:r>
          </w:p>
        </w:tc>
        <w:tc>
          <w:tcPr>
            <w:tcW w:w="1340" w:type="pct"/>
            <w:tcMar>
              <w:top w:w="90" w:type="dxa"/>
              <w:left w:w="90" w:type="dxa"/>
              <w:bottom w:w="90" w:type="dxa"/>
              <w:right w:w="90" w:type="dxa"/>
            </w:tcMar>
            <w:vAlign w:val="center"/>
          </w:tcPr>
          <w:p w14:paraId="4155F714"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Hotspot analysis becomes less precise</w:t>
            </w:r>
          </w:p>
        </w:tc>
        <w:tc>
          <w:tcPr>
            <w:tcW w:w="1778" w:type="pct"/>
            <w:tcMar>
              <w:top w:w="90" w:type="dxa"/>
              <w:left w:w="90" w:type="dxa"/>
              <w:bottom w:w="90" w:type="dxa"/>
              <w:right w:w="90" w:type="dxa"/>
            </w:tcMar>
            <w:vAlign w:val="center"/>
          </w:tcPr>
          <w:p w14:paraId="19F47F21"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postcode/area centroid fallback and document confidence</w:t>
            </w:r>
          </w:p>
        </w:tc>
      </w:tr>
      <w:tr w:rsidR="0084730D" w:rsidRPr="00335C63" w14:paraId="570DB832" w14:textId="77777777" w:rsidTr="00997D20">
        <w:trPr>
          <w:cantSplit/>
          <w:jc w:val="center"/>
        </w:trPr>
        <w:tc>
          <w:tcPr>
            <w:tcW w:w="1882" w:type="pct"/>
            <w:tcMar>
              <w:top w:w="90" w:type="dxa"/>
              <w:left w:w="90" w:type="dxa"/>
              <w:bottom w:w="90" w:type="dxa"/>
              <w:right w:w="90" w:type="dxa"/>
            </w:tcMar>
            <w:vAlign w:val="center"/>
          </w:tcPr>
          <w:p w14:paraId="3255F3B0"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Weather data does not match micro-location conditions</w:t>
            </w:r>
          </w:p>
        </w:tc>
        <w:tc>
          <w:tcPr>
            <w:tcW w:w="1340" w:type="pct"/>
            <w:tcMar>
              <w:top w:w="90" w:type="dxa"/>
              <w:left w:w="90" w:type="dxa"/>
              <w:bottom w:w="90" w:type="dxa"/>
              <w:right w:w="90" w:type="dxa"/>
            </w:tcMar>
            <w:vAlign w:val="center"/>
          </w:tcPr>
          <w:p w14:paraId="26727F5B"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Risk of overclaiming weather effect</w:t>
            </w:r>
          </w:p>
        </w:tc>
        <w:tc>
          <w:tcPr>
            <w:tcW w:w="1778" w:type="pct"/>
            <w:tcMar>
              <w:top w:w="90" w:type="dxa"/>
              <w:left w:w="90" w:type="dxa"/>
              <w:bottom w:w="90" w:type="dxa"/>
              <w:right w:w="90" w:type="dxa"/>
            </w:tcMar>
            <w:vAlign w:val="center"/>
          </w:tcPr>
          <w:p w14:paraId="118C866D"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association wording and service-date weather windows</w:t>
            </w:r>
          </w:p>
        </w:tc>
      </w:tr>
      <w:tr w:rsidR="0084730D" w:rsidRPr="00335C63" w14:paraId="4E7C08BE" w14:textId="77777777" w:rsidTr="00997D20">
        <w:trPr>
          <w:cantSplit/>
          <w:jc w:val="center"/>
        </w:trPr>
        <w:tc>
          <w:tcPr>
            <w:tcW w:w="1882" w:type="pct"/>
            <w:tcMar>
              <w:top w:w="90" w:type="dxa"/>
              <w:left w:w="90" w:type="dxa"/>
              <w:bottom w:w="90" w:type="dxa"/>
              <w:right w:w="90" w:type="dxa"/>
            </w:tcMar>
            <w:vAlign w:val="center"/>
          </w:tcPr>
          <w:p w14:paraId="446043A2" w14:textId="77777777" w:rsidR="00BB18A2" w:rsidRDefault="00000000">
            <w:pPr>
              <w:spacing w:line="276" w:lineRule="auto" w:after="40"/>
              <w:jc w:val="left"/>
            </w:pPr>
            <w:r>
              <w:rPr>
                <w:rFonts w:ascii="Times New Roman" w:hAnsi="Times New Roman" w:eastAsia="Times New Roman" w:cs="Times New Roman"/>
                <w:sz w:val="20"/>
              </w:rPr>
              <w:t>Airflow, dbt, or Google Sheets access fails during demo</w:t>
            </w:r>
          </w:p>
        </w:tc>
        <w:tc>
          <w:tcPr>
            <w:tcW w:w="1340" w:type="pct"/>
            <w:tcMar>
              <w:top w:w="90" w:type="dxa"/>
              <w:left w:w="90" w:type="dxa"/>
              <w:bottom w:w="90" w:type="dxa"/>
              <w:right w:w="90" w:type="dxa"/>
            </w:tcMar>
            <w:vAlign w:val="center"/>
          </w:tcPr>
          <w:p w14:paraId="3C0F8627" w14:textId="77777777" w:rsidR="00BB18A2" w:rsidRDefault="00000000">
            <w:pPr>
              <w:spacing w:line="276" w:lineRule="auto" w:after="40"/>
              <w:jc w:val="left"/>
            </w:pPr>
            <w:r>
              <w:rPr>
                <w:rFonts w:ascii="Times New Roman" w:hAnsi="Times New Roman" w:eastAsia="Times New Roman" w:cs="Times New Roman"/>
                <w:sz w:val="20"/>
              </w:rPr>
              <w:t>Pipeline/dashboard may show stale data</w:t>
            </w:r>
          </w:p>
        </w:tc>
        <w:tc>
          <w:tcPr>
            <w:tcW w:w="1778" w:type="pct"/>
            <w:tcMar>
              <w:top w:w="90" w:type="dxa"/>
              <w:left w:w="90" w:type="dxa"/>
              <w:bottom w:w="90" w:type="dxa"/>
              <w:right w:w="90" w:type="dxa"/>
            </w:tcMar>
            <w:vAlign w:val="center"/>
          </w:tcPr>
          <w:p w14:paraId="3A9A5A03" w14:textId="77777777" w:rsidR="00BB18A2" w:rsidRDefault="00000000">
            <w:pPr>
              <w:spacing w:line="276" w:lineRule="auto" w:after="40"/>
              <w:jc w:val="left"/>
            </w:pPr>
            <w:r>
              <w:rPr>
                <w:rFonts w:ascii="Times New Roman" w:hAnsi="Times New Roman" w:eastAsia="Times New Roman" w:cs="Times New Roman"/>
                <w:sz w:val="20"/>
              </w:rPr>
              <w:t>Show last successful refresh, failed task status, manual run fallback, and static exported marts for backup</w:t>
            </w:r>
          </w:p>
        </w:tc>
      </w:tr>
      <w:tr w:rsidR="0084730D" w:rsidRPr="00335C63" w14:paraId="202F6658" w14:textId="77777777" w:rsidTr="00997D20">
        <w:trPr>
          <w:cantSplit/>
          <w:jc w:val="center"/>
        </w:trPr>
        <w:tc>
          <w:tcPr>
            <w:tcW w:w="1882" w:type="pct"/>
            <w:tcMar>
              <w:top w:w="90" w:type="dxa"/>
              <w:left w:w="90" w:type="dxa"/>
              <w:bottom w:w="90" w:type="dxa"/>
              <w:right w:w="90" w:type="dxa"/>
            </w:tcMar>
            <w:vAlign w:val="center"/>
          </w:tcPr>
          <w:p w14:paraId="07685132" w14:textId="77777777" w:rsidR="00BB18A2" w:rsidRDefault="00000000">
            <w:pPr>
              <w:spacing w:line="276" w:lineRule="auto" w:after="40"/>
              <w:jc w:val="left"/>
            </w:pPr>
            <w:r>
              <w:rPr>
                <w:rFonts w:ascii="Times New Roman" w:hAnsi="Times New Roman" w:eastAsia="Times New Roman"/>
                <w:sz w:val="20"/>
              </w:rPr>
              <w:t>Selected warehouse/BI/transformation setup takes longer than expected</w:t>
            </w:r>
          </w:p>
        </w:tc>
        <w:tc>
          <w:tcPr>
            <w:tcW w:w="1340" w:type="pct"/>
            <w:tcMar>
              <w:top w:w="90" w:type="dxa"/>
              <w:left w:w="90" w:type="dxa"/>
              <w:bottom w:w="90" w:type="dxa"/>
              <w:right w:w="90" w:type="dxa"/>
            </w:tcMar>
            <w:vAlign w:val="center"/>
          </w:tcPr>
          <w:p w14:paraId="47FF9B6B" w14:textId="77777777" w:rsidR="00BB18A2" w:rsidRDefault="00000000">
            <w:pPr>
              <w:spacing w:line="276" w:lineRule="auto" w:after="40"/>
              <w:jc w:val="left"/>
            </w:pPr>
            <w:r>
              <w:rPr>
                <w:rFonts w:ascii="Times New Roman" w:hAnsi="Times New Roman" w:eastAsia="Times New Roman" w:cs="Times New Roman"/>
                <w:sz w:val="20"/>
              </w:rPr>
              <w:t>Dashboard delivery risk</w:t>
            </w:r>
          </w:p>
        </w:tc>
        <w:tc>
          <w:tcPr>
            <w:tcW w:w="1778" w:type="pct"/>
            <w:tcMar>
              <w:top w:w="90" w:type="dxa"/>
              <w:left w:w="90" w:type="dxa"/>
              <w:bottom w:w="90" w:type="dxa"/>
              <w:right w:w="90" w:type="dxa"/>
            </w:tcMar>
            <w:vAlign w:val="center"/>
          </w:tcPr>
          <w:p w14:paraId="33FA30D0" w14:textId="77777777" w:rsidR="00BB18A2" w:rsidRDefault="00000000">
            <w:pPr>
              <w:spacing w:line="276" w:lineRule="auto" w:after="40"/>
              <w:jc w:val="left"/>
            </w:pPr>
            <w:r>
              <w:rPr>
                <w:rFonts w:ascii="Times New Roman" w:hAnsi="Times New Roman" w:eastAsia="Times New Roman"/>
                <w:sz w:val="20"/>
              </w:rPr>
              <w:t>Build the minimum raw-to-clean-to-dashboard path first and add advanced marts after the core pipeline works</w:t>
            </w:r>
          </w:p>
        </w:tc>
      </w:tr>
      <w:tr w:rsidR="0084730D" w:rsidRPr="00335C63" w14:paraId="53667F9E" w14:textId="77777777" w:rsidTr="00997D20">
        <w:trPr>
          <w:cantSplit/>
          <w:jc w:val="center"/>
        </w:trPr>
        <w:tc>
          <w:tcPr>
            <w:tcW w:w="1882" w:type="pct"/>
            <w:tcMar>
              <w:top w:w="90" w:type="dxa"/>
              <w:left w:w="90" w:type="dxa"/>
              <w:bottom w:w="90" w:type="dxa"/>
              <w:right w:w="90" w:type="dxa"/>
            </w:tcMar>
            <w:vAlign w:val="center"/>
          </w:tcPr>
          <w:p w14:paraId="5575FC15"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Company users need simpler explanations</w:t>
            </w:r>
          </w:p>
        </w:tc>
        <w:tc>
          <w:tcPr>
            <w:tcW w:w="1340" w:type="pct"/>
            <w:tcMar>
              <w:top w:w="90" w:type="dxa"/>
              <w:left w:w="90" w:type="dxa"/>
              <w:bottom w:w="90" w:type="dxa"/>
              <w:right w:w="90" w:type="dxa"/>
            </w:tcMar>
            <w:vAlign w:val="center"/>
          </w:tcPr>
          <w:p w14:paraId="2A54A1B9"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Low adoption</w:t>
            </w:r>
          </w:p>
        </w:tc>
        <w:tc>
          <w:tcPr>
            <w:tcW w:w="1778" w:type="pct"/>
            <w:tcMar>
              <w:top w:w="90" w:type="dxa"/>
              <w:left w:w="90" w:type="dxa"/>
              <w:bottom w:w="90" w:type="dxa"/>
              <w:right w:w="90" w:type="dxa"/>
            </w:tcMar>
            <w:vAlign w:val="center"/>
          </w:tcPr>
          <w:p w14:paraId="0BCD05DC" w14:textId="77777777" w:rsidR="0084730D" w:rsidRPr="00335C63" w:rsidRDefault="00357319" w:rsidP="000F4170">
            <w:pPr>
              <w:spacing w:after="40" w:line="276" w:lineRule="auto"/>
              <w:jc w:val="left"/>
              <w:rPr>
                <w:rFonts w:ascii="Times New Roman" w:hAnsi="Times New Roman" w:cs="Times New Roman"/>
                <w:sz w:val="24"/>
                <w:szCs w:val="24"/>
              </w:rPr>
            </w:pPr>
            <w:r w:rsidRPr="00335C63">
              <w:rPr>
                <w:rFonts w:ascii="Times New Roman" w:hAnsi="Times New Roman" w:cs="Times New Roman" w:eastAsia="Times New Roman"/>
                <w:sz w:val="20"/>
                <w:szCs w:val="24"/>
              </w:rPr>
              <w:t>Use short recommendation labels and management-friendly dashboards</w:t>
            </w:r>
          </w:p>
        </w:tc>
      </w:tr>
      <w:tr w:rsidR="00BB18A2" w14:paraId="5FD114D6" w14:textId="77777777">
        <w:trPr>
          <w:jc w:val="center"/>
        </w:trPr>
        <w:tc>
          <w:tcPr>
            <w:tcW w:w="3394" w:type="dxa"/>
            <w:vAlign w:val="center"/>
          </w:tcPr>
          <w:p w14:paraId="1E3AC12B" w14:textId="77777777" w:rsidR="00BB18A2" w:rsidRDefault="00000000">
            <w:pPr>
              <w:spacing w:line="276" w:lineRule="auto" w:after="40"/>
              <w:jc w:val="left"/>
            </w:pPr>
            <w:r>
              <w:rPr>
                <w:rFonts w:ascii="Times New Roman" w:hAnsi="Times New Roman" w:eastAsia="Times New Roman" w:cs="Times New Roman"/>
                <w:sz w:val="20"/>
              </w:rPr>
              <w:t>Flexible contracts map a field incorrectly</w:t>
            </w:r>
          </w:p>
        </w:tc>
        <w:tc>
          <w:tcPr>
            <w:tcW w:w="2416" w:type="dxa"/>
            <w:vAlign w:val="center"/>
          </w:tcPr>
          <w:p w14:paraId="4F115042" w14:textId="77777777" w:rsidR="00BB18A2" w:rsidRDefault="00000000">
            <w:pPr>
              <w:spacing w:line="276" w:lineRule="auto" w:after="40"/>
              <w:jc w:val="left"/>
            </w:pPr>
            <w:r>
              <w:rPr>
                <w:rFonts w:ascii="Times New Roman" w:hAnsi="Times New Roman" w:eastAsia="Times New Roman" w:cs="Times New Roman"/>
                <w:sz w:val="20"/>
              </w:rPr>
              <w:t>Analytics may use wrong source meaning</w:t>
            </w:r>
          </w:p>
        </w:tc>
        <w:tc>
          <w:tcPr>
            <w:tcW w:w="3206" w:type="dxa"/>
            <w:vAlign w:val="center"/>
          </w:tcPr>
          <w:p w14:paraId="6640D24F" w14:textId="77777777" w:rsidR="00BB18A2" w:rsidRDefault="00000000">
            <w:pPr>
              <w:spacing w:line="276" w:lineRule="auto" w:after="40"/>
              <w:jc w:val="left"/>
            </w:pPr>
            <w:r>
              <w:rPr>
                <w:rFonts w:ascii="Times New Roman" w:hAnsi="Times New Roman" w:eastAsia="Times New Roman" w:cs="Times New Roman"/>
                <w:sz w:val="20"/>
              </w:rPr>
              <w:t>Store source-to-standard mappings, mapping confidence, and manual review notes in the data quality report</w:t>
            </w:r>
          </w:p>
        </w:tc>
      </w:tr>
    </w:tbl>
    <w:p w14:paraId="73194469" w14:textId="77777777" w:rsidR="0084730D" w:rsidRPr="00335C63" w:rsidRDefault="0084730D" w:rsidP="000F4170">
      <w:pPr>
        <w:spacing w:line="360" w:lineRule="auto" w:after="120"/>
        <w:jc w:val="both"/>
        <w:rPr>
          <w:rFonts w:ascii="Times New Roman" w:hAnsi="Times New Roman" w:cs="Times New Roman"/>
          <w:sz w:val="24"/>
          <w:szCs w:val="24"/>
        </w:rPr>
      </w:pPr>
    </w:p>
    <w:p w14:paraId="2B6254DA"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References</w:t>
      </w:r>
    </w:p>
    <w:p w14:paraId="765DE777" w14:textId="77777777" w:rsidR="00BB18A2" w:rsidRDefault="00000000">
      <w:pPr>
        <w:spacing w:line="360" w:lineRule="auto" w:after="120"/>
        <w:jc w:val="both"/>
      </w:pPr>
      <w:r>
        <w:rPr>
          <w:rFonts w:ascii="Times New Roman" w:hAnsi="Times New Roman" w:eastAsia="Times New Roman" w:cs="Times New Roman"/>
          <w:sz w:val="24"/>
        </w:rPr>
        <w:t>Apache Airflow. (2026). Apache Airflow documentation. https://airflow.apache.org/docs/</w:t>
      </w:r>
    </w:p>
    <w:p w14:paraId="0B85A9E2" w14:textId="77777777" w:rsidR="00BB18A2" w:rsidRDefault="00000000">
      <w:pPr>
        <w:spacing w:line="360" w:lineRule="auto" w:after="120"/>
        <w:jc w:val="both"/>
      </w:pPr>
      <w:r>
        <w:rPr>
          <w:rFonts w:ascii="Times New Roman" w:hAnsi="Times New Roman" w:eastAsia="Times New Roman" w:cs="Times New Roman"/>
          <w:sz w:val="24"/>
        </w:rPr>
        <w:t>Apache Airflow. (2026). DAGs. https://airflow.apache.org/docs/apache-airflow/stable/core-concepts/dags.html</w:t>
      </w:r>
    </w:p>
    <w:p w14:paraId="21D2FB13" w14:textId="77777777" w:rsidR="00BB18A2" w:rsidRDefault="00000000">
      <w:pPr>
        <w:spacing w:line="360" w:lineRule="auto" w:after="120"/>
        <w:jc w:val="both"/>
      </w:pPr>
      <w:r>
        <w:rPr>
          <w:rFonts w:ascii="Times New Roman" w:hAnsi="Times New Roman" w:eastAsia="Times New Roman" w:cs="Times New Roman"/>
          <w:sz w:val="24"/>
        </w:rPr>
        <w:t>Apache Superset. (2026). Google BigQuery database support. https://superset.apache.org/user-docs/databases/supported/google-bigquery</w:t>
      </w:r>
    </w:p>
    <w:p w14:paraId="35F6D5AE" w14:textId="77777777" w:rsidR="00BB18A2" w:rsidRDefault="00000000">
      <w:pPr>
        <w:spacing w:line="360" w:lineRule="auto" w:after="120"/>
        <w:jc w:val="both"/>
      </w:pPr>
      <w:r>
        <w:rPr>
          <w:rFonts w:ascii="Times New Roman" w:hAnsi="Times New Roman" w:eastAsia="Times New Roman" w:cs="Times New Roman"/>
          <w:sz w:val="24"/>
        </w:rPr>
        <w:t>Apache Superset. (2026). Introduction to Apache Superset. https://superset.apache.org/user-docs/intro/</w:t>
      </w:r>
    </w:p>
    <w:p w14:paraId="59703C84" w14:textId="77777777" w:rsidR="00BB18A2" w:rsidRDefault="00000000">
      <w:pPr>
        <w:spacing w:line="360" w:lineRule="auto" w:after="120"/>
        <w:jc w:val="both"/>
      </w:pPr>
      <w:r>
        <w:rPr>
          <w:rFonts w:ascii="Times New Roman" w:hAnsi="Times New Roman" w:eastAsia="Times New Roman" w:cs="Times New Roman"/>
          <w:sz w:val="24"/>
        </w:rPr>
        <w:t>Biswas, S., Mohite, J., &amp; Pappula, S. (2022). Systems and methods for pest forecasting using historical pesticide usage information. U.S. Patent No. US11397837B2. https://patents.google.com/patent/US11397837B2</w:t>
      </w:r>
    </w:p>
    <w:p w14:paraId="41CE78A8" w14:textId="77777777" w:rsidR="00BB18A2" w:rsidRDefault="00000000">
      <w:pPr>
        <w:spacing w:line="360" w:lineRule="auto" w:after="120"/>
        <w:jc w:val="both"/>
      </w:pPr>
      <w:r>
        <w:rPr>
          <w:rFonts w:ascii="Times New Roman" w:hAnsi="Times New Roman" w:eastAsia="Times New Roman" w:cs="Times New Roman"/>
          <w:sz w:val="24"/>
        </w:rPr>
        <w:lastRenderedPageBreak/>
        <w:t>Blacketer, C., Defalco, F. J., Ryan, P. B., &amp; Rijnbeek, P. R. (2021). Increasing trust in real-world evidence through evaluation of observational data quality. Journal of the American Medical Informatics Association, 28(10), 2251-2257. https://doi.org/10.1093/jamia/ocab132</w:t>
      </w:r>
    </w:p>
    <w:p w14:paraId="28F7A3AB" w14:textId="77777777" w:rsidR="00BB18A2" w:rsidRDefault="00000000">
      <w:pPr>
        <w:spacing w:line="360" w:lineRule="auto" w:after="120"/>
        <w:jc w:val="both"/>
      </w:pPr>
      <w:r>
        <w:rPr>
          <w:rFonts w:ascii="Times New Roman" w:hAnsi="Times New Roman" w:eastAsia="Times New Roman" w:cs="Times New Roman"/>
          <w:sz w:val="24"/>
        </w:rPr>
        <w:t>Brimblecombe, P., Muller, G., Schmidt, M., Tischhauser, W., Landau, I., &amp; Querner, P. (2023). Urban pest abundance and public enquiries in Zurich 1991-2022. Insects, 14(10), 798. https://doi.org/10.3390/insects14100798</w:t>
      </w:r>
    </w:p>
    <w:p w14:paraId="3F4E9A68" w14:textId="77777777" w:rsidR="00BB18A2" w:rsidRDefault="00000000">
      <w:pPr>
        <w:spacing w:line="360" w:lineRule="auto" w:after="120"/>
        <w:jc w:val="both"/>
      </w:pPr>
      <w:r>
        <w:rPr>
          <w:rFonts w:ascii="Times New Roman" w:hAnsi="Times New Roman" w:eastAsia="Times New Roman" w:cs="Times New Roman"/>
          <w:sz w:val="24"/>
        </w:rPr>
        <w:t>Calatayud, J., Jornet, M., Mateu, J., &amp; Pinto, C. M. A. (2023). A new population model for urban infestations. Chaos, Solitons &amp; Fractals, 175, 113939. https://doi.org/10.1016/j.chaos.2023.113939</w:t>
      </w:r>
    </w:p>
    <w:p w14:paraId="458665F7" w14:textId="77777777" w:rsidR="00BB18A2" w:rsidRDefault="00000000">
      <w:pPr>
        <w:spacing w:line="360" w:lineRule="auto" w:after="120"/>
        <w:jc w:val="both"/>
      </w:pPr>
      <w:r>
        <w:rPr>
          <w:rFonts w:ascii="Times New Roman" w:hAnsi="Times New Roman" w:eastAsia="Times New Roman" w:cs="Times New Roman"/>
          <w:sz w:val="24"/>
        </w:rPr>
        <w:t>Choi, C., &amp; Hong, S.-Y. (2021). MDST-DBSCAN: A density-based clustering method for multidimensional spatiotemporal data. ISPRS International Journal of Geo-Information, 10(6), 391. https://doi.org/10.3390/ijgi10060391</w:t>
      </w:r>
    </w:p>
    <w:p w14:paraId="50029AEF" w14:textId="77777777" w:rsidR="00BB18A2" w:rsidRDefault="00000000">
      <w:pPr>
        <w:spacing w:line="360" w:lineRule="auto" w:after="120"/>
        <w:jc w:val="both"/>
      </w:pPr>
      <w:r>
        <w:rPr>
          <w:rFonts w:ascii="Times New Roman" w:hAnsi="Times New Roman" w:eastAsia="Times New Roman" w:cs="Times New Roman"/>
          <w:sz w:val="24"/>
        </w:rPr>
        <w:t>Cordon, J. A. (2026). Temporal evolution of predictive heat maps for Periplaneta americana infestation in urban sanitation networks (April 7 - June 23, 2022). Zenodo. https://doi.org/10.5281/zenodo.18186918</w:t>
      </w:r>
    </w:p>
    <w:p w14:paraId="0EFE9360" w14:textId="77777777" w:rsidR="00BB18A2" w:rsidRDefault="00000000">
      <w:pPr>
        <w:spacing w:line="360" w:lineRule="auto" w:after="120"/>
        <w:jc w:val="both"/>
      </w:pPr>
      <w:r>
        <w:rPr>
          <w:rFonts w:ascii="Times New Roman" w:hAnsi="Times New Roman" w:eastAsia="Times New Roman" w:cs="Times New Roman"/>
          <w:sz w:val="24"/>
        </w:rPr>
        <w:t>dbt Labs. (2026). About dbt documentation. https://docs.getdbt.com/docs/build/documentation</w:t>
      </w:r>
    </w:p>
    <w:p w14:paraId="57688777" w14:textId="77777777" w:rsidR="00BB18A2" w:rsidRDefault="00000000">
      <w:pPr>
        <w:spacing w:line="360" w:lineRule="auto" w:after="120"/>
        <w:jc w:val="both"/>
      </w:pPr>
      <w:r>
        <w:rPr>
          <w:rFonts w:ascii="Times New Roman" w:hAnsi="Times New Roman" w:eastAsia="Times New Roman" w:cs="Times New Roman"/>
          <w:sz w:val="24"/>
        </w:rPr>
        <w:t>dbt Labs. (2026). What is dbt? https://docs.getdbt.com/docs/introduction</w:t>
      </w:r>
    </w:p>
    <w:p w14:paraId="6021C5E8" w14:textId="77777777" w:rsidR="00BB18A2" w:rsidRDefault="00000000">
      <w:pPr>
        <w:spacing w:line="360" w:lineRule="auto" w:after="120"/>
        <w:jc w:val="both"/>
      </w:pPr>
      <w:r>
        <w:rPr>
          <w:rFonts w:ascii="Times New Roman" w:hAnsi="Times New Roman" w:eastAsia="Times New Roman" w:cs="Times New Roman"/>
          <w:sz w:val="24"/>
        </w:rPr>
        <w:t>Dey, S., &amp; Roy, S. (2025). Digital Guardians: Revolutionizing pest management with AI and IoT for a greener future. In IoT and advanced intelligence computation for smart agriculture. CRC Press. https://doi.org/10.1201/9781003527664-5</w:t>
      </w:r>
    </w:p>
    <w:p w14:paraId="0AB241C8" w14:textId="77777777" w:rsidR="00BB18A2" w:rsidRDefault="00000000">
      <w:pPr>
        <w:spacing w:line="360" w:lineRule="auto" w:after="120"/>
        <w:jc w:val="both"/>
      </w:pPr>
      <w:r>
        <w:rPr>
          <w:rFonts w:ascii="Times New Roman" w:hAnsi="Times New Roman" w:eastAsia="Times New Roman" w:cs="Times New Roman"/>
          <w:sz w:val="24"/>
        </w:rPr>
        <w:t>Ejike, O., Ndzi, D., &amp; Shakir, M. Z. (2025). Comparative study of machine learning-based rainfall prediction in tropical and temperate climates. Climate, 13(8), 167. https://doi.org/10.3390/cli13080167</w:t>
      </w:r>
    </w:p>
    <w:p w14:paraId="739249BB" w14:textId="77777777" w:rsidR="00BB18A2" w:rsidRDefault="00000000">
      <w:pPr>
        <w:spacing w:line="360" w:lineRule="auto" w:after="120"/>
        <w:jc w:val="both"/>
      </w:pPr>
      <w:r>
        <w:rPr>
          <w:rFonts w:ascii="Times New Roman" w:hAnsi="Times New Roman" w:eastAsia="Times New Roman" w:cs="Times New Roman"/>
          <w:sz w:val="24"/>
        </w:rPr>
        <w:t>Erguler, K., et al. (2024). VEClim: An early warning decision support system for climate-sensitive vector activity and vector-borne disease risk assessment. Wellcome Open Research, 9, 697. https://doi.org/10.12688/wellcomeopenres.23122.1</w:t>
      </w:r>
    </w:p>
    <w:p w14:paraId="4E236DFD" w14:textId="77777777" w:rsidR="00BB18A2" w:rsidRDefault="00000000">
      <w:pPr>
        <w:spacing w:line="360" w:lineRule="auto" w:after="120"/>
        <w:jc w:val="both"/>
      </w:pPr>
      <w:r>
        <w:rPr>
          <w:rFonts w:ascii="Times New Roman" w:hAnsi="Times New Roman" w:eastAsia="Times New Roman" w:cs="Times New Roman"/>
          <w:sz w:val="24"/>
        </w:rPr>
        <w:t>Fiori, M., Fois, G., Gerardi, M. S., Maggio, F., Milesi, C., &amp; Pinna, A. (2024). SMARTerra, a high-resolution decision support system for monitoring plant pests and diseases. Applied Sciences, 14(18), 8275. https://doi.org/10.3390/app14188275</w:t>
      </w:r>
    </w:p>
    <w:p w14:paraId="403F61D8" w14:textId="77777777" w:rsidR="00BB18A2" w:rsidRDefault="00000000">
      <w:pPr>
        <w:spacing w:line="360" w:lineRule="auto" w:after="120"/>
        <w:jc w:val="both"/>
      </w:pPr>
      <w:r>
        <w:rPr>
          <w:rFonts w:ascii="Times New Roman" w:hAnsi="Times New Roman" w:eastAsia="Times New Roman" w:cs="Times New Roman"/>
          <w:sz w:val="24"/>
        </w:rPr>
        <w:t>Fu, Q., Nicholson, G. L., &amp; Easton, J. M. (2024). Understanding data quality in a data-driven industry context: Insights from the fundamentals. Journal of Industrial Information Integration, 42, 100729. https://doi.org/10.1016/j.jii.2024.100729</w:t>
      </w:r>
    </w:p>
    <w:p w14:paraId="5A997AA0" w14:textId="77777777" w:rsidR="00BB18A2" w:rsidRDefault="00000000">
      <w:pPr>
        <w:spacing w:line="360" w:lineRule="auto" w:after="120"/>
        <w:jc w:val="both"/>
      </w:pPr>
      <w:r>
        <w:rPr>
          <w:rFonts w:ascii="Times New Roman" w:hAnsi="Times New Roman" w:eastAsia="Times New Roman" w:cs="Times New Roman"/>
          <w:sz w:val="24"/>
        </w:rPr>
        <w:t>Google Calendar. (2026). Events: list. https://developers.google.com/workspace/calendar/api/v3/reference/events/list</w:t>
      </w:r>
    </w:p>
    <w:p w14:paraId="4D024030" w14:textId="77777777" w:rsidR="00BB18A2" w:rsidRDefault="00000000">
      <w:pPr>
        <w:spacing w:line="360" w:lineRule="auto" w:after="120"/>
        <w:jc w:val="both"/>
      </w:pPr>
      <w:r>
        <w:rPr>
          <w:rFonts w:ascii="Times New Roman" w:hAnsi="Times New Roman" w:eastAsia="Times New Roman" w:cs="Times New Roman"/>
          <w:sz w:val="24"/>
        </w:rPr>
        <w:t>Google Calendar. (2026). Google Calendar API overview. https://developers.google.com/workspace/calendar/api/guides/overview</w:t>
      </w:r>
    </w:p>
    <w:p w14:paraId="6A655923" w14:textId="77777777" w:rsidR="00BB18A2" w:rsidRDefault="00000000">
      <w:pPr>
        <w:spacing w:line="360" w:lineRule="auto" w:after="120"/>
        <w:jc w:val="both"/>
      </w:pPr>
      <w:r>
        <w:rPr>
          <w:rFonts w:ascii="Times New Roman" w:hAnsi="Times New Roman" w:eastAsia="Times New Roman" w:cs="Times New Roman"/>
          <w:sz w:val="24"/>
        </w:rPr>
        <w:t>Google Cloud. (2026). BigQuery documentation. https://cloud.google.com/bigquery/docs</w:t>
      </w:r>
    </w:p>
    <w:p w14:paraId="4D197C8A" w14:textId="77777777" w:rsidR="00BB18A2" w:rsidRDefault="00000000">
      <w:pPr>
        <w:spacing w:line="360" w:lineRule="auto" w:after="120"/>
        <w:jc w:val="both"/>
      </w:pPr>
      <w:r>
        <w:rPr>
          <w:rFonts w:ascii="Times New Roman" w:hAnsi="Times New Roman" w:eastAsia="Times New Roman" w:cs="Times New Roman"/>
          <w:sz w:val="24"/>
        </w:rPr>
        <w:t>Google Cloud. (2026). Introduction to BigQuery. https://cloud.google.com/bigquery/docs/introduction</w:t>
      </w:r>
    </w:p>
    <w:p w14:paraId="65CB9864" w14:textId="77777777" w:rsidR="00BB18A2" w:rsidRDefault="00000000">
      <w:pPr>
        <w:spacing w:line="360" w:lineRule="auto" w:after="120"/>
        <w:jc w:val="both"/>
      </w:pPr>
      <w:r>
        <w:rPr>
          <w:rFonts w:ascii="Times New Roman" w:hAnsi="Times New Roman" w:eastAsia="Times New Roman" w:cs="Times New Roman"/>
          <w:sz w:val="24"/>
        </w:rPr>
        <w:lastRenderedPageBreak/>
        <w:t>Gurcan, F., Ayaz, A., Menekse Dalveren, G. G., &amp; Derawi, M. (2023). Business intelligence strategies, best practices, and latest trends: Analysis of scientometric data from 2003 to 2023 using machine learning. Sustainability, 15(13), 9854. https://doi.org/10.3390/su15139854</w:t>
      </w:r>
    </w:p>
    <w:p w14:paraId="4EA22180" w14:textId="77777777" w:rsidR="00BB18A2" w:rsidRDefault="00000000">
      <w:pPr>
        <w:spacing w:line="360" w:lineRule="auto" w:after="120"/>
        <w:jc w:val="both"/>
      </w:pPr>
      <w:r>
        <w:rPr>
          <w:rFonts w:ascii="Times New Roman" w:hAnsi="Times New Roman" w:eastAsia="Times New Roman" w:cs="Times New Roman"/>
          <w:sz w:val="24"/>
        </w:rPr>
        <w:t>Hiscox, A., Spencer, F., Dennehy, J., Dyall, W., Jenkins, A., Narendran, A., Das, A., Logan, J. G., &amp; Jones, R. T. (2025). The impact of adverse weather events on cockroaches and flies, and the possible effects on disease. Medical and Veterinary Entomology, 39(3), 500-514. https://doi.org/10.1111/mve.12797</w:t>
      </w:r>
    </w:p>
    <w:p w14:paraId="3CEBF7ED" w14:textId="77777777" w:rsidR="00BB18A2" w:rsidRDefault="00000000">
      <w:pPr>
        <w:spacing w:line="360" w:lineRule="auto" w:after="120"/>
        <w:jc w:val="both"/>
      </w:pPr>
      <w:r>
        <w:rPr>
          <w:rFonts w:ascii="Times New Roman" w:hAnsi="Times New Roman" w:eastAsia="Times New Roman" w:cs="Times New Roman"/>
          <w:sz w:val="24"/>
        </w:rPr>
        <w:t>Kaloudis, E., Agrafioti, P., Sakka, M. K., &amp; Lampiri, E. (2026). A temperature-driven population dynamics model based on biweekly insect trap counts for stored-product pest management. Preprints. https://www.preprints.org/manuscript/202603.0573</w:t>
      </w:r>
    </w:p>
    <w:p w14:paraId="4393236D" w14:textId="77777777" w:rsidR="00BB18A2" w:rsidRDefault="00000000">
      <w:pPr>
        <w:spacing w:line="360" w:lineRule="auto" w:after="120"/>
        <w:jc w:val="both"/>
      </w:pPr>
      <w:r>
        <w:rPr>
          <w:rFonts w:ascii="Times New Roman" w:hAnsi="Times New Roman" w:eastAsia="Times New Roman" w:cs="Times New Roman"/>
          <w:sz w:val="24"/>
        </w:rPr>
        <w:t>Leybourne, D. J., Musa, N., &amp; Yang, P. (2025). Can artificial intelligence be integrated into pest monitoring schemes to help achieve sustainable agriculture? An entomological, management and computational perspective. Agricultural and Forest Entomology, 27(1), 8-17. https://doi.org/10.1111/afe.12630</w:t>
      </w:r>
    </w:p>
    <w:p w14:paraId="7EC2EEC0" w14:textId="77777777" w:rsidR="00BB18A2" w:rsidRDefault="00000000">
      <w:pPr>
        <w:spacing w:line="360" w:lineRule="auto" w:after="120"/>
        <w:jc w:val="both"/>
      </w:pPr>
      <w:r>
        <w:rPr>
          <w:rFonts w:ascii="Times New Roman" w:hAnsi="Times New Roman" w:eastAsia="Times New Roman" w:cs="Times New Roman"/>
          <w:sz w:val="24"/>
        </w:rPr>
        <w:t>Li, W., Dodwell, E., &amp; Cook, D. (2023). A clustering algorithm to organize satellite hotspot data for the purpose of tracking bushfires remotely. The R Journal, 15(1), 17-33. https://journal.r-project.org/articles/RJ-2023-022/</w:t>
      </w:r>
    </w:p>
    <w:p w14:paraId="174E3A02" w14:textId="77777777" w:rsidR="00BB18A2" w:rsidRDefault="00000000">
      <w:pPr>
        <w:spacing w:line="360" w:lineRule="auto" w:after="120"/>
        <w:jc w:val="both"/>
      </w:pPr>
      <w:r>
        <w:rPr>
          <w:rFonts w:ascii="Times New Roman" w:hAnsi="Times New Roman" w:eastAsia="Times New Roman" w:cs="Times New Roman"/>
          <w:sz w:val="24"/>
        </w:rPr>
        <w:t>Lu, X., Wijayaratna, K., Huang, Y., &amp; Qiu, A. (2022). AI-enabled opportunities and transformation challenges for SMEs in the post-pandemic era: A review and research agenda. Frontiers in Public Health, 10, 885067. https://doi.org/10.3389/fpubh.2022.885067</w:t>
      </w:r>
    </w:p>
    <w:p w14:paraId="2F1414C0" w14:textId="77777777" w:rsidR="00BB18A2" w:rsidRDefault="00000000">
      <w:pPr>
        <w:spacing w:line="360" w:lineRule="auto" w:after="120"/>
        <w:jc w:val="both"/>
      </w:pPr>
      <w:r>
        <w:rPr>
          <w:rFonts w:ascii="Times New Roman" w:hAnsi="Times New Roman" w:eastAsia="Times New Roman" w:cs="Times New Roman"/>
          <w:sz w:val="24"/>
        </w:rPr>
        <w:t>Malaysia OpenAPI. (2026). Weather: Malaysia official Open API. https://developer.data.gov.my/realtime-api/weather</w:t>
      </w:r>
    </w:p>
    <w:p w14:paraId="306CE22B" w14:textId="77777777" w:rsidR="00BB18A2" w:rsidRDefault="00000000">
      <w:pPr>
        <w:spacing w:line="360" w:lineRule="auto" w:after="120"/>
        <w:jc w:val="both"/>
      </w:pPr>
      <w:r>
        <w:rPr>
          <w:rFonts w:ascii="Times New Roman" w:hAnsi="Times New Roman" w:eastAsia="Times New Roman" w:cs="Times New Roman"/>
          <w:sz w:val="24"/>
        </w:rPr>
        <w:t>Malaysian Meteorological Department. (2026). Web Service API. https://api.met.gov.my/</w:t>
      </w:r>
    </w:p>
    <w:p w14:paraId="5C2D4BFC" w14:textId="77777777" w:rsidR="00BB18A2" w:rsidRDefault="00000000">
      <w:pPr>
        <w:spacing w:line="360" w:lineRule="auto" w:after="120"/>
        <w:jc w:val="both"/>
      </w:pPr>
      <w:r>
        <w:rPr>
          <w:rFonts w:ascii="Times New Roman" w:hAnsi="Times New Roman" w:eastAsia="Times New Roman" w:cs="Times New Roman"/>
          <w:sz w:val="24"/>
        </w:rPr>
        <w:t>Marinko, J., Blazica, B., Jorgensen, L. N., Matzen, N., Ramsden, M., &amp; Debeljak, M. (2024).</w:t>
      </w:r>
    </w:p>
    <w:p w14:paraId="50C8DD82" w14:textId="77777777" w:rsidR="00BB18A2" w:rsidRDefault="00000000">
      <w:pPr>
        <w:spacing w:line="360" w:lineRule="auto" w:after="120"/>
        <w:jc w:val="both"/>
      </w:pPr>
      <w:r>
        <w:rPr>
          <w:rFonts w:ascii="Times New Roman" w:hAnsi="Times New Roman" w:eastAsia="Times New Roman" w:cs="Times New Roman"/>
          <w:sz w:val="24"/>
        </w:rPr>
        <w:t>Marinko, J., Kuzmanovski, V., Ramsden, M., &amp; Debeljak, M. (2025). Overcoming barriers to the adoption of decision support systems in integrated pest management in some European countries. Agronomy, 15(2), 426. https://doi.org/10.3390/agronomy15020426</w:t>
      </w:r>
    </w:p>
    <w:p w14:paraId="44E6B1B2" w14:textId="77777777" w:rsidR="00BB18A2" w:rsidRDefault="00000000">
      <w:pPr>
        <w:spacing w:line="360" w:lineRule="auto" w:after="120"/>
        <w:jc w:val="both"/>
      </w:pPr>
      <w:r>
        <w:rPr>
          <w:rFonts w:ascii="Times New Roman" w:hAnsi="Times New Roman" w:eastAsia="Times New Roman" w:cs="Times New Roman"/>
          <w:sz w:val="24"/>
        </w:rPr>
        <w:t>Open-Meteo. (2026). Historical Weather API. https://open-meteo.com/en/docs/historical-weather-api</w:t>
      </w:r>
    </w:p>
    <w:p w14:paraId="613BE1F6" w14:textId="77777777" w:rsidR="00BB18A2" w:rsidRDefault="00000000">
      <w:pPr>
        <w:spacing w:line="360" w:lineRule="auto" w:after="120"/>
        <w:jc w:val="both"/>
      </w:pPr>
      <w:r>
        <w:rPr>
          <w:rFonts w:ascii="Times New Roman" w:hAnsi="Times New Roman" w:eastAsia="Times New Roman" w:cs="Times New Roman"/>
          <w:sz w:val="24"/>
        </w:rPr>
        <w:t>Open-Meteo. (2026). Licence and data sources. https://open-meteo.com/en/licence</w:t>
      </w:r>
    </w:p>
    <w:p w14:paraId="51589493" w14:textId="77777777" w:rsidR="00BB18A2" w:rsidRDefault="00000000">
      <w:pPr>
        <w:spacing w:line="360" w:lineRule="auto" w:after="120"/>
        <w:jc w:val="both"/>
      </w:pPr>
      <w:r>
        <w:rPr>
          <w:rFonts w:ascii="Times New Roman" w:hAnsi="Times New Roman" w:eastAsia="Times New Roman" w:cs="Times New Roman"/>
          <w:sz w:val="24"/>
        </w:rPr>
        <w:t>Pinto, A. F., Olmstead, D., Calixto, A. A., &amp; Gomez, M. I. (2025). Network for Environment and Weather Applications: An overview of the digital pest management decision support tool. Applied Economics Teaching Resources. https://www.aetrjournal.org/UserFiles/file/AETR_2025_0218%20Final.pdf</w:t>
      </w:r>
    </w:p>
    <w:p w14:paraId="4E48AF0E" w14:textId="77777777" w:rsidR="00BB18A2" w:rsidRDefault="00000000">
      <w:pPr>
        <w:spacing w:line="360" w:lineRule="auto" w:after="120"/>
        <w:jc w:val="both"/>
      </w:pPr>
      <w:r>
        <w:rPr>
          <w:rFonts w:ascii="Times New Roman" w:hAnsi="Times New Roman" w:eastAsia="Times New Roman" w:cs="Times New Roman"/>
          <w:sz w:val="24"/>
        </w:rPr>
        <w:t>Ragazou, K., Passas, I., Garefalakis, A., &amp; Zopounidis, C. (2023). Business intelligence model empowering SMEs to make better decisions and enhance their competitive advantage. Discover Analytics, 1, 2. https://doi.org/10.1007/s44257-022-00002-3</w:t>
      </w:r>
    </w:p>
    <w:p w14:paraId="55709C41" w14:textId="77777777" w:rsidR="00BB18A2" w:rsidRDefault="00000000">
      <w:pPr>
        <w:spacing w:line="360" w:lineRule="auto" w:after="120"/>
        <w:jc w:val="both"/>
      </w:pPr>
      <w:r>
        <w:rPr>
          <w:rFonts w:ascii="Times New Roman" w:hAnsi="Times New Roman" w:eastAsia="Times New Roman" w:cs="Times New Roman"/>
          <w:sz w:val="24"/>
        </w:rPr>
        <w:t>Richardson, J. L., McCoy, E. P., Parlavecchio, N., et al. (2025). Increasing rat numbers in cities are linked to climate warming, urbanization, and human population. Science Advances, 11(5), eads6782. https://doi.org/10.1126/sciadv.ads6782</w:t>
      </w:r>
    </w:p>
    <w:p w14:paraId="5C27403B" w14:textId="77777777" w:rsidR="00BB18A2" w:rsidRDefault="00000000">
      <w:pPr>
        <w:spacing w:line="360" w:lineRule="auto" w:after="120"/>
        <w:jc w:val="both"/>
      </w:pPr>
      <w:r>
        <w:rPr>
          <w:rFonts w:ascii="Times New Roman" w:hAnsi="Times New Roman" w:eastAsia="Times New Roman" w:cs="Times New Roman"/>
          <w:sz w:val="24"/>
        </w:rPr>
        <w:lastRenderedPageBreak/>
        <w:t>Schulze, A., Brand, F., Geppert, J., &amp; Bol, G.-F. (2023). Digital dashboards visualizing public health data: A systematic review. Frontiers in Public Health, 11, 999958. https://doi.org/10.3389/fpubh.2023.999958</w:t>
      </w:r>
    </w:p>
    <w:p w14:paraId="68D7F05F" w14:textId="77777777" w:rsidR="00BB18A2" w:rsidRDefault="00000000">
      <w:pPr>
        <w:spacing w:line="360" w:lineRule="auto" w:after="120"/>
        <w:jc w:val="both"/>
      </w:pPr>
      <w:r>
        <w:rPr>
          <w:rFonts w:ascii="Times New Roman" w:hAnsi="Times New Roman" w:eastAsia="Times New Roman" w:cs="Times New Roman"/>
          <w:sz w:val="24"/>
        </w:rPr>
        <w:t>Sumido, E. C., Feliscuzo, L. S., &amp; Aliac, C. J. G. (2023). Pest classification and prediction: Analyzing the impact of weather to pest occurrence through machine learning. Journal of Engineering Science and Technology, 18, 124-138.</w:t>
      </w:r>
    </w:p>
    <w:p w14:paraId="3F2D5DA7" w14:textId="77777777" w:rsidR="00BB18A2" w:rsidRDefault="00000000">
      <w:pPr>
        <w:spacing w:line="360" w:lineRule="auto" w:after="120"/>
        <w:jc w:val="both"/>
      </w:pPr>
      <w:r>
        <w:rPr>
          <w:rFonts w:ascii="Times New Roman" w:hAnsi="Times New Roman" w:eastAsia="Times New Roman" w:cs="Times New Roman"/>
          <w:sz w:val="24"/>
        </w:rPr>
        <w:t>Tonle, F. B. N., Niassy, S., Ndadji, M. M. Z., Tchendji, M. T., Nzeukou, A., Mudereri, B. T., Senagi, K., &amp; Tonnang, H. E. Z. (2024). A road map for developing novel decision support system (DSS) for disseminating integrated pest management (IPM) technologies. Computers and Electronics in Agriculture, 217, 108526. https://doi.org/10.1016/j.compag.2023.108526</w:t>
      </w:r>
    </w:p>
    <w:p w14:paraId="4A6EB426" w14:textId="77777777" w:rsidR="00BB18A2" w:rsidRDefault="00000000">
      <w:pPr>
        <w:spacing w:line="360" w:lineRule="auto" w:after="120"/>
        <w:jc w:val="both"/>
      </w:pPr>
      <w:r>
        <w:rPr>
          <w:rFonts w:ascii="Times New Roman" w:hAnsi="Times New Roman" w:eastAsia="Times New Roman" w:cs="Times New Roman"/>
          <w:sz w:val="24"/>
        </w:rPr>
        <w:t>Typology for decision support systems in integrated pest management and its implementation as a web application. Agronomy, 14(3), 485. https://doi.org/10.3390/agronomy14030485</w:t>
      </w:r>
    </w:p>
    <w:p w14:paraId="1401DF8A" w14:textId="77777777" w:rsidR="00BB18A2" w:rsidRDefault="00000000">
      <w:pPr>
        <w:spacing w:line="360" w:lineRule="auto" w:after="120"/>
        <w:jc w:val="both"/>
      </w:pPr>
      <w:r>
        <w:rPr>
          <w:rFonts w:ascii="Times New Roman" w:hAnsi="Times New Roman" w:eastAsia="Times New Roman" w:cs="Times New Roman"/>
          <w:sz w:val="24"/>
        </w:rPr>
        <w:t>Yao, J., Zhou, Z., Liu, H., Yao, S., &amp; Wu, J. (2026). Analyzing the influence of environment, demographic and socio-economic factors on Aedes albopictus (Diptera: Culicidae) mosquito density at the micro-level using XGBoost and SHAP. Parasites &amp; Vectors, 19, 71. https://doi.org/10.1186/s13071-025-07220-0</w:t>
      </w:r>
    </w:p>
    <w:p w14:paraId="26E95A6C" w14:textId="77777777" w:rsidR="00BB18A2" w:rsidRDefault="00000000">
      <w:pPr>
        <w:spacing w:line="360" w:lineRule="auto" w:after="120"/>
        <w:jc w:val="both"/>
      </w:pPr>
      <w:r>
        <w:rPr>
          <w:rFonts w:ascii="Times New Roman" w:hAnsi="Times New Roman" w:eastAsia="Times New Roman" w:cs="Times New Roman"/>
          <w:sz w:val="24"/>
        </w:rPr>
        <w:t>Zippenfenig, P. (2023). Open-Meteo.com Weather API [Computer software]. Zenodo. https://doi.org/10.5281/zenodo.7970649</w:t>
      </w:r>
    </w:p>
    <w:p>
      <w:pPr>
        <w:pStyle w:val="Heading1"/>
        <w:keepNext/>
        <w:pageBreakBefore/>
        <w:spacing w:line="360" w:lineRule="auto" w:after="120"/>
        <w:jc w:val="left"/>
      </w:pPr>
      <w:r>
        <w:rPr>
          <w:rFonts w:ascii="Times New Roman" w:hAnsi="Times New Roman" w:eastAsia="Times New Roman"/>
          <w:b/>
          <w:color w:val="000000"/>
          <w:sz w:val="24"/>
        </w:rPr>
        <w:t>Appendix A: Data Sources and Planned Use</w:t>
      </w:r>
    </w:p>
    <w:p>
      <w:pPr>
        <w:spacing w:line="360" w:lineRule="auto" w:after="120"/>
        <w:jc w:val="both"/>
      </w:pPr>
      <w:r>
        <w:rPr>
          <w:rFonts w:ascii="Times New Roman" w:hAnsi="Times New Roman" w:eastAsia="Times New Roman"/>
          <w:sz w:val="24"/>
        </w:rPr>
        <w:t>This appendix summarises the data sources expected to be used in CP2. The exact column names are not treated as final in CP1 because the company Google Sheets and Calendar structures may change. CP2 will begin with source profiling and a confirmed data dictionary before loading data into the selected analytics storage platform.</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6"/>
        <w:gridCol w:w="2256"/>
        <w:gridCol w:w="2256"/>
        <w:gridCol w:w="2256"/>
      </w:tblGrid>
      <w:tr>
        <w:tc>
          <w:tcPr>
            <w:tcW w:type="dxa" w:w="2256"/>
            <w:vAlign w:val="center"/>
            <w:shd w:fill="DCEAF7"/>
            <w:shd w:fill="DCEAF7"/>
          </w:tcPr>
          <w:p>
            <w:pPr>
              <w:spacing w:line="276" w:lineRule="auto" w:after="40"/>
              <w:jc w:val="left"/>
            </w:pPr>
            <w:r>
              <w:rPr>
                <w:rFonts w:ascii="Times New Roman" w:hAnsi="Times New Roman" w:eastAsia="Times New Roman"/>
                <w:b/>
                <w:sz w:val="20"/>
              </w:rPr>
              <w:t>Source</w:t>
            </w:r>
          </w:p>
        </w:tc>
        <w:tc>
          <w:tcPr>
            <w:tcW w:type="dxa" w:w="2256"/>
            <w:vAlign w:val="center"/>
            <w:shd w:fill="DCEAF7"/>
            <w:shd w:fill="DCEAF7"/>
          </w:tcPr>
          <w:p>
            <w:pPr>
              <w:spacing w:line="276" w:lineRule="auto" w:after="40"/>
              <w:jc w:val="left"/>
            </w:pPr>
            <w:r>
              <w:rPr>
                <w:rFonts w:ascii="Times New Roman" w:hAnsi="Times New Roman" w:eastAsia="Times New Roman"/>
                <w:b/>
                <w:sz w:val="20"/>
              </w:rPr>
              <w:t>Expected Content</w:t>
            </w:r>
          </w:p>
        </w:tc>
        <w:tc>
          <w:tcPr>
            <w:tcW w:type="dxa" w:w="2256"/>
            <w:vAlign w:val="center"/>
            <w:shd w:fill="DCEAF7"/>
            <w:shd w:fill="DCEAF7"/>
          </w:tcPr>
          <w:p>
            <w:pPr>
              <w:spacing w:line="276" w:lineRule="auto" w:after="40"/>
              <w:jc w:val="left"/>
            </w:pPr>
            <w:r>
              <w:rPr>
                <w:rFonts w:ascii="Times New Roman" w:hAnsi="Times New Roman" w:eastAsia="Times New Roman"/>
                <w:b/>
                <w:sz w:val="20"/>
              </w:rPr>
              <w:t>Planned Use</w:t>
            </w:r>
          </w:p>
        </w:tc>
        <w:tc>
          <w:tcPr>
            <w:tcW w:type="dxa" w:w="2256"/>
            <w:vAlign w:val="center"/>
            <w:shd w:fill="DCEAF7"/>
            <w:shd w:fill="DCEAF7"/>
          </w:tcPr>
          <w:p>
            <w:pPr>
              <w:spacing w:line="276" w:lineRule="auto" w:after="40"/>
              <w:jc w:val="left"/>
            </w:pPr>
            <w:r>
              <w:rPr>
                <w:rFonts w:ascii="Times New Roman" w:hAnsi="Times New Roman" w:eastAsia="Times New Roman"/>
                <w:b/>
                <w:sz w:val="20"/>
              </w:rPr>
              <w:t>CP2 Confirmation Needed</w:t>
            </w:r>
          </w:p>
        </w:tc>
      </w:tr>
      <w:tr>
        <w:tc>
          <w:tcPr>
            <w:tcW w:type="dxa" w:w="2256"/>
            <w:vAlign w:val="center"/>
          </w:tcPr>
          <w:p>
            <w:pPr>
              <w:spacing w:line="276" w:lineRule="auto" w:after="40"/>
              <w:jc w:val="left"/>
            </w:pPr>
            <w:r>
              <w:rPr>
                <w:rFonts w:ascii="Times New Roman" w:hAnsi="Times New Roman" w:eastAsia="Times New Roman"/>
                <w:sz w:val="20"/>
              </w:rPr>
              <w:t>Google Sheets / CSV exports</w:t>
            </w:r>
          </w:p>
        </w:tc>
        <w:tc>
          <w:tcPr>
            <w:tcW w:type="dxa" w:w="2256"/>
            <w:vAlign w:val="center"/>
          </w:tcPr>
          <w:p>
            <w:pPr>
              <w:spacing w:line="276" w:lineRule="auto" w:after="40"/>
              <w:jc w:val="left"/>
            </w:pPr>
            <w:r>
              <w:rPr>
                <w:rFonts w:ascii="Times New Roman" w:hAnsi="Times New Roman" w:eastAsia="Times New Roman"/>
                <w:sz w:val="20"/>
              </w:rPr>
              <w:t>Prospects, service records, sales, payments, payment links, warranty claims, refunds, and upsell records.</w:t>
            </w:r>
          </w:p>
        </w:tc>
        <w:tc>
          <w:tcPr>
            <w:tcW w:type="dxa" w:w="2256"/>
            <w:vAlign w:val="center"/>
          </w:tcPr>
          <w:p>
            <w:pPr>
              <w:spacing w:line="276" w:lineRule="auto" w:after="40"/>
              <w:jc w:val="left"/>
            </w:pPr>
            <w:r>
              <w:rPr>
                <w:rFonts w:ascii="Times New Roman" w:hAnsi="Times New Roman" w:eastAsia="Times New Roman"/>
                <w:sz w:val="20"/>
              </w:rPr>
              <w:t>Main operational data for service, revenue, warranty, refund, upsell, and funnel analytics.</w:t>
            </w:r>
          </w:p>
        </w:tc>
        <w:tc>
          <w:tcPr>
            <w:tcW w:type="dxa" w:w="2256"/>
            <w:vAlign w:val="center"/>
          </w:tcPr>
          <w:p>
            <w:pPr>
              <w:spacing w:line="276" w:lineRule="auto" w:after="40"/>
              <w:jc w:val="left"/>
            </w:pPr>
            <w:r>
              <w:rPr>
                <w:rFonts w:ascii="Times New Roman" w:hAnsi="Times New Roman" w:eastAsia="Times New Roman"/>
                <w:sz w:val="20"/>
              </w:rPr>
              <w:t>Confirm sheet tabs, column names, required fields, aliases, duplicate rules, and update frequency.</w:t>
            </w:r>
          </w:p>
        </w:tc>
      </w:tr>
      <w:tr>
        <w:tc>
          <w:tcPr>
            <w:tcW w:type="dxa" w:w="2256"/>
            <w:vAlign w:val="center"/>
          </w:tcPr>
          <w:p>
            <w:pPr>
              <w:spacing w:line="276" w:lineRule="auto" w:after="40"/>
              <w:jc w:val="left"/>
            </w:pPr>
            <w:r>
              <w:rPr>
                <w:rFonts w:ascii="Times New Roman" w:hAnsi="Times New Roman" w:eastAsia="Times New Roman"/>
                <w:sz w:val="20"/>
              </w:rPr>
              <w:t>Google Calendar</w:t>
            </w:r>
          </w:p>
        </w:tc>
        <w:tc>
          <w:tcPr>
            <w:tcW w:type="dxa" w:w="2256"/>
            <w:vAlign w:val="center"/>
          </w:tcPr>
          <w:p>
            <w:pPr>
              <w:spacing w:line="276" w:lineRule="auto" w:after="40"/>
              <w:jc w:val="left"/>
            </w:pPr>
            <w:r>
              <w:rPr>
                <w:rFonts w:ascii="Times New Roman" w:hAnsi="Times New Roman" w:eastAsia="Times New Roman"/>
                <w:sz w:val="20"/>
              </w:rPr>
              <w:t>Team schedules, event titles/descriptions, start/end times, session type clues, area/team information.</w:t>
            </w:r>
          </w:p>
        </w:tc>
        <w:tc>
          <w:tcPr>
            <w:tcW w:type="dxa" w:w="2256"/>
            <w:vAlign w:val="center"/>
          </w:tcPr>
          <w:p>
            <w:pPr>
              <w:spacing w:line="276" w:lineRule="auto" w:after="40"/>
              <w:jc w:val="left"/>
            </w:pPr>
            <w:r>
              <w:rPr>
                <w:rFonts w:ascii="Times New Roman" w:hAnsi="Times New Roman" w:eastAsia="Times New Roman"/>
                <w:sz w:val="20"/>
              </w:rPr>
              <w:t>Scheduling capacity, warranty/extra/new session split, session gaps, and technician/team workload context.</w:t>
            </w:r>
          </w:p>
        </w:tc>
        <w:tc>
          <w:tcPr>
            <w:tcW w:type="dxa" w:w="2256"/>
            <w:vAlign w:val="center"/>
          </w:tcPr>
          <w:p>
            <w:pPr>
              <w:spacing w:line="276" w:lineRule="auto" w:after="40"/>
              <w:jc w:val="left"/>
            </w:pPr>
            <w:r>
              <w:rPr>
                <w:rFonts w:ascii="Times New Roman" w:hAnsi="Times New Roman" w:eastAsia="Times New Roman"/>
                <w:sz w:val="20"/>
              </w:rPr>
              <w:t>Confirm which calendars are accessible, how event descriptions are formatted, and how reliably events can match services.</w:t>
            </w:r>
          </w:p>
        </w:tc>
      </w:tr>
      <w:tr>
        <w:tc>
          <w:tcPr>
            <w:tcW w:type="dxa" w:w="2256"/>
            <w:vAlign w:val="center"/>
          </w:tcPr>
          <w:p>
            <w:pPr>
              <w:spacing w:line="276" w:lineRule="auto" w:after="40"/>
              <w:jc w:val="left"/>
            </w:pPr>
            <w:r>
              <w:rPr>
                <w:rFonts w:ascii="Times New Roman" w:hAnsi="Times New Roman" w:eastAsia="Times New Roman"/>
                <w:sz w:val="20"/>
              </w:rPr>
              <w:t>Weather APIs / files</w:t>
            </w:r>
          </w:p>
        </w:tc>
        <w:tc>
          <w:tcPr>
            <w:tcW w:type="dxa" w:w="2256"/>
            <w:vAlign w:val="center"/>
          </w:tcPr>
          <w:p>
            <w:pPr>
              <w:spacing w:line="276" w:lineRule="auto" w:after="40"/>
              <w:jc w:val="left"/>
            </w:pPr>
            <w:r>
              <w:rPr>
                <w:rFonts w:ascii="Times New Roman" w:hAnsi="Times New Roman" w:eastAsia="Times New Roman"/>
                <w:sz w:val="20"/>
              </w:rPr>
              <w:t>Historical rainfall, humidity, temperature, and optional flood/current warning indicators.</w:t>
            </w:r>
          </w:p>
        </w:tc>
        <w:tc>
          <w:tcPr>
            <w:tcW w:type="dxa" w:w="2256"/>
            <w:vAlign w:val="center"/>
          </w:tcPr>
          <w:p>
            <w:pPr>
              <w:spacing w:line="276" w:lineRule="auto" w:after="40"/>
              <w:jc w:val="left"/>
            </w:pPr>
            <w:r>
              <w:rPr>
                <w:rFonts w:ascii="Times New Roman" w:hAnsi="Times New Roman" w:eastAsia="Times New Roman"/>
                <w:sz w:val="20"/>
              </w:rPr>
              <w:t>Weather-associated risk indicators and service-date enrichment.</w:t>
            </w:r>
          </w:p>
        </w:tc>
        <w:tc>
          <w:tcPr>
            <w:tcW w:type="dxa" w:w="2256"/>
            <w:vAlign w:val="center"/>
          </w:tcPr>
          <w:p>
            <w:pPr>
              <w:spacing w:line="276" w:lineRule="auto" w:after="40"/>
              <w:jc w:val="left"/>
            </w:pPr>
            <w:r>
              <w:rPr>
                <w:rFonts w:ascii="Times New Roman" w:hAnsi="Times New Roman" w:eastAsia="Times New Roman"/>
                <w:sz w:val="20"/>
              </w:rPr>
              <w:t>Confirm area/postcode coordinate coverage, API variables, missing-weather handling, and warning-source availability.</w:t>
            </w:r>
          </w:p>
        </w:tc>
      </w:tr>
      <w:tr>
        <w:tc>
          <w:tcPr>
            <w:tcW w:type="dxa" w:w="2256"/>
            <w:vAlign w:val="center"/>
          </w:tcPr>
          <w:p>
            <w:pPr>
              <w:spacing w:line="276" w:lineRule="auto" w:after="40"/>
              <w:jc w:val="left"/>
            </w:pPr>
            <w:r>
              <w:rPr>
                <w:rFonts w:ascii="Times New Roman" w:hAnsi="Times New Roman" w:eastAsia="Times New Roman"/>
                <w:sz w:val="20"/>
              </w:rPr>
              <w:t>Manual review inputs</w:t>
            </w:r>
          </w:p>
        </w:tc>
        <w:tc>
          <w:tcPr>
            <w:tcW w:type="dxa" w:w="2256"/>
            <w:vAlign w:val="center"/>
          </w:tcPr>
          <w:p>
            <w:pPr>
              <w:spacing w:line="276" w:lineRule="auto" w:after="40"/>
              <w:jc w:val="left"/>
            </w:pPr>
            <w:r>
              <w:rPr>
                <w:rFonts w:ascii="Times New Roman" w:hAnsi="Times New Roman" w:eastAsia="Times New Roman"/>
                <w:sz w:val="20"/>
              </w:rPr>
              <w:t>Manager notes, suspected warranty factors, review priority, and evidence notes where available.</w:t>
            </w:r>
          </w:p>
        </w:tc>
        <w:tc>
          <w:tcPr>
            <w:tcW w:type="dxa" w:w="2256"/>
            <w:vAlign w:val="center"/>
          </w:tcPr>
          <w:p>
            <w:pPr>
              <w:spacing w:line="276" w:lineRule="auto" w:after="40"/>
              <w:jc w:val="left"/>
            </w:pPr>
            <w:r>
              <w:rPr>
                <w:rFonts w:ascii="Times New Roman" w:hAnsi="Times New Roman" w:eastAsia="Times New Roman"/>
                <w:sz w:val="20"/>
              </w:rPr>
              <w:t>Improve warranty factor grouping and recommendation explanations.</w:t>
            </w:r>
          </w:p>
        </w:tc>
        <w:tc>
          <w:tcPr>
            <w:tcW w:type="dxa" w:w="2256"/>
            <w:vAlign w:val="center"/>
          </w:tcPr>
          <w:p>
            <w:pPr>
              <w:spacing w:line="276" w:lineRule="auto" w:after="40"/>
              <w:jc w:val="left"/>
            </w:pPr>
            <w:r>
              <w:rPr>
                <w:rFonts w:ascii="Times New Roman" w:hAnsi="Times New Roman" w:eastAsia="Times New Roman"/>
                <w:sz w:val="20"/>
              </w:rPr>
              <w:t>Confirm whether the company can add these fields consistently in CP2.</w:t>
            </w:r>
          </w:p>
        </w:tc>
      </w:tr>
    </w:tbl>
    <w:p>
      <w:pPr>
        <w:pStyle w:val="Heading1"/>
        <w:keepNext/>
        <w:pageBreakBefore/>
        <w:spacing w:line="360" w:lineRule="auto" w:after="120"/>
        <w:jc w:val="left"/>
      </w:pPr>
      <w:r>
        <w:rPr>
          <w:rFonts w:ascii="Times New Roman" w:hAnsi="Times New Roman" w:eastAsia="Times New Roman"/>
          <w:b/>
          <w:color w:val="000000"/>
          <w:sz w:val="24"/>
        </w:rPr>
        <w:t>Appendix B: Planned Dashboard Outputs</w:t>
      </w:r>
    </w:p>
    <w:p>
      <w:pPr>
        <w:spacing w:line="360" w:lineRule="auto" w:after="120"/>
        <w:jc w:val="both"/>
      </w:pPr>
      <w:r>
        <w:rPr>
          <w:rFonts w:ascii="Times New Roman" w:hAnsi="Times New Roman" w:eastAsia="Times New Roman"/>
          <w:sz w:val="24"/>
        </w:rPr>
        <w:t>This appendix describes the planned dashboard outputs as business questions rather than fixed screens. The final dashboard design may be adjusted after data profiling and user feedback.</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09"/>
        <w:gridCol w:w="3009"/>
        <w:gridCol w:w="3009"/>
      </w:tblGrid>
      <w:tr>
        <w:tc>
          <w:tcPr>
            <w:tcW w:type="dxa" w:w="3009"/>
            <w:vAlign w:val="center"/>
            <w:shd w:fill="DCEAF7"/>
            <w:shd w:fill="DCEAF7"/>
          </w:tcPr>
          <w:p>
            <w:pPr>
              <w:spacing w:line="276" w:lineRule="auto" w:after="40"/>
              <w:jc w:val="left"/>
            </w:pPr>
            <w:r>
              <w:rPr>
                <w:rFonts w:ascii="Times New Roman" w:hAnsi="Times New Roman" w:eastAsia="Times New Roman"/>
                <w:b/>
                <w:sz w:val="20"/>
              </w:rPr>
              <w:t>Business Question</w:t>
            </w:r>
          </w:p>
        </w:tc>
        <w:tc>
          <w:tcPr>
            <w:tcW w:type="dxa" w:w="3009"/>
            <w:vAlign w:val="center"/>
            <w:shd w:fill="DCEAF7"/>
            <w:shd w:fill="DCEAF7"/>
          </w:tcPr>
          <w:p>
            <w:pPr>
              <w:spacing w:line="276" w:lineRule="auto" w:after="40"/>
              <w:jc w:val="left"/>
            </w:pPr>
            <w:r>
              <w:rPr>
                <w:rFonts w:ascii="Times New Roman" w:hAnsi="Times New Roman" w:eastAsia="Times New Roman"/>
                <w:b/>
                <w:sz w:val="20"/>
              </w:rPr>
              <w:t>Planned Dashboard Output</w:t>
            </w:r>
          </w:p>
        </w:tc>
        <w:tc>
          <w:tcPr>
            <w:tcW w:type="dxa" w:w="3009"/>
            <w:vAlign w:val="center"/>
            <w:shd w:fill="DCEAF7"/>
            <w:shd w:fill="DCEAF7"/>
          </w:tcPr>
          <w:p>
            <w:pPr>
              <w:spacing w:line="276" w:lineRule="auto" w:after="40"/>
              <w:jc w:val="left"/>
            </w:pPr>
            <w:r>
              <w:rPr>
                <w:rFonts w:ascii="Times New Roman" w:hAnsi="Times New Roman" w:eastAsia="Times New Roman"/>
                <w:b/>
                <w:sz w:val="20"/>
              </w:rPr>
              <w:t>Notes</w:t>
            </w:r>
          </w:p>
        </w:tc>
      </w:tr>
      <w:tr>
        <w:tc>
          <w:tcPr>
            <w:tcW w:type="dxa" w:w="3009"/>
            <w:vAlign w:val="center"/>
          </w:tcPr>
          <w:p>
            <w:pPr>
              <w:spacing w:line="276" w:lineRule="auto" w:after="40"/>
              <w:jc w:val="left"/>
            </w:pPr>
            <w:r>
              <w:rPr>
                <w:rFonts w:ascii="Times New Roman" w:hAnsi="Times New Roman" w:eastAsia="Times New Roman"/>
                <w:sz w:val="20"/>
              </w:rPr>
              <w:t>What is happening in the business?</w:t>
            </w:r>
          </w:p>
        </w:tc>
        <w:tc>
          <w:tcPr>
            <w:tcW w:type="dxa" w:w="3009"/>
            <w:vAlign w:val="center"/>
          </w:tcPr>
          <w:p>
            <w:pPr>
              <w:spacing w:line="276" w:lineRule="auto" w:after="40"/>
              <w:jc w:val="left"/>
            </w:pPr>
            <w:r>
              <w:rPr>
                <w:rFonts w:ascii="Times New Roman" w:hAnsi="Times New Roman" w:eastAsia="Times New Roman"/>
                <w:sz w:val="20"/>
              </w:rPr>
              <w:t>Executive summary with services, revenue, claims, refunds, upsell, refresh status, and day/week/month trends.</w:t>
            </w:r>
          </w:p>
        </w:tc>
        <w:tc>
          <w:tcPr>
            <w:tcW w:type="dxa" w:w="3009"/>
            <w:vAlign w:val="center"/>
          </w:tcPr>
          <w:p>
            <w:pPr>
              <w:spacing w:line="276" w:lineRule="auto" w:after="40"/>
              <w:jc w:val="left"/>
            </w:pPr>
            <w:r>
              <w:rPr>
                <w:rFonts w:ascii="Times New Roman" w:hAnsi="Times New Roman" w:eastAsia="Times New Roman"/>
                <w:sz w:val="20"/>
              </w:rPr>
              <w:t>Uses cleaned Gold-layer metrics only.</w:t>
            </w:r>
          </w:p>
        </w:tc>
      </w:tr>
      <w:tr>
        <w:tc>
          <w:tcPr>
            <w:tcW w:type="dxa" w:w="3009"/>
            <w:vAlign w:val="center"/>
          </w:tcPr>
          <w:p>
            <w:pPr>
              <w:spacing w:line="276" w:lineRule="auto" w:after="40"/>
              <w:jc w:val="left"/>
            </w:pPr>
            <w:r>
              <w:rPr>
                <w:rFonts w:ascii="Times New Roman" w:hAnsi="Times New Roman" w:eastAsia="Times New Roman"/>
                <w:sz w:val="20"/>
              </w:rPr>
              <w:t>Which areas require closer monitoring?</w:t>
            </w:r>
          </w:p>
        </w:tc>
        <w:tc>
          <w:tcPr>
            <w:tcW w:type="dxa" w:w="3009"/>
            <w:vAlign w:val="center"/>
          </w:tcPr>
          <w:p>
            <w:pPr>
              <w:spacing w:line="276" w:lineRule="auto" w:after="40"/>
              <w:jc w:val="left"/>
            </w:pPr>
            <w:r>
              <w:rPr>
                <w:rFonts w:ascii="Times New Roman" w:hAnsi="Times New Roman" w:eastAsia="Times New Roman"/>
                <w:sz w:val="20"/>
              </w:rPr>
              <w:t>Area and weather-associated risk map/table showing pest volume, repeat rate, warranty/refund indicators, and weather windows.</w:t>
            </w:r>
          </w:p>
        </w:tc>
        <w:tc>
          <w:tcPr>
            <w:tcW w:type="dxa" w:w="3009"/>
            <w:vAlign w:val="center"/>
          </w:tcPr>
          <w:p>
            <w:pPr>
              <w:spacing w:line="276" w:lineRule="auto" w:after="40"/>
              <w:jc w:val="left"/>
            </w:pPr>
            <w:r>
              <w:rPr>
                <w:rFonts w:ascii="Times New Roman" w:hAnsi="Times New Roman" w:eastAsia="Times New Roman"/>
                <w:sz w:val="20"/>
              </w:rPr>
              <w:t>Uses association wording, not weather causation.</w:t>
            </w:r>
          </w:p>
        </w:tc>
      </w:tr>
      <w:tr>
        <w:tc>
          <w:tcPr>
            <w:tcW w:type="dxa" w:w="3009"/>
            <w:vAlign w:val="center"/>
          </w:tcPr>
          <w:p>
            <w:pPr>
              <w:spacing w:line="276" w:lineRule="auto" w:after="40"/>
              <w:jc w:val="left"/>
            </w:pPr>
            <w:r>
              <w:rPr>
                <w:rFonts w:ascii="Times New Roman" w:hAnsi="Times New Roman" w:eastAsia="Times New Roman"/>
                <w:sz w:val="20"/>
              </w:rPr>
              <w:t>Which services are harder to resolve?</w:t>
            </w:r>
          </w:p>
        </w:tc>
        <w:tc>
          <w:tcPr>
            <w:tcW w:type="dxa" w:w="3009"/>
            <w:vAlign w:val="center"/>
          </w:tcPr>
          <w:p>
            <w:pPr>
              <w:spacing w:line="276" w:lineRule="auto" w:after="40"/>
              <w:jc w:val="left"/>
            </w:pPr>
            <w:r>
              <w:rPr>
                <w:rFonts w:ascii="Times New Roman" w:hAnsi="Times New Roman" w:eastAsia="Times New Roman"/>
                <w:sz w:val="20"/>
              </w:rPr>
              <w:t>Treatment difficulty ranking by area, pest type, package, and team where the data supports it.</w:t>
            </w:r>
          </w:p>
        </w:tc>
        <w:tc>
          <w:tcPr>
            <w:tcW w:type="dxa" w:w="3009"/>
            <w:vAlign w:val="center"/>
          </w:tcPr>
          <w:p>
            <w:pPr>
              <w:spacing w:line="276" w:lineRule="auto" w:after="40"/>
              <w:jc w:val="left"/>
            </w:pPr>
            <w:r>
              <w:rPr>
                <w:rFonts w:ascii="Times New Roman" w:hAnsi="Times New Roman" w:eastAsia="Times New Roman"/>
                <w:sz w:val="20"/>
              </w:rPr>
              <w:t>Presented as planning support, not a blame score.</w:t>
            </w:r>
          </w:p>
        </w:tc>
      </w:tr>
      <w:tr>
        <w:tc>
          <w:tcPr>
            <w:tcW w:type="dxa" w:w="3009"/>
            <w:vAlign w:val="center"/>
          </w:tcPr>
          <w:p>
            <w:pPr>
              <w:spacing w:line="276" w:lineRule="auto" w:after="40"/>
              <w:jc w:val="left"/>
            </w:pPr>
            <w:r>
              <w:rPr>
                <w:rFonts w:ascii="Times New Roman" w:hAnsi="Times New Roman" w:eastAsia="Times New Roman"/>
                <w:sz w:val="20"/>
              </w:rPr>
              <w:t>When do repeat problems occur?</w:t>
            </w:r>
          </w:p>
        </w:tc>
        <w:tc>
          <w:tcPr>
            <w:tcW w:type="dxa" w:w="3009"/>
            <w:vAlign w:val="center"/>
          </w:tcPr>
          <w:p>
            <w:pPr>
              <w:spacing w:line="276" w:lineRule="auto" w:after="40"/>
              <w:jc w:val="left"/>
            </w:pPr>
            <w:r>
              <w:rPr>
                <w:rFonts w:ascii="Times New Roman" w:hAnsi="Times New Roman" w:eastAsia="Times New Roman"/>
                <w:sz w:val="20"/>
              </w:rPr>
              <w:t>Recurrence window analysis and hotspot view using service-to-claim or service-to-extra-session timing.</w:t>
            </w:r>
          </w:p>
        </w:tc>
        <w:tc>
          <w:tcPr>
            <w:tcW w:type="dxa" w:w="3009"/>
            <w:vAlign w:val="center"/>
          </w:tcPr>
          <w:p>
            <w:pPr>
              <w:spacing w:line="276" w:lineRule="auto" w:after="40"/>
              <w:jc w:val="left"/>
            </w:pPr>
            <w:r>
              <w:rPr>
                <w:rFonts w:ascii="Times New Roman" w:hAnsi="Times New Roman" w:eastAsia="Times New Roman"/>
                <w:sz w:val="20"/>
              </w:rPr>
              <w:t>Requires usable dates and matching confidence.</w:t>
            </w:r>
          </w:p>
        </w:tc>
      </w:tr>
      <w:tr>
        <w:tc>
          <w:tcPr>
            <w:tcW w:type="dxa" w:w="3009"/>
            <w:vAlign w:val="center"/>
          </w:tcPr>
          <w:p>
            <w:pPr>
              <w:spacing w:line="276" w:lineRule="auto" w:after="40"/>
              <w:jc w:val="left"/>
            </w:pPr>
            <w:r>
              <w:rPr>
                <w:rFonts w:ascii="Times New Roman" w:hAnsi="Times New Roman" w:eastAsia="Times New Roman"/>
                <w:sz w:val="20"/>
              </w:rPr>
              <w:t>Which upsell packages fit which customer groups?</w:t>
            </w:r>
          </w:p>
        </w:tc>
        <w:tc>
          <w:tcPr>
            <w:tcW w:type="dxa" w:w="3009"/>
            <w:vAlign w:val="center"/>
          </w:tcPr>
          <w:p>
            <w:pPr>
              <w:spacing w:line="276" w:lineRule="auto" w:after="40"/>
              <w:jc w:val="left"/>
            </w:pPr>
            <w:r>
              <w:rPr>
                <w:rFonts w:ascii="Times New Roman" w:hAnsi="Times New Roman" w:eastAsia="Times New Roman"/>
                <w:sz w:val="20"/>
              </w:rPr>
              <w:t>Upsell package effectiveness and package-fit matrix based on accepted/purchased records and payment timing.</w:t>
            </w:r>
          </w:p>
        </w:tc>
        <w:tc>
          <w:tcPr>
            <w:tcW w:type="dxa" w:w="3009"/>
            <w:vAlign w:val="center"/>
          </w:tcPr>
          <w:p>
            <w:pPr>
              <w:spacing w:line="276" w:lineRule="auto" w:after="40"/>
              <w:jc w:val="left"/>
            </w:pPr>
            <w:r>
              <w:rPr>
                <w:rFonts w:ascii="Times New Roman" w:hAnsi="Times New Roman" w:eastAsia="Times New Roman"/>
                <w:sz w:val="20"/>
              </w:rPr>
              <w:t>True prediction requires rejected/no-response offer data.</w:t>
            </w:r>
          </w:p>
        </w:tc>
      </w:tr>
      <w:tr>
        <w:tc>
          <w:tcPr>
            <w:tcW w:type="dxa" w:w="3009"/>
            <w:vAlign w:val="center"/>
          </w:tcPr>
          <w:p>
            <w:pPr>
              <w:spacing w:line="276" w:lineRule="auto" w:after="40"/>
              <w:jc w:val="left"/>
            </w:pPr>
            <w:r>
              <w:rPr>
                <w:rFonts w:ascii="Times New Roman" w:hAnsi="Times New Roman" w:eastAsia="Times New Roman"/>
                <w:sz w:val="20"/>
              </w:rPr>
              <w:t>Can management trust the dashboard?</w:t>
            </w:r>
          </w:p>
        </w:tc>
        <w:tc>
          <w:tcPr>
            <w:tcW w:type="dxa" w:w="3009"/>
            <w:vAlign w:val="center"/>
          </w:tcPr>
          <w:p>
            <w:pPr>
              <w:spacing w:line="276" w:lineRule="auto" w:after="40"/>
              <w:jc w:val="left"/>
            </w:pPr>
            <w:r>
              <w:rPr>
                <w:rFonts w:ascii="Times New Roman" w:hAnsi="Times New Roman" w:eastAsia="Times New Roman"/>
                <w:sz w:val="20"/>
              </w:rPr>
              <w:t>Data quality and refresh dashboard showing missing values, duplicates, invalid dates, unmatched records, and latest pipeline status.</w:t>
            </w:r>
          </w:p>
        </w:tc>
        <w:tc>
          <w:tcPr>
            <w:tcW w:type="dxa" w:w="3009"/>
            <w:vAlign w:val="center"/>
          </w:tcPr>
          <w:p>
            <w:pPr>
              <w:spacing w:line="276" w:lineRule="auto" w:after="40"/>
              <w:jc w:val="left"/>
            </w:pPr>
            <w:r>
              <w:rPr>
                <w:rFonts w:ascii="Times New Roman" w:hAnsi="Times New Roman" w:eastAsia="Times New Roman"/>
                <w:sz w:val="20"/>
              </w:rPr>
              <w:t>This is a core feature, not just a technical appendix.</w:t>
            </w:r>
          </w:p>
        </w:tc>
      </w:tr>
    </w:tbl>
    <w:p>
      <w:pPr>
        <w:pStyle w:val="Heading1"/>
        <w:keepNext/>
        <w:pageBreakBefore/>
        <w:spacing w:line="360" w:lineRule="auto" w:after="120"/>
        <w:jc w:val="left"/>
      </w:pPr>
      <w:r>
        <w:rPr>
          <w:rFonts w:ascii="Times New Roman" w:hAnsi="Times New Roman" w:eastAsia="Times New Roman"/>
          <w:b/>
          <w:color w:val="000000"/>
          <w:sz w:val="24"/>
        </w:rPr>
        <w:t>Appendix C: Proposed Logical Warehouse Design</w:t>
      </w:r>
    </w:p>
    <w:p>
      <w:pPr>
        <w:spacing w:line="360" w:lineRule="auto" w:after="120"/>
        <w:jc w:val="both"/>
      </w:pPr>
      <w:r>
        <w:rPr>
          <w:rFonts w:ascii="Times New Roman" w:hAnsi="Times New Roman" w:eastAsia="Times New Roman"/>
          <w:sz w:val="24"/>
        </w:rPr>
        <w:t>This appendix gives a high-level logical warehouse design only. It should not be read as a final database schema. The final storage platform, tables, fields, and joins will be confirmed in CP2 after source profiling, data cleaning tests, feasibility checks, and supervisor/company feedback.</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09"/>
        <w:gridCol w:w="3009"/>
        <w:gridCol w:w="3009"/>
      </w:tblGrid>
      <w:tr>
        <w:tc>
          <w:tcPr>
            <w:tcW w:type="dxa" w:w="3009"/>
            <w:vAlign w:val="center"/>
            <w:shd w:fill="DCEAF7"/>
            <w:shd w:fill="DCEAF7"/>
          </w:tcPr>
          <w:p>
            <w:pPr>
              <w:spacing w:line="276" w:lineRule="auto" w:after="40"/>
              <w:jc w:val="left"/>
            </w:pPr>
            <w:r>
              <w:rPr>
                <w:rFonts w:ascii="Times New Roman" w:hAnsi="Times New Roman" w:eastAsia="Times New Roman"/>
                <w:b/>
                <w:sz w:val="20"/>
              </w:rPr>
              <w:t>Layer</w:t>
            </w:r>
          </w:p>
        </w:tc>
        <w:tc>
          <w:tcPr>
            <w:tcW w:type="dxa" w:w="3009"/>
            <w:vAlign w:val="center"/>
            <w:shd w:fill="DCEAF7"/>
            <w:shd w:fill="DCEAF7"/>
          </w:tcPr>
          <w:p>
            <w:pPr>
              <w:spacing w:line="276" w:lineRule="auto" w:after="40"/>
              <w:jc w:val="left"/>
            </w:pPr>
            <w:r>
              <w:rPr>
                <w:rFonts w:ascii="Times New Roman" w:hAnsi="Times New Roman" w:eastAsia="Times New Roman"/>
                <w:b/>
                <w:sz w:val="20"/>
              </w:rPr>
              <w:t>Purpose</w:t>
            </w:r>
          </w:p>
        </w:tc>
        <w:tc>
          <w:tcPr>
            <w:tcW w:type="dxa" w:w="3009"/>
            <w:vAlign w:val="center"/>
            <w:shd w:fill="DCEAF7"/>
            <w:shd w:fill="DCEAF7"/>
          </w:tcPr>
          <w:p>
            <w:pPr>
              <w:spacing w:line="276" w:lineRule="auto" w:after="40"/>
              <w:jc w:val="left"/>
            </w:pPr>
            <w:r>
              <w:rPr>
                <w:rFonts w:ascii="Times New Roman" w:hAnsi="Times New Roman" w:eastAsia="Times New Roman"/>
                <w:b/>
                <w:sz w:val="20"/>
              </w:rPr>
              <w:t>Example Output</w:t>
            </w:r>
          </w:p>
        </w:tc>
      </w:tr>
      <w:tr>
        <w:tc>
          <w:tcPr>
            <w:tcW w:type="dxa" w:w="3009"/>
            <w:vAlign w:val="center"/>
          </w:tcPr>
          <w:p>
            <w:pPr>
              <w:spacing w:line="276" w:lineRule="auto" w:after="40"/>
              <w:jc w:val="left"/>
            </w:pPr>
            <w:r>
              <w:rPr>
                <w:rFonts w:ascii="Times New Roman" w:hAnsi="Times New Roman" w:eastAsia="Times New Roman"/>
                <w:sz w:val="20"/>
              </w:rPr>
              <w:t>Bronze</w:t>
            </w:r>
          </w:p>
        </w:tc>
        <w:tc>
          <w:tcPr>
            <w:tcW w:type="dxa" w:w="3009"/>
            <w:vAlign w:val="center"/>
          </w:tcPr>
          <w:p>
            <w:pPr>
              <w:spacing w:line="276" w:lineRule="auto" w:after="40"/>
              <w:jc w:val="left"/>
            </w:pPr>
            <w:r>
              <w:rPr>
                <w:rFonts w:ascii="Times New Roman" w:hAnsi="Times New Roman" w:eastAsia="Times New Roman"/>
                <w:sz w:val="20"/>
              </w:rPr>
              <w:t>Store raw imported records with source name, load time, and row-level metadata.</w:t>
            </w:r>
          </w:p>
        </w:tc>
        <w:tc>
          <w:tcPr>
            <w:tcW w:type="dxa" w:w="3009"/>
            <w:vAlign w:val="center"/>
          </w:tcPr>
          <w:p>
            <w:pPr>
              <w:spacing w:line="276" w:lineRule="auto" w:after="40"/>
              <w:jc w:val="left"/>
            </w:pPr>
            <w:r>
              <w:rPr>
                <w:rFonts w:ascii="Times New Roman" w:hAnsi="Times New Roman" w:eastAsia="Times New Roman"/>
                <w:sz w:val="20"/>
              </w:rPr>
              <w:t>Raw snapshots from Sheets, Calendar, CSV/Excel, and weather sources.</w:t>
            </w:r>
          </w:p>
        </w:tc>
      </w:tr>
      <w:tr>
        <w:tc>
          <w:tcPr>
            <w:tcW w:type="dxa" w:w="3009"/>
            <w:vAlign w:val="center"/>
          </w:tcPr>
          <w:p>
            <w:pPr>
              <w:spacing w:line="276" w:lineRule="auto" w:after="40"/>
              <w:jc w:val="left"/>
            </w:pPr>
            <w:r>
              <w:rPr>
                <w:rFonts w:ascii="Times New Roman" w:hAnsi="Times New Roman" w:eastAsia="Times New Roman"/>
                <w:sz w:val="20"/>
              </w:rPr>
              <w:t>Silver</w:t>
            </w:r>
          </w:p>
        </w:tc>
        <w:tc>
          <w:tcPr>
            <w:tcW w:type="dxa" w:w="3009"/>
            <w:vAlign w:val="center"/>
          </w:tcPr>
          <w:p>
            <w:pPr>
              <w:spacing w:line="276" w:lineRule="auto" w:after="40"/>
              <w:jc w:val="left"/>
            </w:pPr>
            <w:r>
              <w:rPr>
                <w:rFonts w:ascii="Times New Roman" w:hAnsi="Times New Roman" w:eastAsia="Times New Roman"/>
                <w:sz w:val="20"/>
              </w:rPr>
              <w:t>Standardise cleaned business entities and events after validation.</w:t>
            </w:r>
          </w:p>
        </w:tc>
        <w:tc>
          <w:tcPr>
            <w:tcW w:type="dxa" w:w="3009"/>
            <w:vAlign w:val="center"/>
          </w:tcPr>
          <w:p>
            <w:pPr>
              <w:spacing w:line="276" w:lineRule="auto" w:after="40"/>
              <w:jc w:val="left"/>
            </w:pPr>
            <w:r>
              <w:rPr>
                <w:rFonts w:ascii="Times New Roman" w:hAnsi="Times New Roman" w:eastAsia="Times New Roman"/>
                <w:sz w:val="20"/>
              </w:rPr>
              <w:t>Cleaned service, customer, payment, warranty, refund, upsell, calendar, area, and weather records.</w:t>
            </w:r>
          </w:p>
        </w:tc>
      </w:tr>
      <w:tr>
        <w:tc>
          <w:tcPr>
            <w:tcW w:type="dxa" w:w="3009"/>
            <w:vAlign w:val="center"/>
          </w:tcPr>
          <w:p>
            <w:pPr>
              <w:spacing w:line="276" w:lineRule="auto" w:after="40"/>
              <w:jc w:val="left"/>
            </w:pPr>
            <w:r>
              <w:rPr>
                <w:rFonts w:ascii="Times New Roman" w:hAnsi="Times New Roman" w:eastAsia="Times New Roman"/>
                <w:sz w:val="20"/>
              </w:rPr>
              <w:t>Gold</w:t>
            </w:r>
          </w:p>
        </w:tc>
        <w:tc>
          <w:tcPr>
            <w:tcW w:type="dxa" w:w="3009"/>
            <w:vAlign w:val="center"/>
          </w:tcPr>
          <w:p>
            <w:pPr>
              <w:spacing w:line="276" w:lineRule="auto" w:after="40"/>
              <w:jc w:val="left"/>
            </w:pPr>
            <w:r>
              <w:rPr>
                <w:rFonts w:ascii="Times New Roman" w:hAnsi="Times New Roman" w:eastAsia="Times New Roman"/>
                <w:sz w:val="20"/>
              </w:rPr>
              <w:t>Prepare dashboard-ready metrics and analytics outputs.</w:t>
            </w:r>
          </w:p>
        </w:tc>
        <w:tc>
          <w:tcPr>
            <w:tcW w:type="dxa" w:w="3009"/>
            <w:vAlign w:val="center"/>
          </w:tcPr>
          <w:p>
            <w:pPr>
              <w:spacing w:line="276" w:lineRule="auto" w:after="40"/>
              <w:jc w:val="left"/>
            </w:pPr>
            <w:r>
              <w:rPr>
                <w:rFonts w:ascii="Times New Roman" w:hAnsi="Times New Roman" w:eastAsia="Times New Roman"/>
                <w:sz w:val="20"/>
              </w:rPr>
              <w:t>Executive KPIs, treatment difficulty, recurrence windows, hotspots, upsell fit, area risk, and recommendation log.</w:t>
            </w:r>
          </w:p>
        </w:tc>
      </w:tr>
      <w:tr>
        <w:tc>
          <w:tcPr>
            <w:tcW w:type="dxa" w:w="3009"/>
            <w:vAlign w:val="center"/>
          </w:tcPr>
          <w:p>
            <w:pPr>
              <w:spacing w:line="276" w:lineRule="auto" w:after="40"/>
              <w:jc w:val="left"/>
            </w:pPr>
            <w:r>
              <w:rPr>
                <w:rFonts w:ascii="Times New Roman" w:hAnsi="Times New Roman" w:eastAsia="Times New Roman"/>
                <w:sz w:val="20"/>
              </w:rPr>
              <w:t>Quality and audit</w:t>
            </w:r>
          </w:p>
        </w:tc>
        <w:tc>
          <w:tcPr>
            <w:tcW w:type="dxa" w:w="3009"/>
            <w:vAlign w:val="center"/>
          </w:tcPr>
          <w:p>
            <w:pPr>
              <w:spacing w:line="276" w:lineRule="auto" w:after="40"/>
              <w:jc w:val="left"/>
            </w:pPr>
            <w:r>
              <w:rPr>
                <w:rFonts w:ascii="Times New Roman" w:hAnsi="Times New Roman" w:eastAsia="Times New Roman"/>
                <w:sz w:val="20"/>
              </w:rPr>
              <w:t>Track whether the pipeline and data are trustworthy.</w:t>
            </w:r>
          </w:p>
        </w:tc>
        <w:tc>
          <w:tcPr>
            <w:tcW w:type="dxa" w:w="3009"/>
            <w:vAlign w:val="center"/>
          </w:tcPr>
          <w:p>
            <w:pPr>
              <w:spacing w:line="276" w:lineRule="auto" w:after="40"/>
              <w:jc w:val="left"/>
            </w:pPr>
            <w:r>
              <w:rPr>
                <w:rFonts w:ascii="Times New Roman" w:hAnsi="Times New Roman" w:eastAsia="Times New Roman"/>
                <w:sz w:val="20"/>
              </w:rPr>
              <w:t>Data quality report, source contract status, match confidence, refresh status, and dbt/Airflow run logs.</w:t>
            </w:r>
          </w:p>
        </w:tc>
      </w:tr>
      <w:tr>
        <w:tc>
          <w:tcPr>
            <w:tcW w:type="dxa" w:w="3009"/>
            <w:vAlign w:val="center"/>
          </w:tcPr>
          <w:p>
            <w:pPr>
              <w:spacing w:line="276" w:lineRule="auto" w:after="40"/>
              <w:jc w:val="left"/>
            </w:pPr>
            <w:r>
              <w:rPr>
                <w:rFonts w:ascii="Times New Roman" w:hAnsi="Times New Roman" w:eastAsia="Times New Roman"/>
                <w:sz w:val="20"/>
              </w:rPr>
              <w:t>Privacy/reporting views</w:t>
            </w:r>
          </w:p>
        </w:tc>
        <w:tc>
          <w:tcPr>
            <w:tcW w:type="dxa" w:w="3009"/>
            <w:vAlign w:val="center"/>
          </w:tcPr>
          <w:p>
            <w:pPr>
              <w:spacing w:line="276" w:lineRule="auto" w:after="40"/>
              <w:jc w:val="left"/>
            </w:pPr>
            <w:r>
              <w:rPr>
                <w:rFonts w:ascii="Times New Roman" w:hAnsi="Times New Roman" w:eastAsia="Times New Roman"/>
                <w:sz w:val="20"/>
              </w:rPr>
              <w:t>Provide anonymised outputs for academic and management reporting.</w:t>
            </w:r>
          </w:p>
        </w:tc>
        <w:tc>
          <w:tcPr>
            <w:tcW w:type="dxa" w:w="3009"/>
            <w:vAlign w:val="center"/>
          </w:tcPr>
          <w:p>
            <w:pPr>
              <w:spacing w:line="276" w:lineRule="auto" w:after="40"/>
              <w:jc w:val="left"/>
            </w:pPr>
            <w:r>
              <w:rPr>
                <w:rFonts w:ascii="Times New Roman" w:hAnsi="Times New Roman" w:eastAsia="Times New Roman"/>
                <w:sz w:val="20"/>
              </w:rPr>
              <w:t>Customer IDs and area/postcode-level location instead of names, phone numbers, emails, or full addresses.</w:t>
            </w:r>
          </w:p>
        </w:tc>
      </w:tr>
    </w:tbl>
    <w:sectPr w:rsidR="0084730D" w:rsidRPr="00335C63" w:rsidSect="009C0B3E">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71E33" w14:textId="77777777" w:rsidR="004B352E" w:rsidRDefault="004B352E">
      <w:pPr>
        <w:spacing w:after="0" w:line="240" w:lineRule="auto"/>
      </w:pPr>
      <w:r>
        <w:separator/>
      </w:r>
    </w:p>
  </w:endnote>
  <w:endnote w:type="continuationSeparator" w:id="0">
    <w:p w14:paraId="62E4C5D1" w14:textId="77777777" w:rsidR="004B352E" w:rsidRDefault="004B3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5EF9" w14:textId="77777777" w:rsidR="009656FF" w:rsidRDefault="009656FF">
    <w:pPr>
      <w:pStyle w:val="Footer"/>
      <w:spacing w:line="240" w:lineRule="auto" w:after="0"/>
      <w:jc w:val="center"/>
      <w:rPr>
        <w:color w:val="5A636E"/>
        <w:sz w:val="18"/>
      </w:rPr>
    </w:pPr>
  </w:p>
  <w:p w14:paraId="60BD35FF" w14:textId="77777777" w:rsidR="0084730D" w:rsidRDefault="00357319">
    <w:pPr>
      <w:pStyle w:val="Footer"/>
      <w:spacing w:line="240" w:lineRule="auto" w:after="0"/>
      <w:jc w:val="center"/>
    </w:pPr>
    <w:r>
      <w:rPr>
        <w:rFonts w:ascii="Times New Roman" w:hAnsi="Times New Roman" w:eastAsia="Times New Roman"/>
        <w:color w:val="5A636E"/>
        <w:sz w:val="18"/>
      </w:rPr>
      <w:t xml:space="preserve">Capstone </w:t>
    </w:r>
    <w:r w:rsidR="009656FF">
      <w:rPr>
        <w:rFonts w:ascii="Times New Roman" w:hAnsi="Times New Roman" w:eastAsia="Times New Roman"/>
        <w:color w:val="5A636E"/>
        <w:sz w:val="18"/>
      </w:rPr>
      <w:t xml:space="preserve">Project 1 </w:t>
    </w:r>
    <w:r>
      <w:rPr>
        <w:rFonts w:ascii="Times New Roman" w:hAnsi="Times New Roman" w:eastAsia="Times New Roman"/>
        <w:color w:val="5A636E"/>
        <w:sz w:val="18"/>
      </w:rPr>
      <w:t>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5C85B" w14:textId="77777777" w:rsidR="004B352E" w:rsidRDefault="004B352E">
      <w:pPr>
        <w:spacing w:after="0" w:line="240" w:lineRule="auto"/>
      </w:pPr>
      <w:r>
        <w:separator/>
      </w:r>
    </w:p>
  </w:footnote>
  <w:footnote w:type="continuationSeparator" w:id="0">
    <w:p w14:paraId="519E52F4" w14:textId="77777777" w:rsidR="004B352E" w:rsidRDefault="004B352E">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630399">
    <w:abstractNumId w:val="8"/>
  </w:num>
  <w:num w:numId="2" w16cid:durableId="1657495368">
    <w:abstractNumId w:val="6"/>
  </w:num>
  <w:num w:numId="3" w16cid:durableId="1461731056">
    <w:abstractNumId w:val="5"/>
  </w:num>
  <w:num w:numId="4" w16cid:durableId="220947359">
    <w:abstractNumId w:val="4"/>
  </w:num>
  <w:num w:numId="5" w16cid:durableId="496112857">
    <w:abstractNumId w:val="7"/>
  </w:num>
  <w:num w:numId="6" w16cid:durableId="1205673879">
    <w:abstractNumId w:val="3"/>
  </w:num>
  <w:num w:numId="7" w16cid:durableId="1669555068">
    <w:abstractNumId w:val="2"/>
  </w:num>
  <w:num w:numId="8" w16cid:durableId="1258714699">
    <w:abstractNumId w:val="1"/>
  </w:num>
  <w:num w:numId="9" w16cid:durableId="55251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EA"/>
    <w:rsid w:val="00020A19"/>
    <w:rsid w:val="00034616"/>
    <w:rsid w:val="0006063C"/>
    <w:rsid w:val="0006642D"/>
    <w:rsid w:val="00066841"/>
    <w:rsid w:val="00082488"/>
    <w:rsid w:val="000D19BC"/>
    <w:rsid w:val="000F4170"/>
    <w:rsid w:val="00106A8F"/>
    <w:rsid w:val="0015074B"/>
    <w:rsid w:val="00177ABB"/>
    <w:rsid w:val="0019763A"/>
    <w:rsid w:val="0029639D"/>
    <w:rsid w:val="002B1A5B"/>
    <w:rsid w:val="002D1C19"/>
    <w:rsid w:val="00326F90"/>
    <w:rsid w:val="00335C63"/>
    <w:rsid w:val="00345511"/>
    <w:rsid w:val="00351EF8"/>
    <w:rsid w:val="00357319"/>
    <w:rsid w:val="0036763B"/>
    <w:rsid w:val="00395266"/>
    <w:rsid w:val="003C0C08"/>
    <w:rsid w:val="003E4481"/>
    <w:rsid w:val="004B352E"/>
    <w:rsid w:val="00552BF9"/>
    <w:rsid w:val="005724D6"/>
    <w:rsid w:val="00595039"/>
    <w:rsid w:val="00635337"/>
    <w:rsid w:val="00712597"/>
    <w:rsid w:val="00725AB6"/>
    <w:rsid w:val="00737E62"/>
    <w:rsid w:val="007A15D3"/>
    <w:rsid w:val="007D7C69"/>
    <w:rsid w:val="007F7DE7"/>
    <w:rsid w:val="0084088C"/>
    <w:rsid w:val="0084730D"/>
    <w:rsid w:val="00853100"/>
    <w:rsid w:val="008643BF"/>
    <w:rsid w:val="00891518"/>
    <w:rsid w:val="008D6A1A"/>
    <w:rsid w:val="00916002"/>
    <w:rsid w:val="009340C4"/>
    <w:rsid w:val="009656FF"/>
    <w:rsid w:val="00980E56"/>
    <w:rsid w:val="00981EE4"/>
    <w:rsid w:val="00984EB3"/>
    <w:rsid w:val="00997D20"/>
    <w:rsid w:val="009C0B3E"/>
    <w:rsid w:val="009F6D33"/>
    <w:rsid w:val="00A017C9"/>
    <w:rsid w:val="00A32882"/>
    <w:rsid w:val="00AA1D8D"/>
    <w:rsid w:val="00AC654A"/>
    <w:rsid w:val="00AC6BFC"/>
    <w:rsid w:val="00B47730"/>
    <w:rsid w:val="00B656FC"/>
    <w:rsid w:val="00BB18A2"/>
    <w:rsid w:val="00BE26A8"/>
    <w:rsid w:val="00BF3F6C"/>
    <w:rsid w:val="00C521CA"/>
    <w:rsid w:val="00CB0664"/>
    <w:rsid w:val="00CD7B49"/>
    <w:rsid w:val="00DF1EFA"/>
    <w:rsid w:val="00E9478E"/>
    <w:rsid w:val="00EA3A6E"/>
    <w:rsid w:val="00EF6C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2A2639"/>
  <w14:defaultImageDpi w14:val="330"/>
  <w15:docId w15:val="{94C9C8BF-7910-4A51-859A-8F19298B0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eastAsia="Times New Roman" w:cs="Times New Roman"/>
      <w:b w:val="0"/>
      <w:sz w:val="24"/>
    </w:rPr>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line="360" w:lineRule="auto" w:after="120"/>
      <w:jc w:val="left"/>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left"/>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rPr>
  </w:style>
  <w:style w:type="table" w:default="1" w:styleId="TableNormal">
    <w:name w:val="Normal Table"/>
    <w:uiPriority w:val="99"/>
    <w:semiHidden/>
    <w:unhideWhenUsed/>
    <w:rPr>
      <w:rFonts w:ascii="Times New Roman" w:hAnsi="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HeaderChar">
    <w:name w:val="Header Char"/>
    <w:basedOn w:val="DefaultParagraphFont"/>
    <w:link w:val="Header"/>
    <w:uiPriority w:val="99"/>
    <w:rsid w:val="00E618BF"/>
    <w:rPr>
      <w:rFonts w:ascii="Times New Roman" w:hAnsi="Times New Roman" w:eastAsia="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FooterChar">
    <w:name w:val="Footer Char"/>
    <w:basedOn w:val="DefaultParagraphFont"/>
    <w:link w:val="Footer"/>
    <w:uiPriority w:val="99"/>
    <w:rsid w:val="00E618BF"/>
    <w:rPr>
      <w:rFonts w:ascii="Times New Roman" w:hAnsi="Times New Roman" w:eastAsia="Times New Roman"/>
    </w:rPr>
  </w:style>
  <w:style w:type="paragraph" w:styleId="NoSpacing">
    <w:name w:val="No Spacing"/>
    <w:uiPriority w:val="1"/>
    <w:qFormat/>
    <w:rsid w:val="00FC693F"/>
    <w:pPr>
      <w:spacing w:after="0" w:line="240" w:lineRule="auto"/>
    </w:pPr>
    <w:rPr>
      <w:rFonts w:ascii="Times New Roman" w:hAnsi="Times New Roman" w:eastAsia="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5A636E"/>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rPr>
  </w:style>
  <w:style w:type="paragraph" w:styleId="BodyText">
    <w:name w:val="Body Text"/>
    <w:basedOn w:val="Normal"/>
    <w:link w:val="BodyTextChar"/>
    <w:uiPriority w:val="99"/>
    <w:unhideWhenUsed/>
    <w:rsid w:val="00AA1D8D"/>
    <w:rPr>
      <w:rFonts w:ascii="Times New Roman" w:hAnsi="Times New Roman" w:eastAsia="Times New Roman"/>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rPr>
  </w:style>
  <w:style w:type="paragraph" w:styleId="BodyText2">
    <w:name w:val="Body Text 2"/>
    <w:basedOn w:val="Normal"/>
    <w:link w:val="BodyText2Char"/>
    <w:uiPriority w:val="99"/>
    <w:unhideWhenUsed/>
    <w:rsid w:val="00AA1D8D"/>
    <w:pPr>
      <w:spacing w:line="480" w:lineRule="auto"/>
    </w:pPr>
    <w:rPr>
      <w:rFonts w:ascii="Times New Roman" w:hAnsi="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rPr>
  </w:style>
  <w:style w:type="paragraph" w:styleId="BodyText3">
    <w:name w:val="Body Text 3"/>
    <w:basedOn w:val="Normal"/>
    <w:link w:val="BodyText3Char"/>
    <w:uiPriority w:val="99"/>
    <w:unhideWhenUsed/>
    <w:rsid w:val="00AA1D8D"/>
    <w:rPr>
      <w:rFonts w:ascii="Times New Roman" w:hAnsi="Times New Roman" w:eastAsia="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rPr>
  </w:style>
  <w:style w:type="paragraph" w:styleId="ListContinue">
    <w:name w:val="List Continue"/>
    <w:basedOn w:val="Normal"/>
    <w:uiPriority w:val="99"/>
    <w:unhideWhenUsed/>
    <w:rsid w:val="0029639D"/>
    <w:pPr>
      <w:ind w:left="360"/>
      <w:contextualSpacing/>
    </w:pPr>
    <w:rPr>
      <w:rFonts w:ascii="Times New Roman" w:hAnsi="Times New Roman" w:eastAsia="Times New Roman"/>
    </w:rPr>
  </w:style>
  <w:style w:type="paragraph" w:styleId="ListContinue2">
    <w:name w:val="List Continue 2"/>
    <w:basedOn w:val="Normal"/>
    <w:uiPriority w:val="99"/>
    <w:unhideWhenUsed/>
    <w:rsid w:val="0029639D"/>
    <w:pPr>
      <w:ind w:left="720"/>
      <w:contextualSpacing/>
    </w:pPr>
    <w:rPr>
      <w:rFonts w:ascii="Times New Roman" w:hAnsi="Times New Roman" w:eastAsia="Times New Roman"/>
    </w:rPr>
  </w:style>
  <w:style w:type="paragraph" w:styleId="ListContinue3">
    <w:name w:val="List Continue 3"/>
    <w:basedOn w:val="Normal"/>
    <w:uiPriority w:val="99"/>
    <w:unhideWhenUsed/>
    <w:rsid w:val="0029639D"/>
    <w:pPr>
      <w:ind w:left="1080"/>
      <w:contextualSpacing/>
    </w:pPr>
    <w:rPr>
      <w:rFonts w:ascii="Times New Roman" w:hAnsi="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b/>
      <w:bCs/>
    </w:rPr>
  </w:style>
  <w:style w:type="character" w:styleId="Emphasis">
    <w:name w:val="Emphasis"/>
    <w:basedOn w:val="DefaultParagraphFont"/>
    <w:uiPriority w:val="20"/>
    <w:qFormat/>
    <w:rsid w:val="00FC693F"/>
    <w:rPr>
      <w:rFonts w:ascii="Times New Roman" w:hAnsi="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eastAsia="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37E62"/>
    <w:rPr>
      <w:rFonts w:ascii="Times New Roman" w:hAnsi="Times New Roman" w:eastAsia="Times New Roman"/>
      <w:color w:val="0000FF" w:themeColor="hyperlink"/>
      <w:u w:val="single"/>
    </w:rPr>
  </w:style>
  <w:style w:type="character" w:styleId="UnresolvedMention">
    <w:name w:val="Unresolved Mention"/>
    <w:basedOn w:val="DefaultParagraphFont"/>
    <w:uiPriority w:val="99"/>
    <w:semiHidden/>
    <w:unhideWhenUsed/>
    <w:rsid w:val="00737E62"/>
    <w:rPr>
      <w:rFonts w:ascii="Times New Roman" w:hAnsi="Times New Roman" w:eastAsia="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40531-3980-4306-A6A3-FFCF95A2D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11269</Words>
  <Characters>64237</Characters>
  <Application>Microsoft Office Word</Application>
  <DocSecurity>0</DocSecurity>
  <Lines>535</Lines>
  <Paragraphs>150</Paragraphs>
  <ScaleCrop>false</ScaleCrop>
  <Manager/>
  <Company/>
  <LinksUpToDate>false</LinksUpToDate>
  <CharactersWithSpaces>75356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Nomobug Capstone Proposal CP1 Updated</dc:title>
  <dc:subject>Weather-aware pest control analytics decision-support dashboard</dc:subject>
  <dc:creator>Thevesh Chandran</dc:creator>
  <cp:keywords/>
  <dc:description/>
  <cp:lastModifiedBy>Thevesh Chandran</cp:lastModifiedBy>
  <cp:revision>17</cp:revision>
  <dcterms:created xsi:type="dcterms:W3CDTF">2026-06-20T03:06:00Z</dcterms:created>
  <dcterms:modified xsi:type="dcterms:W3CDTF">2026-07-12T10:23:00Z</dcterms:modified>
  <cp:category/>
</cp:coreProperties>
</file>