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360" w:lineRule="auto" w:after="120"/>
        <w:jc w:val="both"/>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360" w:lineRule="auto" w:after="120"/>
        <w:jc w:val="both"/>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CAPSTONE PROJECT 1</w:t>
      </w:r>
    </w:p>
    <w:p w14:paraId="76EC58E6" w14:textId="77777777" w:rsidR="00BE26A8" w:rsidRPr="000F4170" w:rsidRDefault="00BE26A8" w:rsidP="000F4170">
      <w:pPr>
        <w:spacing w:line="360" w:lineRule="auto" w:after="120"/>
        <w:jc w:val="both"/>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Proposal</w:t>
      </w:r>
    </w:p>
    <w:p w14:paraId="641B790C" w14:textId="77777777" w:rsidR="00BE26A8" w:rsidRPr="00335C63" w:rsidRDefault="00BE26A8" w:rsidP="000F4170">
      <w:pPr>
        <w:spacing w:line="360" w:lineRule="auto" w:after="120"/>
        <w:jc w:val="both"/>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360" w:lineRule="auto" w:after="120"/>
        <w:jc w:val="both"/>
        <w:rPr>
          <w:rFonts w:ascii="Times New Roman" w:eastAsia="DengXian" w:hAnsi="Times New Roman" w:cs="Times New Roman"/>
          <w:bCs/>
          <w:kern w:val="20"/>
          <w:sz w:val="24"/>
          <w:szCs w:val="24"/>
          <w:lang w:val="en-MY" w:eastAsia="zh-CN"/>
        </w:rPr>
      </w:pPr>
      <w:r w:rsidRPr="000F4170">
        <w:rPr>
          <w:rFonts w:ascii="Times New Roman" w:eastAsia="Times New Roman" w:hAnsi="Times New Roman" w:cs="Times New Roman"/>
          <w:b/>
          <w:bCs/>
          <w:kern w:val="20"/>
          <w:sz w:val="24"/>
          <w:szCs w:val="24"/>
          <w:lang w:val="en-MY" w:eastAsia="zh-CN"/>
        </w:rPr>
        <w:t>Project Title</w:t>
      </w:r>
    </w:p>
    <w:p w14:paraId="46BDB082"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360" w:lineRule="auto" w:after="120"/>
        <w:jc w:val="both"/>
        <w:rPr>
          <w:rFonts w:ascii="Times New Roman" w:eastAsia="DengXian" w:hAnsi="Times New Roman" w:cs="Times New Roman"/>
          <w:kern w:val="20"/>
          <w:sz w:val="24"/>
          <w:szCs w:val="24"/>
          <w:lang w:val="en-MY" w:eastAsia="zh-CN"/>
        </w:rPr>
      </w:pPr>
      <w:r w:rsidRPr="000F4170">
        <w:rPr>
          <w:rFonts w:ascii="Times New Roman" w:eastAsia="Times New Roman" w:hAnsi="Times New Roman" w:cs="Times New Roman"/>
          <w:b/>
          <w:kern w:val="20"/>
          <w:sz w:val="24"/>
          <w:szCs w:val="24"/>
          <w:lang w:val="en-MY" w:eastAsia="zh-CN"/>
        </w:rPr>
        <w:t>By</w:t>
      </w:r>
    </w:p>
    <w:p w14:paraId="00DA2361"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Thevesh A/L Chandran</w:t>
      </w:r>
    </w:p>
    <w:p w14:paraId="4B8BE840"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24017717</w:t>
      </w:r>
    </w:p>
    <w:p w14:paraId="5159B8F1"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360" w:lineRule="auto" w:after="120"/>
        <w:jc w:val="both"/>
        <w:rPr>
          <w:rFonts w:ascii="Times New Roman" w:eastAsia="Arial"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Program Name</w:t>
      </w:r>
    </w:p>
    <w:p w14:paraId="2340D35E" w14:textId="77777777" w:rsidR="00BE26A8" w:rsidRPr="00335C63" w:rsidRDefault="00BE26A8" w:rsidP="000F4170">
      <w:pPr>
        <w:spacing w:line="360" w:lineRule="auto" w:after="120"/>
        <w:jc w:val="both"/>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sz w:val="24"/>
          <w:szCs w:val="24"/>
          <w:lang w:val="en" w:eastAsia="en-GB"/>
        </w:rPr>
        <w:t>Bachelor of Information Systems Honours (Data Analytics)</w:t>
      </w:r>
    </w:p>
    <w:p w14:paraId="08F979EB" w14:textId="77777777" w:rsidR="00BE26A8" w:rsidRPr="00335C63" w:rsidRDefault="00BE26A8" w:rsidP="000F4170">
      <w:pPr>
        <w:spacing w:line="360" w:lineRule="auto" w:after="120"/>
        <w:jc w:val="both"/>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360" w:lineRule="auto" w:after="120"/>
        <w:jc w:val="both"/>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1B4F64F2" w14:textId="77777777" w:rsidR="00BE26A8" w:rsidRPr="00AC6BFC" w:rsidRDefault="00BE26A8" w:rsidP="000F4170">
      <w:pPr>
        <w:spacing w:line="360" w:lineRule="auto" w:after="120"/>
        <w:jc w:val="both"/>
        <w:rPr>
          <w:rFonts w:ascii="Times New Roman" w:eastAsia="Times New Roman" w:hAnsi="Times New Roman" w:cs="Times New Roman"/>
          <w:b/>
          <w:bCs/>
          <w:sz w:val="24"/>
          <w:szCs w:val="24"/>
          <w:lang w:val="en" w:eastAsia="en-GB"/>
        </w:rPr>
      </w:pPr>
      <w:r w:rsidRPr="00335C63">
        <w:rPr>
          <w:rFonts w:ascii="Times New Roman" w:hAnsi="Times New Roman" w:cs="Times New Roman" w:eastAsia="Times New Roman"/>
          <w:b/>
          <w:bCs/>
          <w:sz w:val="24"/>
          <w:szCs w:val="24"/>
        </w:rPr>
        <w:t>FARIS SYAHMI SAMIDI</w:t>
      </w:r>
    </w:p>
    <w:p w14:paraId="4FE047DE" w14:textId="77777777" w:rsidR="00BE26A8" w:rsidRDefault="00BE26A8" w:rsidP="000F4170">
      <w:pPr>
        <w:spacing w:line="360" w:lineRule="auto" w:after="120"/>
        <w:jc w:val="both"/>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360" w:lineRule="auto" w:after="120"/>
        <w:jc w:val="both"/>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360" w:lineRule="auto" w:after="120"/>
        <w:jc w:val="both"/>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58DE1B06" w14:textId="77777777" w:rsidR="00BE26A8" w:rsidRPr="00335C63" w:rsidRDefault="00BE26A8" w:rsidP="000F4170">
      <w:pPr>
        <w:spacing w:line="360" w:lineRule="auto" w:after="120"/>
        <w:jc w:val="both"/>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5BBF8CFF" w14:textId="77777777" w:rsidR="00BE26A8" w:rsidRDefault="00BE26A8" w:rsidP="000F4170">
      <w:pPr>
        <w:spacing w:line="360" w:lineRule="auto" w:after="120"/>
        <w:jc w:val="both"/>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360" w:lineRule="auto" w:after="120"/>
        <w:jc w:val="both"/>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360" w:lineRule="auto" w:after="120"/>
        <w:jc w:val="both"/>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School of Computing and Artificial Intelligence</w:t>
      </w:r>
    </w:p>
    <w:p w14:paraId="0CB9793A" w14:textId="77777777" w:rsidR="00BE26A8" w:rsidRPr="00335C63" w:rsidRDefault="00BE26A8" w:rsidP="000F4170">
      <w:pPr>
        <w:spacing w:line="360" w:lineRule="auto" w:after="120"/>
        <w:jc w:val="both"/>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Faculty of Engineering and Technology</w:t>
      </w:r>
    </w:p>
    <w:p w14:paraId="426C5DE4" w14:textId="77777777" w:rsidR="00E9478E" w:rsidRPr="00335C63" w:rsidRDefault="00BE26A8" w:rsidP="000F4170">
      <w:pPr>
        <w:spacing w:line="360" w:lineRule="auto" w:after="120"/>
        <w:jc w:val="both"/>
        <w:rPr>
          <w:rFonts w:ascii="Times New Roman" w:eastAsia="Times New Roman" w:hAnsi="Times New Roman" w:cs="Times New Roman"/>
          <w:sz w:val="24"/>
          <w:szCs w:val="24"/>
          <w:lang w:val="en" w:eastAsia="en-GB"/>
        </w:rPr>
        <w:sectPr w:rsidR="00E9478E" w:rsidRPr="00335C63" w:rsidSect="00E9478E">
          <w:footerReference w:type="default" r:id="rId8"/>
          <w:headerReference w:type="default" r:id="rId12"/>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b/>
          <w:sz w:val="24"/>
          <w:szCs w:val="24"/>
          <w:lang w:val="en" w:eastAsia="en-GB"/>
        </w:rPr>
        <w:t>Sunway Universit</w:t>
      </w:r>
      <w:r w:rsidR="00E9478E" w:rsidRPr="00335C63">
        <w:rPr>
          <w:rFonts w:ascii="Times New Roman" w:eastAsia="Times New Roman" w:hAnsi="Times New Roman" w:cs="Times New Roman"/>
          <w:b/>
          <w:sz w:val="24"/>
          <w:szCs w:val="24"/>
          <w:lang w:val="en" w:eastAsia="en-GB"/>
        </w:rPr>
        <w:t>y</w:t>
      </w:r>
    </w:p>
    <w:p w14:paraId="525ADA08" w14:textId="77777777" w:rsidR="0084730D" w:rsidRPr="000F4170" w:rsidRDefault="00357319" w:rsidP="000F4170">
      <w:pPr>
        <w:pStyle w:val="Heading1"/>
        <w:spacing w:before="240" w:line="360" w:lineRule="auto" w:after="120"/>
        <w:jc w:val="left"/>
        <w:rPr>
          <w:rFonts w:ascii="Times New Roman" w:hAnsi="Times New Roman" w:cs="Times New Roman"/>
          <w:sz w:val="28"/>
        </w:rPr>
      </w:pPr>
      <w:r w:rsidRPr="000F4170">
        <w:rPr>
          <w:rFonts w:ascii="Times New Roman" w:hAnsi="Times New Roman" w:cs="Times New Roman" w:eastAsia="Times New Roman"/>
          <w:b/>
          <w:color w:val="000000"/>
          <w:sz w:val="24"/>
        </w:rPr>
        <w:lastRenderedPageBreak/>
        <w:t>Abstract</w:t>
      </w:r>
    </w:p>
    <w:p w14:paraId="026B3575" w14:textId="77777777" w:rsidR="00891518"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Capstone Project 1 (CP1) proposal presents the planning and design phase for </w:t>
      </w:r>
      <w:r w:rsidR="009656FF" w:rsidRPr="00335C63">
        <w:rPr>
          <w:rFonts w:ascii="Times New Roman" w:hAnsi="Times New Roman" w:cs="Times New Roman" w:eastAsia="Times New Roman"/>
          <w:sz w:val="24"/>
          <w:szCs w:val="24"/>
        </w:rPr>
        <w:t xml:space="preserve">the upcoming </w:t>
      </w:r>
      <w:r w:rsidRPr="00335C63">
        <w:rPr>
          <w:rFonts w:ascii="Times New Roman" w:hAnsi="Times New Roman" w:cs="Times New Roman" w:eastAsia="Times New Roman"/>
          <w:sz w:val="24"/>
          <w:szCs w:val="24"/>
        </w:rPr>
        <w:t>Capstone Project 2 (CP2) implementation.</w:t>
      </w:r>
      <w:r w:rsidR="009656FF" w:rsidRPr="00335C63">
        <w:rPr>
          <w:rFonts w:ascii="Times New Roman" w:hAnsi="Times New Roman" w:cs="Times New Roman" w:eastAsia="Times New Roman"/>
          <w:sz w:val="24"/>
          <w:szCs w:val="24"/>
        </w:rPr>
        <w:t xml:space="preserve"> The company that I have chosen to implement this project is </w:t>
      </w: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w:t>
      </w:r>
      <w:r w:rsidR="009656FF" w:rsidRPr="00335C63">
        <w:rPr>
          <w:rFonts w:ascii="Times New Roman" w:hAnsi="Times New Roman" w:cs="Times New Roman" w:eastAsia="Times New Roman"/>
          <w:sz w:val="24"/>
          <w:szCs w:val="24"/>
        </w:rPr>
        <w:t xml:space="preserve"> because I have been working </w:t>
      </w:r>
      <w:r w:rsidR="00106A8F" w:rsidRPr="00335C63">
        <w:rPr>
          <w:rFonts w:ascii="Times New Roman" w:hAnsi="Times New Roman" w:cs="Times New Roman" w:eastAsia="Times New Roman"/>
          <w:sz w:val="24"/>
          <w:szCs w:val="24"/>
        </w:rPr>
        <w:t>with</w:t>
      </w:r>
      <w:r w:rsidR="009656FF" w:rsidRPr="00335C63">
        <w:rPr>
          <w:rFonts w:ascii="Times New Roman" w:hAnsi="Times New Roman" w:cs="Times New Roman" w:eastAsia="Times New Roman"/>
          <w:sz w:val="24"/>
          <w:szCs w:val="24"/>
        </w:rPr>
        <w:t xml:space="preserve"> them as a part-time admin and I have managed to identify many gaps in their current workflow</w:t>
      </w:r>
      <w:r w:rsidR="00106A8F" w:rsidRPr="00335C63">
        <w:rPr>
          <w:rFonts w:ascii="Times New Roman" w:hAnsi="Times New Roman" w:cs="Times New Roman" w:eastAsia="Times New Roman"/>
          <w:sz w:val="24"/>
          <w:szCs w:val="24"/>
        </w:rPr>
        <w:t>. C</w:t>
      </w:r>
      <w:r w:rsidRPr="00335C63">
        <w:rPr>
          <w:rFonts w:ascii="Times New Roman" w:hAnsi="Times New Roman" w:cs="Times New Roman" w:eastAsia="Times New Roman"/>
          <w:sz w:val="24"/>
          <w:szCs w:val="24"/>
        </w:rPr>
        <w:t xml:space="preserve">urrently </w:t>
      </w:r>
      <w:r w:rsidR="00106A8F" w:rsidRPr="00335C63">
        <w:rPr>
          <w:rFonts w:ascii="Times New Roman" w:hAnsi="Times New Roman" w:cs="Times New Roman" w:eastAsia="Times New Roman"/>
          <w:sz w:val="24"/>
          <w:szCs w:val="24"/>
        </w:rPr>
        <w:t xml:space="preserve">the company </w:t>
      </w:r>
      <w:r w:rsidRPr="00335C63">
        <w:rPr>
          <w:rFonts w:ascii="Times New Roman" w:hAnsi="Times New Roman"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after="120"/>
        <w:jc w:val="both"/>
        <w:rPr>
          <w:rFonts w:ascii="Times New Roman" w:hAnsi="Times New Roman" w:cs="Times New Roman"/>
          <w:sz w:val="24"/>
          <w:szCs w:val="24"/>
        </w:rPr>
      </w:pPr>
    </w:p>
    <w:p w14:paraId="0AC18967" w14:textId="77777777" w:rsidR="00891518" w:rsidRPr="003E4481" w:rsidRDefault="00357319" w:rsidP="000F4170">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project proposes a web-based decision-support dashboard supported by a data engineering pipeline. In CP2, the system is planned to extract operational data from Google Sheets, Google Calendar, CSV/Excel files, and weather APIs, then clean, validate, transform, and present the results through management dashboards. Possible platforms for this workflow include BigQuery or another cloud analytics warehouse for storage, dbt Core or SQL-based scripts for transformation and testing, Apache Airflow or scheduled Python jobs for orchestration, and Apache Superset or another BI platform for visualisation. These tools are treated as possible platform choices at CP1 stage, not fixed implementation decisions. The final selection will be confirmed in CP2 after data profiling, feasibility testing, setup effort, cost, and supervisor/company feedback.</w:t>
      </w:r>
    </w:p>
    <w:p w14:paraId="3DC0EB31" w14:textId="77777777" w:rsidR="00891518" w:rsidRDefault="00891518" w:rsidP="000F4170">
      <w:pPr>
        <w:spacing w:line="360" w:lineRule="auto" w:after="120"/>
        <w:jc w:val="both"/>
        <w:rPr>
          <w:rFonts w:ascii="Times New Roman" w:hAnsi="Times New Roman" w:cs="Times New Roman"/>
          <w:sz w:val="24"/>
          <w:szCs w:val="24"/>
        </w:rPr>
      </w:pPr>
    </w:p>
    <w:p w14:paraId="2D0B882D" w14:textId="77777777" w:rsidR="0084730D"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deliberately avoids over-complex machine learning because the available warranty dataset is expected to contain approximately 200+ records. Instead, it prioritises explainable spatial-temporal analytics, careful weather association analysis, privacy-conscious reporting, recommendation logging, and prescriptive business rules that are suitable for a real SME environment. A future enhancement may include a local AI explanation layer, such as Ollama or a similar offline model, to generate plain-language suggestions without relying on paid external AI APIs.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after="120"/>
        <w:jc w:val="both"/>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Contents</w:t>
      </w:r>
    </w:p>
    <w:p w14:paraId="2EF973FF"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Abstract</w:t>
      </w:r>
    </w:p>
    <w:p w14:paraId="32E3C7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1: Introduction</w:t>
      </w:r>
    </w:p>
    <w:p w14:paraId="67784F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2: Literature Review</w:t>
      </w:r>
    </w:p>
    <w:p w14:paraId="0D9DC469"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3: Methodology</w:t>
      </w:r>
    </w:p>
    <w:p w14:paraId="788496CE"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4: Work Plan and Timeline</w:t>
      </w:r>
    </w:p>
    <w:p w14:paraId="119A528D"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References</w:t>
      </w:r>
    </w:p>
    <w:p w14:paraId="685DAC7C"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A: Data Sources and Planned Use</w:t>
      </w:r>
    </w:p>
    <w:p w14:paraId="6CAEF2E7"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B: Planned Dashboard Outputs</w:t>
      </w:r>
    </w:p>
    <w:p w14:paraId="0EA96A4D" w14:textId="77777777" w:rsidR="0084730D" w:rsidRPr="00335C63" w:rsidRDefault="0084730D" w:rsidP="000F4170">
      <w:pPr>
        <w:spacing w:line="360" w:lineRule="auto" w:after="120"/>
        <w:jc w:val="both"/>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1: Introduction</w:t>
      </w:r>
    </w:p>
    <w:p w14:paraId="3B1A8F9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1.1 Background Study</w:t>
      </w:r>
    </w:p>
    <w:p w14:paraId="0503D566" w14:textId="77777777" w:rsidR="008D6A1A" w:rsidRDefault="00357319" w:rsidP="008D6A1A">
      <w:pPr>
        <w:spacing w:line="360" w:lineRule="auto" w:after="120"/>
        <w:jc w:val="both"/>
        <w:rPr>
          <w:rFonts w:ascii="Times New Roman" w:hAnsi="Times New Roman" w:cs="Times New Roman"/>
          <w:sz w:val="24"/>
          <w:szCs w:val="24"/>
        </w:rPr>
      </w:pPr>
      <w:proofErr w:type="spellStart"/>
      <w:proofErr w:type="spellEnd"/>
      <w:r>
        <w:rPr>
          <w:rFonts w:ascii="Times New Roman" w:hAnsi="Times New Roman" w:eastAsia="Times New Roman"/>
          <w:sz w:val="24"/>
        </w:rPr>
        <w:t>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analyse across business functions, which is why business intelligence is often recommended for converting scattered operational data into management insight (Ragazou et al., 2023; Gurcan et al., 2023).</w:t>
      </w:r>
    </w:p>
    <w:p w14:paraId="7F1E6458" w14:textId="77777777" w:rsidR="008D6A1A" w:rsidRDefault="008D6A1A" w:rsidP="008D6A1A">
      <w:pPr>
        <w:spacing w:line="360" w:lineRule="auto" w:after="120"/>
        <w:jc w:val="both"/>
        <w:rPr>
          <w:rFonts w:ascii="Times New Roman" w:hAnsi="Times New Roman" w:cs="Times New Roman"/>
          <w:sz w:val="24"/>
          <w:szCs w:val="24"/>
        </w:rPr>
      </w:pPr>
    </w:p>
    <w:p w14:paraId="4BFC904F" w14:textId="77777777" w:rsidR="0084730D" w:rsidRDefault="00357319" w:rsidP="008D6A1A">
      <w:pPr>
        <w:spacing w:line="360" w:lineRule="auto" w:after="120"/>
        <w:jc w:val="both"/>
        <w:rPr>
          <w:rFonts w:ascii="Times New Roman" w:hAnsi="Times New Roman" w:cs="Times New Roman"/>
          <w:sz w:val="24"/>
          <w:szCs w:val="24"/>
        </w:rPr>
      </w:pP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after="120"/>
        <w:jc w:val="both"/>
        <w:rPr>
          <w:rFonts w:ascii="Times New Roman" w:hAnsi="Times New Roman" w:cs="Times New Roman"/>
          <w:sz w:val="24"/>
          <w:szCs w:val="24"/>
        </w:rPr>
      </w:pPr>
    </w:p>
    <w:p w14:paraId="2E12B195" w14:textId="77777777" w:rsidR="0084730D"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Weather and environmental context are also relevant to the pest control domain. Recent pest and urban ecology studies show that rainfall, flooding, temperature, climate warming, and urban conditions may be associated with pest behaviour or public pest reports, although these relationships are affected by many confounding factors (Hiscox et al., 2025; Richardson et al., 2025; Brimblecombe et al., 2023). Therefore, this project will not claim that weather directly causes pest activity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after="120"/>
        <w:jc w:val="both"/>
        <w:rPr>
          <w:rFonts w:ascii="Times New Roman" w:hAnsi="Times New Roman" w:cs="Times New Roman"/>
          <w:sz w:val="24"/>
          <w:szCs w:val="24"/>
        </w:rPr>
      </w:pPr>
    </w:p>
    <w:p w14:paraId="333E849A"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proposed system is therefore a web-based analytics and decision-support dashboard built on a governed data engineering pipeline. Digital dashboard literature highlights that dashboards are most useful when they combine reliable data, clear visual design, and action-oriented communication (Schulze et al., 2023), while data quality research shows that users need visibility into completeness and reliability before trusting analytical outputs (Blacketer et al., 2021; Fu et al., 2024). During CP2, the system will process operational data from Google Sheets and Google Calendar, enrich service records with weather and location features, store raw and transformed outputs in a suitable analytics storage platform, and present insights through a BI dashboard layer. Specific tools such as BigQuery, dbt Core, Apache Airflow, Docker, and Apache Superset are proposed as possible platforms only. The final platform choices will remain flexible until the actual data structure, cost, deployment effort, and company requirements are tested. The system is intended to support management decision-making, not replace the company's existing workflow.</w:t>
      </w:r>
    </w:p>
    <w:p w14:paraId="0071CFF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1.2 Problem Statement</w:t>
      </w:r>
    </w:p>
    <w:p w14:paraId="29438C79"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Nomobug has useful data, but the data is fragmented and not fully used for decision-making. This is a common challenge in SME analytics, where operational records may exist but are not yet organised into a trusted decision-support workflow (Ragazou et al., 2023; Fu et al., 2024). Management must manually compare separate sheets to understand warranty trends, refund causes, technician review signals, upsell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patterns by day, week, and month.</w:t>
      </w:r>
    </w:p>
    <w:p w14:paraId="49157611" w14:textId="77777777" w:rsidR="00BB18A2" w:rsidRPr="003E4481" w:rsidRDefault="00000000">
      <w:pPr>
        <w:pStyle w:val="ListBullet"/>
        <w:spacing w:line="360" w:lineRule="auto" w:after="120"/>
        <w:jc w:val="both"/>
        <w:rPr>
          <w:rFonts w:ascii="Times New Roman" w:hAnsi="Times New Roman" w:cs="Times New Roman"/>
          <w:sz w:val="24"/>
          <w:szCs w:val="24"/>
        </w:rPr>
      </w:pPr>
      <w:r w:rsidRPr="003E4481">
        <w:rPr>
          <w:rFonts w:ascii="Times New Roman" w:hAnsi="Times New Roman"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1.3 Project Aim</w:t>
      </w:r>
    </w:p>
    <w:p w14:paraId="7C98E0E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Times New Roman" w:hAnsi="Times New Roman" w:cs="Times New Roman" w:eastAsia="Times New Roman"/>
          <w:sz w:val="24"/>
          <w:szCs w:val="24"/>
        </w:rPr>
        <w:tab/>
      </w:r>
      <w:r w:rsidRPr="00335C63">
        <w:rPr>
          <w:rFonts w:ascii="Times New Roman" w:hAnsi="Times New Roman"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1.4 Project Objectives</w:t>
      </w:r>
    </w:p>
    <w:p w14:paraId="094C4CE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after="120"/>
        <w:jc w:val="both"/>
        <w:rPr>
          <w:rFonts w:ascii="Times New Roman" w:hAnsi="Times New Roman" w:cs="Times New Roman"/>
          <w:sz w:val="28"/>
          <w:szCs w:val="28"/>
        </w:rPr>
      </w:pPr>
      <w:r>
        <w:rPr>
          <w:rFonts w:ascii="Times New Roman" w:hAnsi="Times New Roman" w:eastAsia="Times New Roman"/>
          <w:sz w:val="24"/>
        </w:rPr>
        <w:t>To develop, in CP2, an ELT prototype using Python, a suitable analytics storage platform, possible workflow orchestration, flexible data contracts, and data quality checks, with the exact tools and source fields refined after final Google Sheet and Calendar data profiling.</w:t>
      </w:r>
    </w:p>
    <w:p w14:paraId="69A1BAA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To implement dashboard-ready descriptive and diagnostic analytics, with selected predictive or prescriptive indicators such as treatment difficulty, warranty review factors, recurrence windows, hotspot detection, scheduling capacity, and upsell package fit where the available data is sufficient.</w:t>
      </w:r>
    </w:p>
    <w:p w14:paraId="7C83602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1.5 Scope and Limitations</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0407C4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In Scope</w:t>
            </w:r>
          </w:p>
        </w:tc>
        <w:tc>
          <w:tcPr>
            <w:tcW w:w="0" w:type="auto"/>
            <w:shd w:val="clear" w:color="auto" w:fill="E8F1FA"/>
            <w:tcMar>
              <w:top w:w="90" w:type="dxa"/>
              <w:left w:w="90" w:type="dxa"/>
              <w:bottom w:w="90" w:type="dxa"/>
              <w:right w:w="90" w:type="dxa"/>
            </w:tcMar>
            <w:vAlign w:val="center"/>
            <w:shd w:fill="DCEAF7"/>
          </w:tcPr>
          <w:p w14:paraId="04EC8B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Not </w:t>
            </w:r>
            <w:proofErr w:type="gramStart"/>
            <w:r w:rsidRPr="00335C63">
              <w:rPr>
                <w:rFonts w:ascii="Times New Roman" w:hAnsi="Times New Roman" w:cs="Times New Roman" w:eastAsia="Times New Roman"/>
                <w:sz w:val="20"/>
                <w:szCs w:val="24"/>
              </w:rPr>
              <w:t>a full</w:t>
            </w:r>
            <w:proofErr w:type="gramEnd"/>
            <w:r w:rsidRPr="00335C63">
              <w:rPr>
                <w:rFonts w:ascii="Times New Roman" w:hAnsi="Times New Roman" w:cs="Times New Roman" w:eastAsia="Times New Roman"/>
                <w:sz w:val="20"/>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Optional future local AI explanation layer, such as Ollama</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40" w:line="276" w:lineRule="auto"/>
              <w:jc w:val="left"/>
              <w:rPr>
                <w:rFonts w:ascii="Times New Roman" w:hAnsi="Times New Roman" w:cs="Times New Roman"/>
                <w:sz w:val="24"/>
                <w:szCs w:val="24"/>
              </w:rPr>
            </w:pPr>
            <w:r w:rsidRPr="003E4481">
              <w:rPr>
                <w:rFonts w:ascii="Times New Roman" w:hAnsi="Times New Roman" w:cs="Times New Roman" w:eastAsia="Times New Roman"/>
                <w:sz w:val="20"/>
                <w:szCs w:val="24"/>
              </w:rPr>
              <w:t>The AI layer will not make final decisions; it will explain analytics-backed recommendations</w:t>
            </w:r>
          </w:p>
        </w:tc>
      </w:tr>
      <w:tr w:rsidR="00BB18A2" w14:paraId="7DF947F0" w14:textId="77777777">
        <w:trPr>
          <w:jc w:val="center"/>
        </w:trPr>
        <w:tc>
          <w:tcPr>
            <w:tcW w:w="4710" w:type="dxa"/>
            <w:vAlign w:val="center"/>
          </w:tcPr>
          <w:p w14:paraId="1A509B69" w14:textId="77777777" w:rsidR="00BB18A2" w:rsidRPr="003E4481" w:rsidRDefault="00000000">
            <w:pPr>
              <w:spacing w:line="276" w:lineRule="auto" w:after="40"/>
              <w:jc w:val="left"/>
              <w:rPr>
                <w:rFonts w:ascii="Times New Roman" w:hAnsi="Times New Roman" w:cs="Times New Roman"/>
                <w:sz w:val="24"/>
                <w:szCs w:val="24"/>
              </w:rPr>
            </w:pPr>
            <w:r>
              <w:rPr>
                <w:rFonts w:ascii="Times New Roman" w:hAnsi="Times New Roman" w:eastAsia="Times New Roman"/>
                <w:sz w:val="20"/>
              </w:rPr>
              <w:t>Layered analytics storage, pipeline logs, lineage documentation, and dashboard-ready marts</w:t>
            </w:r>
          </w:p>
        </w:tc>
        <w:tc>
          <w:tcPr>
            <w:tcW w:w="4306" w:type="dxa"/>
            <w:vAlign w:val="center"/>
          </w:tcPr>
          <w:p w14:paraId="2166C0A5"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after="120"/>
        <w:jc w:val="both"/>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1.6 Research Significance</w:t>
      </w:r>
    </w:p>
    <w:p w14:paraId="7A3E9E77" w14:textId="77777777" w:rsidR="008D6A1A"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The project is significant because it addresses a real computing and business problem faced by an SME: turning fragmented operational records into reliable decision support. Prior studies show that decision-support systems are valuable when they connect data sources, analytical models, and user-facing recommendations in a practical way (Tonle et al., 2024; Marinko et al., 2025). This project contributes to the company by reducing manual cross-checking, improving visibility into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after="120"/>
        <w:jc w:val="both"/>
        <w:rPr>
          <w:rFonts w:ascii="Times New Roman" w:hAnsi="Times New Roman" w:cs="Times New Roman"/>
          <w:sz w:val="24"/>
          <w:szCs w:val="24"/>
        </w:rPr>
      </w:pPr>
    </w:p>
    <w:p w14:paraId="21881A0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Times New Roman" w:hAnsi="Times New Roman"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2: Literature Review</w:t>
      </w:r>
    </w:p>
    <w:p w14:paraId="26D874DB"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2.1 Business Intelligence and SME Decision Support</w:t>
      </w:r>
    </w:p>
    <w:p w14:paraId="172E8176"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after="120"/>
        <w:jc w:val="both"/>
        <w:rPr>
          <w:rFonts w:ascii="Times New Roman" w:hAnsi="Times New Roman" w:cs="Times New Roman"/>
          <w:sz w:val="24"/>
          <w:szCs w:val="24"/>
        </w:rPr>
      </w:pPr>
    </w:p>
    <w:p w14:paraId="3F30A77C"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eastAsia="Times New Roman"/>
          <w:sz w:val="24"/>
          <w:szCs w:val="24"/>
        </w:rPr>
        <w:t>totals, but</w:t>
      </w:r>
      <w:proofErr w:type="gramEnd"/>
      <w:r w:rsidRPr="00335C63">
        <w:rPr>
          <w:rFonts w:ascii="Times New Roman" w:hAnsi="Times New Roman"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Schulze et al. (2023) provide a systematic review of digital dashboards and show that dashboards are most useful when they combine clear visual design, reliable data, and action-oriented communication. This supports the proposed use of a BI dashboard platform for management users who need to scan key service, warranty, payment, and scheduling indicators quickly. Blacketer et al. (2021) further demonstrate the value of a dedicated data quality dashboard, showing that decision-makers need visibility into completeness, conformance, and data reliability before trusting analytical outputs. For Nomobug, this supports including a Data Quality and Refresh module rather than treating cleaning as a hidden technical step.</w:t>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r w:rsidRPr="00EF6C0D">
        <w:rPr>
          <w:rFonts w:ascii="Times New Roman" w:hAnsi="Times New Roman" w:cs="Times New Roman" w:eastAsia="Times New Roman"/>
          <w:sz w:val="24"/>
          <w:szCs w:val="24"/>
        </w:rPr>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p>
    <w:p w14:paraId="437153DC" w14:textId="77777777" w:rsidR="00EF6C0D" w:rsidRPr="00EF6C0D" w:rsidRDefault="00EF6C0D" w:rsidP="00EF6C0D">
      <w:pPr>
        <w:spacing w:line="360" w:lineRule="auto" w:after="120"/>
        <w:jc w:val="both"/>
        <w:rPr>
          <w:rFonts w:ascii="Times New Roman" w:hAnsi="Times New Roman" w:cs="Times New Roman"/>
          <w:sz w:val="24"/>
          <w:szCs w:val="24"/>
        </w:rPr>
      </w:pPr>
    </w:p>
    <w:p w14:paraId="6DAAEB6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2.2 Weather-Aware Pest Management and Urban Pest Data</w:t>
      </w:r>
    </w:p>
    <w:p w14:paraId="66413470"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Hiscox et al. (2025) </w:t>
      </w:r>
      <w:proofErr w:type="gramStart"/>
      <w:r w:rsidRPr="00335C63">
        <w:rPr>
          <w:rFonts w:ascii="Times New Roman" w:hAnsi="Times New Roman" w:cs="Times New Roman" w:eastAsia="Times New Roman"/>
          <w:sz w:val="24"/>
          <w:szCs w:val="24"/>
        </w:rPr>
        <w:t>review</w:t>
      </w:r>
      <w:proofErr w:type="gramEnd"/>
      <w:r w:rsidRPr="00335C63">
        <w:rPr>
          <w:rFonts w:ascii="Times New Roman" w:hAnsi="Times New Roman" w:cs="Times New Roman" w:eastAsia="Times New Roman"/>
          <w:sz w:val="24"/>
          <w:szCs w:val="24"/>
        </w:rPr>
        <w:t xml:space="preserve"> the impact of adverse weather events on cockroaches and flies and </w:t>
      </w:r>
      <w:proofErr w:type="gramStart"/>
      <w:r w:rsidRPr="00335C63">
        <w:rPr>
          <w:rFonts w:ascii="Times New Roman" w:hAnsi="Times New Roman" w:cs="Times New Roman" w:eastAsia="Times New Roman"/>
          <w:sz w:val="24"/>
          <w:szCs w:val="24"/>
        </w:rPr>
        <w:t>report</w:t>
      </w:r>
      <w:proofErr w:type="gramEnd"/>
      <w:r w:rsidRPr="00335C63">
        <w:rPr>
          <w:rFonts w:ascii="Times New Roman" w:hAnsi="Times New Roman"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after="120"/>
        <w:jc w:val="both"/>
        <w:rPr>
          <w:rFonts w:ascii="Times New Roman" w:hAnsi="Times New Roman" w:cs="Times New Roman"/>
          <w:sz w:val="24"/>
          <w:szCs w:val="24"/>
        </w:rPr>
      </w:pPr>
    </w:p>
    <w:p w14:paraId="190A1B38"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Richardson et al. (2025) analyse urban rat reports across multiple cities and </w:t>
      </w:r>
      <w:proofErr w:type="gramStart"/>
      <w:r w:rsidRPr="00335C63">
        <w:rPr>
          <w:rFonts w:ascii="Times New Roman" w:hAnsi="Times New Roman" w:cs="Times New Roman" w:eastAsia="Times New Roman"/>
          <w:sz w:val="24"/>
          <w:szCs w:val="24"/>
        </w:rPr>
        <w:t>find</w:t>
      </w:r>
      <w:proofErr w:type="gramEnd"/>
      <w:r w:rsidRPr="00335C63">
        <w:rPr>
          <w:rFonts w:ascii="Times New Roman" w:hAnsi="Times New Roman"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2.3 Digital Pest Decision Support Systems</w:t>
      </w:r>
    </w:p>
    <w:p w14:paraId="588807AA"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Pinto et al. (2025) </w:t>
      </w:r>
      <w:proofErr w:type="gramStart"/>
      <w:r w:rsidRPr="00335C63">
        <w:rPr>
          <w:rFonts w:ascii="Times New Roman" w:hAnsi="Times New Roman" w:cs="Times New Roman" w:eastAsia="Times New Roman"/>
          <w:sz w:val="24"/>
          <w:szCs w:val="24"/>
        </w:rPr>
        <w:t>describe</w:t>
      </w:r>
      <w:proofErr w:type="gramEnd"/>
      <w:r w:rsidRPr="00335C63">
        <w:rPr>
          <w:rFonts w:ascii="Times New Roman" w:hAnsi="Times New Roman"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Times New Roman" w:hAnsi="Times New Roman"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after="120"/>
        <w:jc w:val="both"/>
        <w:rPr>
          <w:rFonts w:ascii="Times New Roman" w:hAnsi="Times New Roman" w:cs="Times New Roman"/>
          <w:sz w:val="24"/>
          <w:szCs w:val="24"/>
        </w:rPr>
      </w:pPr>
    </w:p>
    <w:p w14:paraId="53F5474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Tonle et al. (2024) </w:t>
      </w:r>
      <w:proofErr w:type="gramStart"/>
      <w:r w:rsidRPr="00EF6C0D">
        <w:rPr>
          <w:rFonts w:ascii="Times New Roman" w:hAnsi="Times New Roman" w:cs="Times New Roman" w:eastAsia="Times New Roman"/>
          <w:sz w:val="24"/>
          <w:szCs w:val="24"/>
        </w:rPr>
        <w:t>propose</w:t>
      </w:r>
      <w:proofErr w:type="gramEnd"/>
      <w:r w:rsidRPr="00EF6C0D">
        <w:rPr>
          <w:rFonts w:ascii="Times New Roman" w:hAnsi="Times New Roman" w:cs="Times New Roman" w:eastAsia="Times New Roman"/>
          <w:sz w:val="24"/>
          <w:szCs w:val="24"/>
        </w:rPr>
        <w:t xml:space="preserve"> a roadmap for developing decision support systems for integrated pest management and </w:t>
      </w:r>
      <w:proofErr w:type="gramStart"/>
      <w:r w:rsidRPr="00EF6C0D">
        <w:rPr>
          <w:rFonts w:ascii="Times New Roman" w:hAnsi="Times New Roman" w:cs="Times New Roman" w:eastAsia="Times New Roman"/>
          <w:sz w:val="24"/>
          <w:szCs w:val="24"/>
        </w:rPr>
        <w:t>highlight</w:t>
      </w:r>
      <w:proofErr w:type="gramEnd"/>
      <w:r w:rsidRPr="00EF6C0D">
        <w:rPr>
          <w:rFonts w:ascii="Times New Roman" w:hAnsi="Times New Roman"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after="120"/>
        <w:jc w:val="both"/>
        <w:rPr>
          <w:rFonts w:ascii="Times New Roman" w:hAnsi="Times New Roman" w:cs="Times New Roman"/>
          <w:sz w:val="24"/>
          <w:szCs w:val="24"/>
        </w:rPr>
      </w:pPr>
    </w:p>
    <w:p w14:paraId="494399F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Times New Roman" w:hAnsi="Times New Roman" w:cs="Times New Roman" w:eastAsia="Times New Roman"/>
          <w:sz w:val="24"/>
          <w:szCs w:val="24"/>
        </w:rPr>
        <w:t>not only technically</w:t>
      </w:r>
      <w:proofErr w:type="gramEnd"/>
      <w:r w:rsidRPr="00EF6C0D">
        <w:rPr>
          <w:rFonts w:ascii="Times New Roman" w:hAnsi="Times New Roman"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2.4 Spatial-Temporal Hotspot Detection</w:t>
      </w:r>
    </w:p>
    <w:p w14:paraId="265BE7C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Times New Roman" w:hAnsi="Times New Roman"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after="120"/>
        <w:jc w:val="both"/>
        <w:rPr>
          <w:rFonts w:ascii="Times New Roman" w:hAnsi="Times New Roman" w:cs="Times New Roman"/>
          <w:sz w:val="24"/>
          <w:szCs w:val="24"/>
        </w:rPr>
      </w:pPr>
    </w:p>
    <w:p w14:paraId="04CC9C0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after="120"/>
        <w:jc w:val="both"/>
        <w:rPr>
          <w:rFonts w:ascii="Times New Roman" w:hAnsi="Times New Roman" w:cs="Times New Roman"/>
          <w:sz w:val="24"/>
          <w:szCs w:val="24"/>
        </w:rPr>
      </w:pPr>
    </w:p>
    <w:p w14:paraId="5B8E479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2.5 Weather-Based Prediction and Explainable Modelling</w:t>
      </w:r>
    </w:p>
    <w:p w14:paraId="4059497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after="120"/>
        <w:jc w:val="both"/>
        <w:rPr>
          <w:rFonts w:ascii="Times New Roman" w:hAnsi="Times New Roman" w:cs="Times New Roman"/>
          <w:sz w:val="24"/>
          <w:szCs w:val="24"/>
        </w:rPr>
      </w:pPr>
    </w:p>
    <w:p w14:paraId="12026901" w14:textId="77777777" w:rsidR="0084730D" w:rsidRDefault="00357319"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after="120"/>
        <w:jc w:val="both"/>
        <w:rPr>
          <w:rFonts w:ascii="Times New Roman" w:hAnsi="Times New Roman" w:cs="Times New Roman"/>
          <w:sz w:val="28"/>
          <w:szCs w:val="28"/>
        </w:rPr>
      </w:pPr>
    </w:p>
    <w:p w14:paraId="1C79AD1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2.6 AI-Assisted Recommendations for SMEs</w:t>
      </w:r>
    </w:p>
    <w:p w14:paraId="71499044"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organisational readiness, and practical value. This directly supports the proposed future use of a local AI explanation layer. Rather than making AI the source of truth, the proposed system will calculate analytics-backed scores first and may later use a local model to generate plain-language suggestions for management.</w:t>
      </w:r>
    </w:p>
    <w:p w14:paraId="2E306628" w14:textId="77777777" w:rsidR="008D6A1A" w:rsidRPr="00335C63" w:rsidRDefault="008D6A1A" w:rsidP="008D6A1A">
      <w:pPr>
        <w:spacing w:line="360" w:lineRule="auto" w:after="120"/>
        <w:jc w:val="both"/>
        <w:rPr>
          <w:rFonts w:ascii="Times New Roman" w:hAnsi="Times New Roman" w:cs="Times New Roman"/>
          <w:sz w:val="24"/>
          <w:szCs w:val="24"/>
        </w:rPr>
      </w:pPr>
    </w:p>
    <w:p w14:paraId="11CBE44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approach keeps the AI layer low-cost and privacy-conscious. In the future, the company could run a local model to explain why a case is high risk, why an area needs closer monitoring, or which action may reduce repeat visits. This is aligned with prescriptive analytics while avoiding external AI API cost.</w:t>
      </w:r>
      <w:proofErr w:type="gramStart"/>
      <w:r w:rsidRPr="00335C63">
        <w:rPr>
          <w:rFonts w:ascii="Times New Roman" w:hAnsi="Times New Roman" w:cs="Times New Roman" w:eastAsia="Times New Roman"/>
          <w:sz w:val="24"/>
          <w:szCs w:val="24"/>
        </w:rPr>
      </w:r>
      <w:proofErr w:type="gramEnd"/>
      <w:r w:rsidRPr="00335C63">
        <w:rPr>
          <w:rFonts w:ascii="Times New Roman" w:hAnsi="Times New Roman" w:cs="Times New Roman" w:eastAsia="Times New Roman"/>
          <w:sz w:val="24"/>
          <w:szCs w:val="24"/>
        </w:rPr>
      </w:r>
    </w:p>
    <w:p w14:paraId="56011FCE" w14:textId="77777777" w:rsidR="00EF6C0D" w:rsidRPr="00335C63" w:rsidRDefault="00EF6C0D" w:rsidP="008D6A1A">
      <w:pPr>
        <w:spacing w:line="360" w:lineRule="auto" w:after="120"/>
        <w:jc w:val="both"/>
        <w:rPr>
          <w:rFonts w:ascii="Times New Roman" w:hAnsi="Times New Roman" w:cs="Times New Roman"/>
          <w:sz w:val="24"/>
          <w:szCs w:val="24"/>
        </w:rPr>
      </w:pPr>
    </w:p>
    <w:p w14:paraId="042DFB87"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Leybourne et al. (2025) discuss whether AI can be integrated into pest monitoring schemes and emphasise that successful AI use requires both computational capability and practical acceptance by domain users. This supports the project's decision to keep generative AI as a possible future explanation layer rather than making it the main decision engine. Recommendations should first be produced by transparent analytics rules and stored in a recommendation log; a local AI tool can later translate those results into clearer management-facing explanations.</w:t>
      </w:r>
      <w:r w:rsidRPr="00EF6C0D">
        <w:rPr>
          <w:rFonts w:ascii="Times New Roman" w:hAnsi="Times New Roman" w:cs="Times New Roman" w:eastAsia="Times New Roman"/>
          <w:sz w:val="24"/>
          <w:szCs w:val="24"/>
        </w:rPr>
      </w:r>
    </w:p>
    <w:p w14:paraId="73172DC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2.7 Comparative Review of Selected Studies</w:t>
      </w:r>
    </w:p>
    <w:p w14:paraId="5B440CEC"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after="120"/>
        <w:jc w:val="both"/>
        <w:rPr>
          <w:rFonts w:ascii="Times New Roman" w:hAnsi="Times New Roman" w:cs="Times New Roman"/>
          <w:sz w:val="24"/>
          <w:szCs w:val="24"/>
        </w:rPr>
      </w:pPr>
    </w:p>
    <w:p w14:paraId="0102931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using an analytics engineering architecture rather than building a full CRM system.</w:t>
      </w:r>
      <w:proofErr w:type="gramStart"/>
      <w:r w:rsidRPr="008D6A1A">
        <w:rPr>
          <w:rFonts w:ascii="Times New Roman" w:hAnsi="Times New Roman" w:cs="Times New Roman" w:eastAsia="Times New Roman"/>
          <w:sz w:val="24"/>
          <w:szCs w:val="24"/>
        </w:rPr>
      </w:r>
      <w:proofErr w:type="gramEnd"/>
      <w:r w:rsidRPr="008D6A1A">
        <w:rPr>
          <w:rFonts w:ascii="Times New Roman" w:hAnsi="Times New Roman" w:cs="Times New Roman" w:eastAsia="Times New Roman"/>
          <w:sz w:val="24"/>
          <w:szCs w:val="24"/>
        </w:rPr>
      </w:r>
    </w:p>
    <w:p w14:paraId="5AD0E43E" w14:textId="77777777" w:rsidR="008D6A1A" w:rsidRPr="008D6A1A" w:rsidRDefault="008D6A1A" w:rsidP="008D6A1A">
      <w:pPr>
        <w:spacing w:line="360" w:lineRule="auto" w:after="120"/>
        <w:jc w:val="both"/>
        <w:rPr>
          <w:rFonts w:ascii="Times New Roman" w:hAnsi="Times New Roman" w:cs="Times New Roman"/>
          <w:sz w:val="24"/>
          <w:szCs w:val="24"/>
        </w:rPr>
      </w:pPr>
    </w:p>
    <w:p w14:paraId="1AD0FC0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after="120"/>
        <w:jc w:val="both"/>
        <w:rPr>
          <w:rFonts w:ascii="Times New Roman" w:hAnsi="Times New Roman" w:cs="Times New Roman"/>
          <w:sz w:val="24"/>
          <w:szCs w:val="24"/>
        </w:rPr>
      </w:pPr>
    </w:p>
    <w:p w14:paraId="66D947BF"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after="120"/>
        <w:jc w:val="both"/>
        <w:rPr>
          <w:rFonts w:ascii="Times New Roman" w:hAnsi="Times New Roman" w:cs="Times New Roman"/>
          <w:sz w:val="24"/>
          <w:szCs w:val="24"/>
        </w:rPr>
      </w:pPr>
    </w:p>
    <w:p w14:paraId="4861A5BA"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after="120"/>
        <w:jc w:val="both"/>
        <w:rPr>
          <w:rFonts w:ascii="Times New Roman" w:hAnsi="Times New Roman" w:cs="Times New Roman"/>
          <w:sz w:val="24"/>
          <w:szCs w:val="24"/>
        </w:rPr>
      </w:pPr>
    </w:p>
    <w:p w14:paraId="0AA030E7"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after="120"/>
        <w:jc w:val="both"/>
        <w:rPr>
          <w:rFonts w:ascii="Times New Roman" w:hAnsi="Times New Roman" w:cs="Times New Roman"/>
          <w:sz w:val="24"/>
          <w:szCs w:val="24"/>
        </w:rPr>
      </w:pPr>
    </w:p>
    <w:p w14:paraId="6CF54C72"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after="120"/>
        <w:jc w:val="both"/>
        <w:rPr>
          <w:rFonts w:ascii="Times New Roman" w:hAnsi="Times New Roman" w:cs="Times New Roman"/>
          <w:sz w:val="24"/>
          <w:szCs w:val="24"/>
        </w:rPr>
      </w:pPr>
    </w:p>
    <w:p w14:paraId="455AD25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after="120"/>
        <w:jc w:val="both"/>
        <w:rPr>
          <w:rFonts w:ascii="Times New Roman" w:hAnsi="Times New Roman" w:cs="Times New Roman"/>
          <w:sz w:val="24"/>
          <w:szCs w:val="24"/>
        </w:rPr>
      </w:pPr>
    </w:p>
    <w:p w14:paraId="0DAF83D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after="120"/>
        <w:jc w:val="both"/>
        <w:rPr>
          <w:rFonts w:ascii="Times New Roman" w:hAnsi="Times New Roman" w:cs="Times New Roman"/>
          <w:sz w:val="24"/>
          <w:szCs w:val="24"/>
        </w:rPr>
      </w:pPr>
    </w:p>
    <w:p w14:paraId="40A2B82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eastAsia="Times New Roman"/>
          <w:sz w:val="24"/>
          <w:szCs w:val="24"/>
        </w:rPr>
        <w:t>Nomobug</w:t>
      </w:r>
      <w:proofErr w:type="spellEnd"/>
      <w:r w:rsidRPr="008D6A1A">
        <w:rPr>
          <w:rFonts w:ascii="Times New Roman" w:hAnsi="Times New Roman" w:cs="Times New Roman" w:eastAsia="Times New Roman"/>
          <w:sz w:val="24"/>
          <w:szCs w:val="24"/>
        </w:rPr>
        <w:t xml:space="preserve"> dashboard.</w:t>
      </w:r>
    </w:p>
    <w:p w14:paraId="3D7EFC2B" w14:textId="77777777" w:rsidR="008D6A1A" w:rsidRPr="008D6A1A" w:rsidRDefault="008D6A1A" w:rsidP="008D6A1A">
      <w:pPr>
        <w:spacing w:line="360" w:lineRule="auto" w:after="120"/>
        <w:jc w:val="both"/>
        <w:rPr>
          <w:rFonts w:ascii="Times New Roman" w:hAnsi="Times New Roman" w:cs="Times New Roman"/>
          <w:sz w:val="24"/>
          <w:szCs w:val="24"/>
        </w:rPr>
      </w:pPr>
    </w:p>
    <w:p w14:paraId="4B9CD53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after="120"/>
        <w:jc w:val="both"/>
        <w:rPr>
          <w:rFonts w:ascii="Times New Roman" w:hAnsi="Times New Roman" w:cs="Times New Roman"/>
          <w:sz w:val="24"/>
          <w:szCs w:val="24"/>
        </w:rPr>
      </w:pPr>
    </w:p>
    <w:p w14:paraId="21D56DCE"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after="120"/>
        <w:jc w:val="both"/>
        <w:rPr>
          <w:rFonts w:ascii="Times New Roman" w:hAnsi="Times New Roman" w:cs="Times New Roman"/>
          <w:sz w:val="24"/>
          <w:szCs w:val="24"/>
        </w:rPr>
      </w:pPr>
    </w:p>
    <w:p w14:paraId="68F772F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after="120"/>
        <w:jc w:val="both"/>
        <w:rPr>
          <w:rFonts w:ascii="Times New Roman" w:hAnsi="Times New Roman" w:cs="Times New Roman"/>
          <w:sz w:val="24"/>
          <w:szCs w:val="24"/>
        </w:rPr>
      </w:pPr>
    </w:p>
    <w:p w14:paraId="09136E24"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after="120"/>
        <w:jc w:val="both"/>
        <w:rPr>
          <w:rFonts w:ascii="Times New Roman" w:hAnsi="Times New Roman" w:cs="Times New Roman"/>
          <w:sz w:val="24"/>
          <w:szCs w:val="24"/>
        </w:rPr>
      </w:pPr>
    </w:p>
    <w:p w14:paraId="289FC793" w14:textId="77777777" w:rsidR="00984EB3" w:rsidRDefault="003C0C08" w:rsidP="008D6A1A">
      <w:pPr>
        <w:spacing w:line="360" w:lineRule="auto" w:after="120"/>
        <w:jc w:val="both"/>
      </w:pPr>
      <w:r w:rsidRPr="008D6A1A">
        <w:rPr>
          <w:rFonts w:ascii="Times New Roman" w:hAnsi="Times New Roman"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Times New Roman" w:hAnsi="Times New Roman" w:eastAsia="Times New Roman" w:cs="Times New Roman"/>
          <w:sz w:val="24"/>
        </w:rPr>
        <w:t>.</w:t>
      </w:r>
    </w:p>
    <w:p w14:paraId="14B80CED"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2.8 Literature Matrix</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48"/>
        <w:gridCol w:w="2251"/>
        <w:gridCol w:w="2269"/>
        <w:gridCol w:w="2248"/>
      </w:tblGrid>
      <w:tr w:rsidR="00984EB3" w14:paraId="53CB9D67" w14:textId="77777777">
        <w:trPr>
          <w:jc w:val="center"/>
        </w:trPr>
        <w:tc>
          <w:tcPr>
            <w:tcW w:w="2256" w:type="dxa"/>
            <w:shd w:val="clear" w:color="auto" w:fill="D9EAF7"/>
            <w:vAlign w:val="center"/>
            <w:shd w:fill="DCEAF7"/>
          </w:tcPr>
          <w:p w14:paraId="73D48E4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Study / Source</w:t>
            </w:r>
          </w:p>
        </w:tc>
        <w:tc>
          <w:tcPr>
            <w:tcW w:w="2256" w:type="dxa"/>
            <w:shd w:val="clear" w:color="auto" w:fill="D9EAF7"/>
            <w:vAlign w:val="center"/>
            <w:shd w:fill="DCEAF7"/>
          </w:tcPr>
          <w:p w14:paraId="3C62294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Focus</w:t>
            </w:r>
          </w:p>
        </w:tc>
        <w:tc>
          <w:tcPr>
            <w:tcW w:w="2256" w:type="dxa"/>
            <w:shd w:val="clear" w:color="auto" w:fill="D9EAF7"/>
            <w:vAlign w:val="center"/>
            <w:shd w:fill="DCEAF7"/>
          </w:tcPr>
          <w:p w14:paraId="1CD5942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How It Supports This Project</w:t>
            </w:r>
          </w:p>
        </w:tc>
        <w:tc>
          <w:tcPr>
            <w:tcW w:w="2256" w:type="dxa"/>
            <w:shd w:val="clear" w:color="auto" w:fill="D9EAF7"/>
            <w:vAlign w:val="center"/>
            <w:shd w:fill="DCEAF7"/>
          </w:tcPr>
          <w:p w14:paraId="48A096F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Ragazou et al. (2023)</w:t>
            </w:r>
          </w:p>
        </w:tc>
        <w:tc>
          <w:tcPr>
            <w:tcW w:w="2256" w:type="dxa"/>
            <w:vAlign w:val="center"/>
          </w:tcPr>
          <w:p w14:paraId="66BB6E0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 for SMEs</w:t>
            </w:r>
          </w:p>
        </w:tc>
        <w:tc>
          <w:tcPr>
            <w:tcW w:w="2256" w:type="dxa"/>
            <w:vAlign w:val="center"/>
          </w:tcPr>
          <w:p w14:paraId="3F77F2D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SME decision-support dashboard framing</w:t>
            </w:r>
          </w:p>
        </w:tc>
        <w:tc>
          <w:tcPr>
            <w:tcW w:w="2256" w:type="dxa"/>
            <w:vAlign w:val="center"/>
          </w:tcPr>
          <w:p w14:paraId="77ABA06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Gurcan et al. (2023)</w:t>
            </w:r>
          </w:p>
        </w:tc>
        <w:tc>
          <w:tcPr>
            <w:tcW w:w="2256" w:type="dxa"/>
            <w:vAlign w:val="center"/>
          </w:tcPr>
          <w:p w14:paraId="4B8D5F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 trends, AI, data mining</w:t>
            </w:r>
          </w:p>
        </w:tc>
        <w:tc>
          <w:tcPr>
            <w:tcW w:w="2256" w:type="dxa"/>
            <w:vAlign w:val="center"/>
          </w:tcPr>
          <w:p w14:paraId="0997505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Cordon (2026)</w:t>
            </w:r>
          </w:p>
        </w:tc>
        <w:tc>
          <w:tcPr>
            <w:tcW w:w="2256" w:type="dxa"/>
            <w:vAlign w:val="center"/>
          </w:tcPr>
          <w:p w14:paraId="67797AA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Predictive heat maps for urban cockroach infestation</w:t>
            </w:r>
          </w:p>
        </w:tc>
        <w:tc>
          <w:tcPr>
            <w:tcW w:w="2256" w:type="dxa"/>
            <w:vAlign w:val="center"/>
          </w:tcPr>
          <w:p w14:paraId="3A63FCE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spatial-temporal heatmap concept</w:t>
            </w:r>
          </w:p>
        </w:tc>
        <w:tc>
          <w:tcPr>
            <w:tcW w:w="2256" w:type="dxa"/>
            <w:vAlign w:val="center"/>
          </w:tcPr>
          <w:p w14:paraId="28E9799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Calatayud et al. (2023)</w:t>
            </w:r>
          </w:p>
        </w:tc>
        <w:tc>
          <w:tcPr>
            <w:tcW w:w="2256" w:type="dxa"/>
            <w:vAlign w:val="center"/>
          </w:tcPr>
          <w:p w14:paraId="64E3287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infestation population model</w:t>
            </w:r>
          </w:p>
        </w:tc>
        <w:tc>
          <w:tcPr>
            <w:tcW w:w="2256" w:type="dxa"/>
            <w:vAlign w:val="center"/>
          </w:tcPr>
          <w:p w14:paraId="799519A6"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modelling urban pest dynamics</w:t>
            </w:r>
          </w:p>
        </w:tc>
        <w:tc>
          <w:tcPr>
            <w:tcW w:w="2256" w:type="dxa"/>
            <w:vAlign w:val="center"/>
          </w:tcPr>
          <w:p w14:paraId="6805F82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Hiscox et al. (2025)</w:t>
            </w:r>
          </w:p>
        </w:tc>
        <w:tc>
          <w:tcPr>
            <w:tcW w:w="2256" w:type="dxa"/>
            <w:vAlign w:val="center"/>
          </w:tcPr>
          <w:p w14:paraId="483A620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events and cockroaches/flies</w:t>
            </w:r>
          </w:p>
        </w:tc>
        <w:tc>
          <w:tcPr>
            <w:tcW w:w="2256" w:type="dxa"/>
            <w:vAlign w:val="center"/>
          </w:tcPr>
          <w:p w14:paraId="02CF1E28"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weather-associated risk indicators</w:t>
            </w:r>
          </w:p>
        </w:tc>
        <w:tc>
          <w:tcPr>
            <w:tcW w:w="2256" w:type="dxa"/>
            <w:vAlign w:val="center"/>
          </w:tcPr>
          <w:p w14:paraId="5EC48AD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lastRenderedPageBreak/>
              <w:t>Richardson et al. (2025)</w:t>
            </w:r>
          </w:p>
        </w:tc>
        <w:tc>
          <w:tcPr>
            <w:tcW w:w="2256" w:type="dxa"/>
            <w:vAlign w:val="center"/>
          </w:tcPr>
          <w:p w14:paraId="6767183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rats, climate, urbanisation</w:t>
            </w:r>
          </w:p>
        </w:tc>
        <w:tc>
          <w:tcPr>
            <w:tcW w:w="2256" w:type="dxa"/>
            <w:vAlign w:val="center"/>
          </w:tcPr>
          <w:p w14:paraId="791A21D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environmental and urban context analysis</w:t>
            </w:r>
          </w:p>
        </w:tc>
        <w:tc>
          <w:tcPr>
            <w:tcW w:w="2256" w:type="dxa"/>
            <w:vAlign w:val="center"/>
          </w:tcPr>
          <w:p w14:paraId="7A90559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Brimblecombe et al. (2023)</w:t>
            </w:r>
          </w:p>
        </w:tc>
        <w:tc>
          <w:tcPr>
            <w:tcW w:w="2256" w:type="dxa"/>
            <w:vAlign w:val="center"/>
          </w:tcPr>
          <w:p w14:paraId="46EFCA7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pest enquiry data</w:t>
            </w:r>
          </w:p>
        </w:tc>
        <w:tc>
          <w:tcPr>
            <w:tcW w:w="2256" w:type="dxa"/>
            <w:vAlign w:val="center"/>
          </w:tcPr>
          <w:p w14:paraId="7836437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use of complaints/warranty-style records</w:t>
            </w:r>
          </w:p>
        </w:tc>
        <w:tc>
          <w:tcPr>
            <w:tcW w:w="2256" w:type="dxa"/>
            <w:vAlign w:val="center"/>
          </w:tcPr>
          <w:p w14:paraId="54C7141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Pinto et al. (2025)</w:t>
            </w:r>
          </w:p>
        </w:tc>
        <w:tc>
          <w:tcPr>
            <w:tcW w:w="2256" w:type="dxa"/>
            <w:vAlign w:val="center"/>
          </w:tcPr>
          <w:p w14:paraId="18EFD3CE"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Weather-based pest DSS</w:t>
            </w:r>
          </w:p>
        </w:tc>
        <w:tc>
          <w:tcPr>
            <w:tcW w:w="2256" w:type="dxa"/>
            <w:vAlign w:val="center"/>
          </w:tcPr>
          <w:p w14:paraId="439D338B"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decision-support architecture</w:t>
            </w:r>
          </w:p>
        </w:tc>
        <w:tc>
          <w:tcPr>
            <w:tcW w:w="2256" w:type="dxa"/>
            <w:vAlign w:val="center"/>
          </w:tcPr>
          <w:p w14:paraId="00CF2DB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Erguler et al. (2024)</w:t>
            </w:r>
          </w:p>
        </w:tc>
        <w:tc>
          <w:tcPr>
            <w:tcW w:w="2256" w:type="dxa"/>
            <w:vAlign w:val="center"/>
          </w:tcPr>
          <w:p w14:paraId="695E8D1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VEClim early warning DSS</w:t>
            </w:r>
          </w:p>
        </w:tc>
        <w:tc>
          <w:tcPr>
            <w:tcW w:w="2256" w:type="dxa"/>
            <w:vAlign w:val="center"/>
          </w:tcPr>
          <w:p w14:paraId="6B57E07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climate-sensitive warning and planning layer</w:t>
            </w:r>
          </w:p>
        </w:tc>
        <w:tc>
          <w:tcPr>
            <w:tcW w:w="2256" w:type="dxa"/>
            <w:vAlign w:val="center"/>
          </w:tcPr>
          <w:p w14:paraId="254AC35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Yao et al. (2026)</w:t>
            </w:r>
          </w:p>
        </w:tc>
        <w:tc>
          <w:tcPr>
            <w:tcW w:w="2256" w:type="dxa"/>
            <w:vAlign w:val="center"/>
          </w:tcPr>
          <w:p w14:paraId="71DFD9F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XGBoost and SHAP mosquito density</w:t>
            </w:r>
          </w:p>
        </w:tc>
        <w:tc>
          <w:tcPr>
            <w:tcW w:w="2256" w:type="dxa"/>
            <w:vAlign w:val="center"/>
          </w:tcPr>
          <w:p w14:paraId="33B9505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explainable environmental modelling</w:t>
            </w:r>
          </w:p>
        </w:tc>
        <w:tc>
          <w:tcPr>
            <w:tcW w:w="2256" w:type="dxa"/>
            <w:vAlign w:val="center"/>
          </w:tcPr>
          <w:p w14:paraId="674BE64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Kaloudis et al. (2026)</w:t>
            </w:r>
          </w:p>
        </w:tc>
        <w:tc>
          <w:tcPr>
            <w:tcW w:w="2256" w:type="dxa"/>
            <w:vAlign w:val="center"/>
          </w:tcPr>
          <w:p w14:paraId="6B58E92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Temperature-driven pest population model</w:t>
            </w:r>
          </w:p>
        </w:tc>
        <w:tc>
          <w:tcPr>
            <w:tcW w:w="2256" w:type="dxa"/>
            <w:vAlign w:val="center"/>
          </w:tcPr>
          <w:p w14:paraId="4CF4DBD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time-window and temperature features</w:t>
            </w:r>
          </w:p>
        </w:tc>
        <w:tc>
          <w:tcPr>
            <w:tcW w:w="2256" w:type="dxa"/>
            <w:vAlign w:val="center"/>
          </w:tcPr>
          <w:p w14:paraId="68A20E1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Sumido et al. (2023)</w:t>
            </w:r>
          </w:p>
        </w:tc>
        <w:tc>
          <w:tcPr>
            <w:tcW w:w="2256" w:type="dxa"/>
            <w:vAlign w:val="center"/>
          </w:tcPr>
          <w:p w14:paraId="2E4762E8"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variables and pest prediction</w:t>
            </w:r>
          </w:p>
        </w:tc>
        <w:tc>
          <w:tcPr>
            <w:tcW w:w="2256" w:type="dxa"/>
            <w:vAlign w:val="center"/>
          </w:tcPr>
          <w:p w14:paraId="03AA270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weather features in ML analytics</w:t>
            </w:r>
          </w:p>
        </w:tc>
        <w:tc>
          <w:tcPr>
            <w:tcW w:w="2256" w:type="dxa"/>
            <w:vAlign w:val="center"/>
          </w:tcPr>
          <w:p w14:paraId="31A86C6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Biswas et al. (2022)</w:t>
            </w:r>
          </w:p>
        </w:tc>
        <w:tc>
          <w:tcPr>
            <w:tcW w:w="2256" w:type="dxa"/>
            <w:vAlign w:val="center"/>
          </w:tcPr>
          <w:p w14:paraId="2F00C8E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Pest forecasting using historical usage records</w:t>
            </w:r>
          </w:p>
        </w:tc>
        <w:tc>
          <w:tcPr>
            <w:tcW w:w="2256" w:type="dxa"/>
            <w:vAlign w:val="center"/>
          </w:tcPr>
          <w:p w14:paraId="4C27170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use of historical operational records</w:t>
            </w:r>
          </w:p>
        </w:tc>
        <w:tc>
          <w:tcPr>
            <w:tcW w:w="2256" w:type="dxa"/>
            <w:vAlign w:val="center"/>
          </w:tcPr>
          <w:p w14:paraId="12AB900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Dey &amp; Roy (2025)</w:t>
            </w:r>
          </w:p>
        </w:tc>
        <w:tc>
          <w:tcPr>
            <w:tcW w:w="2256" w:type="dxa"/>
            <w:vAlign w:val="center"/>
          </w:tcPr>
          <w:p w14:paraId="0161076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AI and IoT pest management</w:t>
            </w:r>
          </w:p>
        </w:tc>
        <w:tc>
          <w:tcPr>
            <w:tcW w:w="2256" w:type="dxa"/>
            <w:vAlign w:val="center"/>
          </w:tcPr>
          <w:p w14:paraId="0266774E"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future intelligent decision support</w:t>
            </w:r>
          </w:p>
        </w:tc>
        <w:tc>
          <w:tcPr>
            <w:tcW w:w="2256" w:type="dxa"/>
            <w:vAlign w:val="center"/>
          </w:tcPr>
          <w:p w14:paraId="2FFBA03D"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Open-Meteo (2026)</w:t>
            </w:r>
          </w:p>
        </w:tc>
        <w:tc>
          <w:tcPr>
            <w:tcW w:w="2256" w:type="dxa"/>
            <w:vAlign w:val="center"/>
          </w:tcPr>
          <w:p w14:paraId="5A09CF7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Historical and forecast weather API</w:t>
            </w:r>
          </w:p>
        </w:tc>
        <w:tc>
          <w:tcPr>
            <w:tcW w:w="2256" w:type="dxa"/>
            <w:vAlign w:val="center"/>
          </w:tcPr>
          <w:p w14:paraId="45692D26"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coordinate-based weather matching</w:t>
            </w:r>
          </w:p>
        </w:tc>
        <w:tc>
          <w:tcPr>
            <w:tcW w:w="2256" w:type="dxa"/>
            <w:vAlign w:val="center"/>
          </w:tcPr>
          <w:p w14:paraId="6EF5DCA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Google Calendar API (2026)</w:t>
            </w:r>
          </w:p>
        </w:tc>
        <w:tc>
          <w:tcPr>
            <w:tcW w:w="2256" w:type="dxa"/>
            <w:vAlign w:val="center"/>
          </w:tcPr>
          <w:p w14:paraId="6AB7F4F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Calendar event extraction</w:t>
            </w:r>
          </w:p>
        </w:tc>
        <w:tc>
          <w:tcPr>
            <w:tcW w:w="2256" w:type="dxa"/>
            <w:vAlign w:val="center"/>
          </w:tcPr>
          <w:p w14:paraId="2E3EC1D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scheduling and capacity analytics</w:t>
            </w:r>
          </w:p>
        </w:tc>
        <w:tc>
          <w:tcPr>
            <w:tcW w:w="2256" w:type="dxa"/>
            <w:vAlign w:val="center"/>
          </w:tcPr>
          <w:p w14:paraId="389E26F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40" w:line="276" w:lineRule="auto"/>
              <w:jc w:val="left"/>
              <w:rPr>
                <w:rFonts w:ascii="Times New Roman" w:hAnsi="Times New Roman" w:cs="Times New Roman"/>
                <w:sz w:val="24"/>
                <w:szCs w:val="24"/>
              </w:rPr>
            </w:pPr>
            <w:r>
              <w:rPr>
                <w:rFonts w:ascii="Times New Roman" w:hAnsi="Times New Roman" w:eastAsia="Times New Roman"/>
                <w:sz w:val="20"/>
              </w:rPr>
              <w:t>Analytics platform documentation (2026)</w:t>
            </w:r>
          </w:p>
        </w:tc>
        <w:tc>
          <w:tcPr>
            <w:tcW w:w="2256" w:type="dxa"/>
            <w:vAlign w:val="center"/>
          </w:tcPr>
          <w:p w14:paraId="74387BF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Warehouse and dashboard tools</w:t>
            </w:r>
          </w:p>
        </w:tc>
        <w:tc>
          <w:tcPr>
            <w:tcW w:w="2256" w:type="dxa"/>
            <w:vAlign w:val="center"/>
          </w:tcPr>
          <w:p w14:paraId="35F9275F" w14:textId="77777777" w:rsidR="00984EB3" w:rsidRPr="00A32882" w:rsidRDefault="003C0C08" w:rsidP="00A32882">
            <w:pPr>
              <w:spacing w:after="40" w:line="276" w:lineRule="auto"/>
              <w:jc w:val="left"/>
              <w:rPr>
                <w:rFonts w:ascii="Times New Roman" w:hAnsi="Times New Roman" w:cs="Times New Roman"/>
                <w:sz w:val="24"/>
                <w:szCs w:val="24"/>
              </w:rPr>
            </w:pPr>
            <w:r>
              <w:rPr>
                <w:rFonts w:ascii="Times New Roman" w:hAnsi="Times New Roman" w:eastAsia="Times New Roman"/>
                <w:sz w:val="20"/>
              </w:rPr>
              <w:t>Supports the selected analytics warehouse and dashboard implementation</w:t>
            </w:r>
          </w:p>
        </w:tc>
        <w:tc>
          <w:tcPr>
            <w:tcW w:w="2256" w:type="dxa"/>
            <w:vAlign w:val="center"/>
          </w:tcPr>
          <w:p w14:paraId="3268439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Technical documentation</w:t>
            </w:r>
          </w:p>
        </w:tc>
      </w:tr>
      <w:tr w:rsidR="00BF3F6C" w14:paraId="654B0EAB" w14:textId="77777777">
        <w:trPr>
          <w:jc w:val="center"/>
        </w:trPr>
        <w:tc>
          <w:tcPr>
            <w:tcW w:w="2248" w:type="dxa"/>
            <w:vAlign w:val="center"/>
          </w:tcPr>
          <w:p w14:paraId="5255B74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Schulze et al. (2023)</w:t>
            </w:r>
          </w:p>
        </w:tc>
        <w:tc>
          <w:tcPr>
            <w:tcW w:w="2251" w:type="dxa"/>
            <w:vAlign w:val="center"/>
          </w:tcPr>
          <w:p w14:paraId="3D643871"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Digital dashboard systematic review</w:t>
            </w:r>
          </w:p>
        </w:tc>
        <w:tc>
          <w:tcPr>
            <w:tcW w:w="2269" w:type="dxa"/>
            <w:vAlign w:val="center"/>
          </w:tcPr>
          <w:p w14:paraId="48D61C3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dashboard design and action-oriented visual communication</w:t>
            </w:r>
          </w:p>
        </w:tc>
        <w:tc>
          <w:tcPr>
            <w:tcW w:w="2248" w:type="dxa"/>
            <w:vAlign w:val="center"/>
          </w:tcPr>
          <w:p w14:paraId="59066484"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General public-health context</w:t>
            </w:r>
          </w:p>
        </w:tc>
      </w:tr>
      <w:tr w:rsidR="00BF3F6C" w14:paraId="2FDB5AE1" w14:textId="77777777">
        <w:trPr>
          <w:jc w:val="center"/>
        </w:trPr>
        <w:tc>
          <w:tcPr>
            <w:tcW w:w="2248" w:type="dxa"/>
            <w:vAlign w:val="center"/>
          </w:tcPr>
          <w:p w14:paraId="0B7E937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Blacketer et al. (2021)</w:t>
            </w:r>
          </w:p>
        </w:tc>
        <w:tc>
          <w:tcPr>
            <w:tcW w:w="2251" w:type="dxa"/>
            <w:vAlign w:val="center"/>
          </w:tcPr>
          <w:p w14:paraId="11ECBBF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Data Quality Dashboard</w:t>
            </w:r>
          </w:p>
        </w:tc>
        <w:tc>
          <w:tcPr>
            <w:tcW w:w="2269" w:type="dxa"/>
            <w:vAlign w:val="center"/>
          </w:tcPr>
          <w:p w14:paraId="41F3A3E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data quality reporting before analytics interpretation</w:t>
            </w:r>
          </w:p>
        </w:tc>
        <w:tc>
          <w:tcPr>
            <w:tcW w:w="2248" w:type="dxa"/>
            <w:vAlign w:val="center"/>
          </w:tcPr>
          <w:p w14:paraId="3AE2F4E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Healthcare context but transferable</w:t>
            </w:r>
          </w:p>
        </w:tc>
      </w:tr>
      <w:tr w:rsidR="00BF3F6C" w14:paraId="73D13A23" w14:textId="77777777">
        <w:trPr>
          <w:jc w:val="center"/>
        </w:trPr>
        <w:tc>
          <w:tcPr>
            <w:tcW w:w="2248" w:type="dxa"/>
            <w:vAlign w:val="center"/>
          </w:tcPr>
          <w:p w14:paraId="0D3A2C5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Fu et al. (2024)</w:t>
            </w:r>
          </w:p>
        </w:tc>
        <w:tc>
          <w:tcPr>
            <w:tcW w:w="2251" w:type="dxa"/>
            <w:vAlign w:val="center"/>
          </w:tcPr>
          <w:p w14:paraId="0BC43E8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Industrial data quality review</w:t>
            </w:r>
          </w:p>
        </w:tc>
        <w:tc>
          <w:tcPr>
            <w:tcW w:w="2269" w:type="dxa"/>
            <w:vAlign w:val="center"/>
          </w:tcPr>
          <w:p w14:paraId="029FA5F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staging, cleaning flags, and governance workflow</w:t>
            </w:r>
          </w:p>
        </w:tc>
        <w:tc>
          <w:tcPr>
            <w:tcW w:w="2248" w:type="dxa"/>
            <w:vAlign w:val="center"/>
          </w:tcPr>
          <w:p w14:paraId="41AF0EA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Conceptual review</w:t>
            </w:r>
          </w:p>
        </w:tc>
      </w:tr>
      <w:tr w:rsidR="00BF3F6C" w14:paraId="50122F0C" w14:textId="77777777">
        <w:trPr>
          <w:jc w:val="center"/>
        </w:trPr>
        <w:tc>
          <w:tcPr>
            <w:tcW w:w="2248" w:type="dxa"/>
            <w:vAlign w:val="center"/>
          </w:tcPr>
          <w:p w14:paraId="3CB0470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Tonle et al. (2024)</w:t>
            </w:r>
          </w:p>
        </w:tc>
        <w:tc>
          <w:tcPr>
            <w:tcW w:w="2251" w:type="dxa"/>
            <w:vAlign w:val="center"/>
          </w:tcPr>
          <w:p w14:paraId="51A1AA30"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Pest management DSS roadmap</w:t>
            </w:r>
          </w:p>
        </w:tc>
        <w:tc>
          <w:tcPr>
            <w:tcW w:w="2269" w:type="dxa"/>
            <w:vAlign w:val="center"/>
          </w:tcPr>
          <w:p w14:paraId="420ADAB0"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architecture connecting data, models, and decision outputs</w:t>
            </w:r>
          </w:p>
        </w:tc>
        <w:tc>
          <w:tcPr>
            <w:tcW w:w="2248" w:type="dxa"/>
            <w:vAlign w:val="center"/>
          </w:tcPr>
          <w:p w14:paraId="35747751"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IPM context</w:t>
            </w:r>
          </w:p>
        </w:tc>
      </w:tr>
      <w:tr w:rsidR="00BF3F6C" w14:paraId="18A4B657" w14:textId="77777777">
        <w:trPr>
          <w:jc w:val="center"/>
        </w:trPr>
        <w:tc>
          <w:tcPr>
            <w:tcW w:w="2248" w:type="dxa"/>
            <w:vAlign w:val="center"/>
          </w:tcPr>
          <w:p w14:paraId="64A3CA4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Marinko et al. (2024)</w:t>
            </w:r>
          </w:p>
        </w:tc>
        <w:tc>
          <w:tcPr>
            <w:tcW w:w="2251" w:type="dxa"/>
            <w:vAlign w:val="center"/>
          </w:tcPr>
          <w:p w14:paraId="7A940DB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IPM DSS typology web app</w:t>
            </w:r>
          </w:p>
        </w:tc>
        <w:tc>
          <w:tcPr>
            <w:tcW w:w="2269" w:type="dxa"/>
            <w:vAlign w:val="center"/>
          </w:tcPr>
          <w:p w14:paraId="1CDEEBF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classifying monitoring, prediction, and recommendation features</w:t>
            </w:r>
          </w:p>
        </w:tc>
        <w:tc>
          <w:tcPr>
            <w:tcW w:w="2248" w:type="dxa"/>
            <w:vAlign w:val="center"/>
          </w:tcPr>
          <w:p w14:paraId="2F101FE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DSS focus</w:t>
            </w:r>
          </w:p>
        </w:tc>
      </w:tr>
      <w:tr w:rsidR="00BF3F6C" w14:paraId="2CC0036A" w14:textId="77777777">
        <w:trPr>
          <w:jc w:val="center"/>
        </w:trPr>
        <w:tc>
          <w:tcPr>
            <w:tcW w:w="2248" w:type="dxa"/>
            <w:vAlign w:val="center"/>
          </w:tcPr>
          <w:p w14:paraId="01F3DDC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Fiori et al. (2024)</w:t>
            </w:r>
          </w:p>
        </w:tc>
        <w:tc>
          <w:tcPr>
            <w:tcW w:w="2251" w:type="dxa"/>
            <w:vAlign w:val="center"/>
          </w:tcPr>
          <w:p w14:paraId="039001A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SMARTerra pest/disease DSS</w:t>
            </w:r>
          </w:p>
        </w:tc>
        <w:tc>
          <w:tcPr>
            <w:tcW w:w="2269" w:type="dxa"/>
            <w:vAlign w:val="center"/>
          </w:tcPr>
          <w:p w14:paraId="469BF56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high-resolution risk maps and planning dashboards</w:t>
            </w:r>
          </w:p>
        </w:tc>
        <w:tc>
          <w:tcPr>
            <w:tcW w:w="2248" w:type="dxa"/>
            <w:vAlign w:val="center"/>
          </w:tcPr>
          <w:p w14:paraId="6823494D"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Plant pest/disease context</w:t>
            </w:r>
          </w:p>
        </w:tc>
      </w:tr>
      <w:tr w:rsidR="00BF3F6C" w14:paraId="2D2E055B" w14:textId="77777777">
        <w:trPr>
          <w:jc w:val="center"/>
        </w:trPr>
        <w:tc>
          <w:tcPr>
            <w:tcW w:w="2248" w:type="dxa"/>
            <w:vAlign w:val="center"/>
          </w:tcPr>
          <w:p w14:paraId="5D4FB75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Marinko et al. (2025)</w:t>
            </w:r>
          </w:p>
        </w:tc>
        <w:tc>
          <w:tcPr>
            <w:tcW w:w="2251" w:type="dxa"/>
            <w:vAlign w:val="center"/>
          </w:tcPr>
          <w:p w14:paraId="5638BF5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DSS adoption barriers</w:t>
            </w:r>
          </w:p>
        </w:tc>
        <w:tc>
          <w:tcPr>
            <w:tcW w:w="2269" w:type="dxa"/>
            <w:vAlign w:val="center"/>
          </w:tcPr>
          <w:p w14:paraId="5A127FA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usability, trust, and adoption evaluation</w:t>
            </w:r>
          </w:p>
        </w:tc>
        <w:tc>
          <w:tcPr>
            <w:tcW w:w="2248" w:type="dxa"/>
            <w:vAlign w:val="center"/>
          </w:tcPr>
          <w:p w14:paraId="12B7B88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European IPM setting</w:t>
            </w:r>
          </w:p>
        </w:tc>
      </w:tr>
      <w:tr w:rsidR="00BF3F6C" w14:paraId="290BA555" w14:textId="77777777">
        <w:trPr>
          <w:jc w:val="center"/>
        </w:trPr>
        <w:tc>
          <w:tcPr>
            <w:tcW w:w="2248" w:type="dxa"/>
            <w:vAlign w:val="center"/>
          </w:tcPr>
          <w:p w14:paraId="59903B64"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lastRenderedPageBreak/>
              <w:t>Choi &amp; Hong (2021)</w:t>
            </w:r>
          </w:p>
        </w:tc>
        <w:tc>
          <w:tcPr>
            <w:tcW w:w="2251" w:type="dxa"/>
            <w:vAlign w:val="center"/>
          </w:tcPr>
          <w:p w14:paraId="0D43422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MDST-DBSCAN spatiotemporal clustering</w:t>
            </w:r>
          </w:p>
        </w:tc>
        <w:tc>
          <w:tcPr>
            <w:tcW w:w="2269" w:type="dxa"/>
            <w:vAlign w:val="center"/>
          </w:tcPr>
          <w:p w14:paraId="684E597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density-based hotspot detection with noisy spatial data</w:t>
            </w:r>
          </w:p>
        </w:tc>
        <w:tc>
          <w:tcPr>
            <w:tcW w:w="2248" w:type="dxa"/>
            <w:vAlign w:val="center"/>
          </w:tcPr>
          <w:p w14:paraId="20CB0F03"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More advanced than required</w:t>
            </w:r>
          </w:p>
        </w:tc>
      </w:tr>
      <w:tr w:rsidR="00BF3F6C" w14:paraId="7A24A48D" w14:textId="77777777">
        <w:trPr>
          <w:jc w:val="center"/>
        </w:trPr>
        <w:tc>
          <w:tcPr>
            <w:tcW w:w="2248" w:type="dxa"/>
            <w:vAlign w:val="center"/>
          </w:tcPr>
          <w:p w14:paraId="3ED26D0B"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Ejike et al. (2025)</w:t>
            </w:r>
          </w:p>
        </w:tc>
        <w:tc>
          <w:tcPr>
            <w:tcW w:w="2251" w:type="dxa"/>
            <w:vAlign w:val="center"/>
          </w:tcPr>
          <w:p w14:paraId="29AE1D8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Rainfall prediction using ML</w:t>
            </w:r>
          </w:p>
        </w:tc>
        <w:tc>
          <w:tcPr>
            <w:tcW w:w="2269" w:type="dxa"/>
            <w:vAlign w:val="center"/>
          </w:tcPr>
          <w:p w14:paraId="17B0B34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lightweight weather modelling and logistic regression comparison</w:t>
            </w:r>
          </w:p>
        </w:tc>
        <w:tc>
          <w:tcPr>
            <w:tcW w:w="2248" w:type="dxa"/>
            <w:vAlign w:val="center"/>
          </w:tcPr>
          <w:p w14:paraId="70DA1A0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prediction, not pest outcome</w:t>
            </w:r>
          </w:p>
        </w:tc>
      </w:tr>
      <w:tr w:rsidR="00BF3F6C" w14:paraId="0CF311BD" w14:textId="77777777">
        <w:trPr>
          <w:jc w:val="center"/>
        </w:trPr>
        <w:tc>
          <w:tcPr>
            <w:tcW w:w="2248" w:type="dxa"/>
            <w:vAlign w:val="center"/>
          </w:tcPr>
          <w:p w14:paraId="6AC9AFB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Leybourne et al. (2025)</w:t>
            </w:r>
          </w:p>
        </w:tc>
        <w:tc>
          <w:tcPr>
            <w:tcW w:w="2251" w:type="dxa"/>
            <w:vAlign w:val="center"/>
          </w:tcPr>
          <w:p w14:paraId="5667722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AI in pest monitoring schemes</w:t>
            </w:r>
          </w:p>
        </w:tc>
        <w:tc>
          <w:tcPr>
            <w:tcW w:w="2269" w:type="dxa"/>
            <w:vAlign w:val="center"/>
          </w:tcPr>
          <w:p w14:paraId="5993E8B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future AI explanation layer and adoption caution</w:t>
            </w:r>
          </w:p>
        </w:tc>
        <w:tc>
          <w:tcPr>
            <w:tcW w:w="2248" w:type="dxa"/>
            <w:vAlign w:val="center"/>
          </w:tcPr>
          <w:p w14:paraId="1A53691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monitoring focus</w:t>
            </w:r>
          </w:p>
        </w:tc>
      </w:tr>
    </w:tbl>
    <w:p w14:paraId="63FC4198" w14:textId="77777777" w:rsidR="0084730D" w:rsidRPr="00335C63" w:rsidRDefault="0084730D" w:rsidP="000F4170">
      <w:pPr>
        <w:spacing w:line="360" w:lineRule="auto" w:after="120"/>
        <w:jc w:val="both"/>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2.9 Research Gap</w:t>
      </w:r>
    </w:p>
    <w:p w14:paraId="01CC5F42"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windows.</w:t>
      </w:r>
    </w:p>
    <w:p w14:paraId="186F0A6C" w14:textId="77777777" w:rsidR="008D6A1A" w:rsidRPr="00335C63" w:rsidRDefault="008D6A1A" w:rsidP="008D6A1A">
      <w:pPr>
        <w:spacing w:line="360" w:lineRule="auto" w:after="120"/>
        <w:jc w:val="both"/>
        <w:rPr>
          <w:rFonts w:ascii="Times New Roman" w:hAnsi="Times New Roman" w:cs="Times New Roman"/>
          <w:sz w:val="24"/>
          <w:szCs w:val="24"/>
        </w:rPr>
      </w:pPr>
    </w:p>
    <w:p w14:paraId="76EF81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Chapter 3: Methodology</w:t>
      </w:r>
    </w:p>
    <w:p w14:paraId="1C46CCE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 Overall Research and Development Approach</w:t>
      </w:r>
    </w:p>
    <w:p w14:paraId="6330469C"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project will follow an applied data engineering and analytics development methodology. Since CP1 is the planning phase and the final Google Sheet structures may still change, the process begins with data understanding and source profiling before any final warehouse model is fixed. CP2 will then move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E11B6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Phase</w:t>
            </w:r>
          </w:p>
        </w:tc>
        <w:tc>
          <w:tcPr>
            <w:tcW w:w="0" w:type="auto"/>
            <w:shd w:val="clear" w:color="auto" w:fill="E8F1FA"/>
            <w:tcMar>
              <w:top w:w="90" w:type="dxa"/>
              <w:left w:w="90" w:type="dxa"/>
              <w:bottom w:w="90" w:type="dxa"/>
              <w:right w:w="90" w:type="dxa"/>
            </w:tcMar>
            <w:vAlign w:val="center"/>
            <w:shd w:fill="DCEAF7"/>
          </w:tcPr>
          <w:p w14:paraId="189123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Activities</w:t>
            </w:r>
          </w:p>
        </w:tc>
        <w:tc>
          <w:tcPr>
            <w:tcW w:w="0" w:type="auto"/>
            <w:shd w:val="clear" w:color="auto" w:fill="E8F1FA"/>
            <w:tcMar>
              <w:top w:w="90" w:type="dxa"/>
              <w:left w:w="90" w:type="dxa"/>
              <w:bottom w:w="90" w:type="dxa"/>
              <w:right w:w="90" w:type="dxa"/>
            </w:tcMar>
            <w:vAlign w:val="center"/>
            <w:shd w:fill="DCEAF7"/>
          </w:tcPr>
          <w:p w14:paraId="1300826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Run Python ETL, scheduled warehouse jobs, or an orchestration workflow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Build BI dashboards connected to curated analytics marts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Evaluation findings and improvement list</w:t>
            </w:r>
          </w:p>
        </w:tc>
      </w:tr>
    </w:tbl>
    <w:p w14:paraId="7C7BA9E8" w14:textId="77777777" w:rsidR="0084730D" w:rsidRPr="00335C63" w:rsidRDefault="0084730D" w:rsidP="000F4170">
      <w:pPr>
        <w:spacing w:line="360" w:lineRule="auto" w:after="120"/>
        <w:jc w:val="both"/>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3.2 Proposed Technical Architecture</w:t>
      </w:r>
    </w:p>
    <w:p>
      <w:pPr>
        <w:pStyle w:val="Heading3"/>
        <w:spacing w:line="360" w:lineRule="auto" w:after="120" w:before="160"/>
        <w:jc w:val="left"/>
      </w:pPr>
      <w:r>
        <w:rPr>
          <w:rFonts w:ascii="Times New Roman" w:hAnsi="Times New Roman" w:eastAsia="Times New Roman"/>
          <w:b/>
          <w:color w:val="000000"/>
          <w:sz w:val="24"/>
        </w:rPr>
        <w:t>3.2.1 Project Tech Stack Flow</w:t>
      </w:r>
    </w:p>
    <w:p>
      <w:pPr>
        <w:spacing w:line="360" w:lineRule="auto" w:after="120"/>
        <w:jc w:val="both"/>
      </w:pPr>
      <w:r>
        <w:rPr>
          <w:rFonts w:ascii="Times New Roman" w:hAnsi="Times New Roman" w:eastAsia="Times New Roman"/>
          <w:sz w:val="24"/>
        </w:rPr>
        <w:t>The proposed project workflow follows a data engineering and analytics architecture. Raw operational sources will be extracted and validated using Python, stored in a suitable analytics storage layer, transformed into cleaned and dashboard-ready outputs, and visualised through a BI dashboard tool. Possible platforms include Apache Airflow for orchestration, BigQuery for cloud analytics storage, dbt Core for SQL modelling and testing, Docker for local packaging, and Apache Superset for dashboards. These are possible platform choices, not fixed commitments, and will be confirmed in CP2 after testing. The final outputs support treatment difficulty analysis, recurrence monitoring, weather-associated risk review, warranty quality review, and upsell decision support.</w:t>
      </w:r>
    </w:p>
    <w:p>
      <w:pPr>
        <w:spacing w:line="360" w:lineRule="auto" w:after="120"/>
        <w:jc w:val="both"/>
      </w:pPr>
      <w:r>
        <w:rPr>
          <w:rFonts w:ascii="Times New Roman" w:hAnsi="Times New Roman" w:eastAsia="Times New Roman"/>
          <w:sz w:val="24"/>
        </w:rPr>
        <w:drawing>
          <wp:inline xmlns:a="http://schemas.openxmlformats.org/drawingml/2006/main" xmlns:pic="http://schemas.openxmlformats.org/drawingml/2006/picture">
            <wp:extent cx="5760720" cy="7296912"/>
            <wp:docPr id="1" name="Picture 1"/>
            <wp:cNvGraphicFramePr>
              <a:graphicFrameLocks noChangeAspect="1"/>
            </wp:cNvGraphicFramePr>
            <a:graphic>
              <a:graphicData uri="http://schemas.openxmlformats.org/drawingml/2006/picture">
                <pic:pic>
                  <pic:nvPicPr>
                    <pic:cNvPr id="0" name="nomobug_project_tech_stack_flow.png"/>
                    <pic:cNvPicPr/>
                  </pic:nvPicPr>
                  <pic:blipFill>
                    <a:blip r:embed="rId11"/>
                    <a:stretch>
                      <a:fillRect/>
                    </a:stretch>
                  </pic:blipFill>
                  <pic:spPr>
                    <a:xfrm>
                      <a:off x="0" y="0"/>
                      <a:ext cx="5760720" cy="7296912"/>
                    </a:xfrm>
                    <a:prstGeom prst="rect"/>
                  </pic:spPr>
                </pic:pic>
              </a:graphicData>
            </a:graphic>
          </wp:inline>
        </w:drawing>
      </w:r>
    </w:p>
    <w:p>
      <w:pPr>
        <w:spacing w:line="360" w:lineRule="auto" w:after="120"/>
        <w:jc w:val="both"/>
      </w:pPr>
      <w:r>
        <w:rPr>
          <w:rFonts w:ascii="Times New Roman" w:hAnsi="Times New Roman" w:eastAsia="Times New Roman"/>
          <w:i/>
          <w:sz w:val="24"/>
        </w:rPr>
        <w:t>Figure 3.1: Possible platform stack flow for the Nomobug analytics and decision-support dashboard.</w:t>
      </w:r>
    </w:p>
    <w:p w14:paraId="2FB3CB25" w14:textId="77777777" w:rsidR="0084730D"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planned architecture begins with Google Sheets or CSV/Excel as operational data sources, Google Calendar as a scheduling source, Python as the extraction/loading layer, and weather APIs as external enrichment sources. The possible platform stack includes an orchestration layer such as Apache Airflow or a scheduled Python job, an analytics warehouse such as BigQuery or another suitable database, a transformation/testing layer such as dbt Core or SQL scripts, a BI dashboard tool such as Apache Superset, and an optional future local AI explanation layer. Docker may be used where helpful to package local services, but it is not treated as a compulsory project requirement.</w:t>
      </w:r>
    </w:p>
    <w:p w14:paraId="1F8527CE" w14:textId="77777777" w:rsidR="008D6A1A" w:rsidRPr="00335C63" w:rsidRDefault="008D6A1A" w:rsidP="008D6A1A">
      <w:pPr>
        <w:spacing w:line="360" w:lineRule="auto" w:after="120"/>
        <w:jc w:val="both"/>
        <w:rPr>
          <w:rFonts w:ascii="Times New Roman" w:hAnsi="Times New Roman" w:cs="Times New Roman"/>
          <w:sz w:val="24"/>
          <w:szCs w:val="24"/>
        </w:rPr>
      </w:pPr>
    </w:p>
    <w:p w14:paraId="5254C9C0"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workflow is designed as a controlled ELT pipeline. Raw data is first extracted from Google Sheets, CSV/Excel exports, Google Calendar, and weather APIs. Python loaders then write raw source records into a staging area with source metadata. Transformation models or scripts clean and standardise the data into analysis-ready tables, while tests and validation logs record data quality issues. A scheduler or orchestrator may coordinate extraction, loading, transformation, testing, weather enrichment, and refresh-log tasks so that the dashboard can show whether the latest data is fresh and reliable.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shd w:fill="DCEAF7"/>
          </w:tcPr>
          <w:p w14:paraId="19CCA24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Layer</w:t>
            </w:r>
          </w:p>
        </w:tc>
        <w:tc>
          <w:tcPr>
            <w:tcW w:w="1587" w:type="pct"/>
            <w:shd w:val="clear" w:color="auto" w:fill="E8F1FA"/>
            <w:tcMar>
              <w:top w:w="90" w:type="dxa"/>
              <w:left w:w="90" w:type="dxa"/>
              <w:bottom w:w="90" w:type="dxa"/>
              <w:right w:w="90" w:type="dxa"/>
            </w:tcMar>
            <w:vAlign w:val="center"/>
            <w:shd w:fill="DCEAF7"/>
          </w:tcPr>
          <w:p w14:paraId="5A79EA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Technology</w:t>
            </w:r>
          </w:p>
        </w:tc>
        <w:tc>
          <w:tcPr>
            <w:tcW w:w="1729" w:type="pct"/>
            <w:shd w:val="clear" w:color="auto" w:fill="E8F1FA"/>
            <w:tcMar>
              <w:top w:w="90" w:type="dxa"/>
              <w:left w:w="90" w:type="dxa"/>
              <w:bottom w:w="90" w:type="dxa"/>
              <w:right w:w="90" w:type="dxa"/>
            </w:tcMar>
            <w:vAlign w:val="center"/>
            <w:shd w:fill="DCEAF7"/>
          </w:tcPr>
          <w:p w14:paraId="12276FD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pPr>
              <w:spacing w:line="276" w:lineRule="auto" w:after="40"/>
              <w:jc w:val="left"/>
            </w:pPr>
            <w:r>
              <w:rPr>
                <w:rFonts w:ascii="Times New Roman" w:hAnsi="Times New Roman" w:eastAsia="Times New Roman" w:cs="Times New Roman"/>
                <w:sz w:val="20"/>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pPr>
              <w:spacing w:line="276" w:lineRule="auto" w:after="40"/>
              <w:jc w:val="left"/>
            </w:pPr>
            <w:r>
              <w:rPr>
                <w:rFonts w:ascii="Times New Roman" w:hAnsi="Times New Roman" w:eastAsia="Times New Roman"/>
                <w:sz w:val="20"/>
              </w:rPr>
              <w:t>Python, Pandas, warehouse/API client libraries, and scikit-learn where appropriate</w:t>
            </w:r>
          </w:p>
        </w:tc>
        <w:tc>
          <w:tcPr>
            <w:tcW w:w="1729" w:type="pct"/>
            <w:tcMar>
              <w:top w:w="90" w:type="dxa"/>
              <w:left w:w="90" w:type="dxa"/>
              <w:bottom w:w="90" w:type="dxa"/>
              <w:right w:w="90" w:type="dxa"/>
            </w:tcMar>
            <w:vAlign w:val="center"/>
          </w:tcPr>
          <w:p w14:paraId="23D711FE" w14:textId="77777777" w:rsidR="00BB18A2" w:rsidRDefault="00000000">
            <w:pPr>
              <w:spacing w:line="276" w:lineRule="auto" w:after="40"/>
              <w:jc w:val="left"/>
            </w:pPr>
            <w:r>
              <w:rPr>
                <w:rFonts w:ascii="Times New Roman" w:hAnsi="Times New Roman" w:eastAsia="Times New Roman"/>
                <w:sz w:val="20"/>
              </w:rPr>
              <w:t>Extract source data, load raw staging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pPr>
              <w:spacing w:line="276" w:lineRule="auto" w:after="40"/>
              <w:jc w:val="left"/>
            </w:pPr>
            <w:r>
              <w:rPr>
                <w:rFonts w:ascii="Times New Roman" w:hAnsi="Times New Roman" w:eastAsia="Times New Roman" w:cs="Times New Roman"/>
                <w:sz w:val="20"/>
              </w:rPr>
              <w:t>Cloud warehouse</w:t>
            </w:r>
          </w:p>
        </w:tc>
        <w:tc>
          <w:tcPr>
            <w:tcW w:w="1587" w:type="pct"/>
            <w:tcMar>
              <w:top w:w="90" w:type="dxa"/>
              <w:left w:w="90" w:type="dxa"/>
              <w:bottom w:w="90" w:type="dxa"/>
              <w:right w:w="90" w:type="dxa"/>
            </w:tcMar>
            <w:vAlign w:val="center"/>
          </w:tcPr>
          <w:p w14:paraId="79D6AC0F" w14:textId="77777777" w:rsidR="00BB18A2" w:rsidRDefault="00000000">
            <w:pPr>
              <w:spacing w:line="276" w:lineRule="auto" w:after="40"/>
              <w:jc w:val="left"/>
            </w:pPr>
            <w:r>
              <w:rPr>
                <w:rFonts w:ascii="Times New Roman" w:hAnsi="Times New Roman" w:eastAsia="Times New Roman"/>
                <w:sz w:val="20"/>
              </w:rPr>
              <w:t>Possible platform: BigQuery or another analytics warehouse</w:t>
            </w:r>
          </w:p>
        </w:tc>
        <w:tc>
          <w:tcPr>
            <w:tcW w:w="1729" w:type="pct"/>
            <w:tcMar>
              <w:top w:w="90" w:type="dxa"/>
              <w:left w:w="90" w:type="dxa"/>
              <w:bottom w:w="90" w:type="dxa"/>
              <w:right w:w="90" w:type="dxa"/>
            </w:tcMar>
            <w:vAlign w:val="center"/>
          </w:tcPr>
          <w:p w14:paraId="3B93AE8A" w14:textId="77777777" w:rsidR="00BB18A2" w:rsidRDefault="00000000">
            <w:pPr>
              <w:spacing w:line="276" w:lineRule="auto" w:after="40"/>
              <w:jc w:val="left"/>
            </w:pPr>
            <w:r>
              <w:rPr>
                <w:rFonts w:ascii="Times New Roman" w:hAnsi="Times New Roman" w:eastAsia="Times New Roman"/>
                <w:sz w:val="20"/>
              </w:rPr>
              <w:t>Store raw staging, cleaned core, and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platform: Apache Superset or another BI dashboard tool</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pPr>
              <w:spacing w:line="276" w:lineRule="auto" w:after="40"/>
              <w:jc w:val="left"/>
            </w:pPr>
            <w:r>
              <w:rPr>
                <w:rFonts w:ascii="Times New Roman" w:hAnsi="Times New Roman" w:eastAsia="Times New Roman" w:cs="Times New Roman"/>
                <w:sz w:val="20"/>
              </w:rPr>
              <w:t>Orchestration</w:t>
            </w:r>
          </w:p>
        </w:tc>
        <w:tc>
          <w:tcPr>
            <w:tcW w:w="1587" w:type="pct"/>
            <w:tcMar>
              <w:top w:w="90" w:type="dxa"/>
              <w:left w:w="90" w:type="dxa"/>
              <w:bottom w:w="90" w:type="dxa"/>
              <w:right w:w="90" w:type="dxa"/>
            </w:tcMar>
            <w:vAlign w:val="center"/>
          </w:tcPr>
          <w:p w14:paraId="16BFE5B7" w14:textId="77777777" w:rsidR="00BB18A2" w:rsidRDefault="00000000">
            <w:pPr>
              <w:spacing w:line="276" w:lineRule="auto" w:after="40"/>
              <w:jc w:val="left"/>
            </w:pPr>
            <w:r>
              <w:rPr>
                <w:rFonts w:ascii="Times New Roman" w:hAnsi="Times New Roman" w:eastAsia="Times New Roman"/>
                <w:sz w:val="20"/>
              </w:rPr>
              <w:t>Possible platform: Apache Airflow or scheduled Python jobs</w:t>
            </w:r>
          </w:p>
        </w:tc>
        <w:tc>
          <w:tcPr>
            <w:tcW w:w="1729" w:type="pct"/>
            <w:tcMar>
              <w:top w:w="90" w:type="dxa"/>
              <w:left w:w="90" w:type="dxa"/>
              <w:bottom w:w="90" w:type="dxa"/>
              <w:right w:w="90" w:type="dxa"/>
            </w:tcMar>
            <w:vAlign w:val="center"/>
          </w:tcPr>
          <w:p w14:paraId="5ADC59A6" w14:textId="77777777" w:rsidR="00BB18A2" w:rsidRDefault="00000000">
            <w:pPr>
              <w:spacing w:line="276" w:lineRule="auto" w:after="40"/>
              <w:jc w:val="left"/>
            </w:pPr>
            <w:r>
              <w:rPr>
                <w:rFonts w:ascii="Times New Roman" w:hAnsi="Times New Roman" w:eastAsia="Times New Roman"/>
                <w:sz w:val="20"/>
              </w:rPr>
              <w:t>Schedule, monitor, retry, and log ELT pipeline tasks where orchestration is needed</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pPr>
              <w:spacing w:line="276" w:lineRule="auto" w:after="40"/>
              <w:jc w:val="left"/>
            </w:pPr>
            <w:r>
              <w:rPr>
                <w:rFonts w:ascii="Times New Roman" w:hAnsi="Times New Roman" w:eastAsia="Times New Roman" w:cs="Times New Roman"/>
                <w:sz w:val="20"/>
              </w:rPr>
              <w:t>Transformation and testing</w:t>
            </w:r>
          </w:p>
        </w:tc>
        <w:tc>
          <w:tcPr>
            <w:tcW w:w="1587" w:type="pct"/>
            <w:tcMar>
              <w:top w:w="90" w:type="dxa"/>
              <w:left w:w="90" w:type="dxa"/>
              <w:bottom w:w="90" w:type="dxa"/>
              <w:right w:w="90" w:type="dxa"/>
            </w:tcMar>
            <w:vAlign w:val="center"/>
          </w:tcPr>
          <w:p w14:paraId="703D8FE7" w14:textId="77777777" w:rsidR="00BB18A2" w:rsidRDefault="00000000">
            <w:pPr>
              <w:spacing w:line="276" w:lineRule="auto" w:after="40"/>
              <w:jc w:val="left"/>
            </w:pPr>
            <w:r>
              <w:rPr>
                <w:rFonts w:ascii="Times New Roman" w:hAnsi="Times New Roman" w:eastAsia="Times New Roman"/>
                <w:sz w:val="20"/>
              </w:rPr>
              <w:t>Possible platform: dbt Core or SQL/Python transformation scripts</w:t>
            </w:r>
          </w:p>
        </w:tc>
        <w:tc>
          <w:tcPr>
            <w:tcW w:w="1729" w:type="pct"/>
            <w:tcMar>
              <w:top w:w="90" w:type="dxa"/>
              <w:left w:w="90" w:type="dxa"/>
              <w:bottom w:w="90" w:type="dxa"/>
              <w:right w:w="90" w:type="dxa"/>
            </w:tcMar>
            <w:vAlign w:val="center"/>
          </w:tcPr>
          <w:p w14:paraId="04C69086" w14:textId="77777777" w:rsidR="00BB18A2" w:rsidRDefault="00000000">
            <w:pPr>
              <w:spacing w:line="276" w:lineRule="auto" w:after="40"/>
              <w:jc w:val="left"/>
            </w:pPr>
            <w:r>
              <w:rPr>
                <w:rFonts w:ascii="Times New Roman" w:hAnsi="Times New Roman" w:eastAsia="Times New Roman"/>
                <w:sz w:val="20"/>
              </w:rPr>
              <w:t>Build SQL models, data tests, documentation, and lineage for analytics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local AI model such as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Generate plain-language suggestions from analytics outputs without paid external AI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Docker Compose setup for local services; selected warehouse may be cloud-hosted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Reproducible setup for demo and company handover if selected in CP2</w:t>
            </w:r>
          </w:p>
        </w:tc>
      </w:tr>
      <w:tr w:rsidR="00BB18A2" w14:paraId="5E29EE52" w14:textId="77777777">
        <w:trPr>
          <w:jc w:val="center"/>
        </w:trPr>
        <w:tc>
          <w:tcPr>
            <w:tcW w:w="3038" w:type="dxa"/>
            <w:vAlign w:val="center"/>
          </w:tcPr>
          <w:p w14:paraId="0EF0BA47"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Governance and quality</w:t>
            </w:r>
          </w:p>
        </w:tc>
        <w:tc>
          <w:tcPr>
            <w:tcW w:w="2862" w:type="dxa"/>
            <w:vAlign w:val="center"/>
          </w:tcPr>
          <w:p w14:paraId="4426F4BC"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dbt tests, validation logs, anonymised views</w:t>
            </w:r>
          </w:p>
        </w:tc>
        <w:tc>
          <w:tcPr>
            <w:tcW w:w="3116" w:type="dxa"/>
            <w:vAlign w:val="center"/>
          </w:tcPr>
          <w:p w14:paraId="258799F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Protect customer data and show data quality, contract, and refresh status</w:t>
            </w:r>
          </w:p>
        </w:tc>
      </w:tr>
    </w:tbl>
    <w:p w14:paraId="09A8A0FA" w14:textId="77777777" w:rsidR="0084730D" w:rsidRPr="00335C63" w:rsidRDefault="0084730D" w:rsidP="000F4170">
      <w:pPr>
        <w:spacing w:line="360" w:lineRule="auto" w:after="120"/>
        <w:jc w:val="both"/>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3.3 Proposed Analytics Storage and Warehouse Design</w:t>
      </w:r>
    </w:p>
    <w:p w14:paraId="5FB49291"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A cloud analytics warehouse such as BigQuery is one possible platform because the project is analytics-oriented and the company data is connected to the Google ecosystem. However, the storage platform is not finalised in CP1. At this stage, the warehouse design is a logical plan rather than a final physical schema. The exact table names, columns, and joins will be confirmed in CP2 after profiling the actual Google Sheets, CSV exports, Google Calendar fields, and weather data. The planned structure will still follow a layered approach: raw staging preserves source records, cleaned tables standardise usable fields, and dashboard-ready marts support BI visualisation.</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Proposed Layer</w:t>
            </w:r>
          </w:p>
        </w:tc>
        <w:tc>
          <w:tcPr>
            <w:tcW w:w="1486"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Purpose in CP2</w:t>
            </w:r>
          </w:p>
        </w:tc>
        <w:tc>
          <w:tcPr>
            <w:tcW w:w="2549"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Example Output (to be refined after profiling)</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Bronze raw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Preserve source extracts with minimal transformation and loading metadata.</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Raw snapshots from Google Sheets, Calendar, CSV/Excel files, and weather APIs.</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Silver cleaned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Standardise usable fields after data profiling, alias mapping, and validation.</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Cleaned customer/service/payment/warranty/refund/calendar/weather records.</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Gold analytics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Create dashboard-ready views for business questions and Superset charts.</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Area risk, treatment difficulty, recurrence, upsell, data quality, and refresh-status outputs.</w:t>
            </w:r>
          </w:p>
        </w:tc>
      </w:tr>
      <w:tr w:rsidR="00BB18A2" w14:paraId="122A9E8A" w14:textId="77777777">
        <w:trPr>
          <w:jc w:val="center"/>
        </w:trPr>
        <w:tc>
          <w:tcPr>
            <w:tcW w:w="1740" w:type="dxa"/>
            <w:vAlign w:val="center"/>
          </w:tcPr>
          <w:p>
            <w:pPr>
              <w:spacing w:line="276" w:lineRule="auto" w:after="40"/>
              <w:jc w:val="left"/>
            </w:pPr>
            <w:r>
              <w:rPr>
                <w:rFonts w:ascii="Times New Roman" w:hAnsi="Times New Roman" w:eastAsia="Times New Roman"/>
                <w:sz w:val="20"/>
              </w:rPr>
              <w:t>Audit and quality layer</w:t>
            </w:r>
          </w:p>
        </w:tc>
        <w:tc>
          <w:tcPr>
            <w:tcW w:w="2680" w:type="dxa"/>
            <w:vAlign w:val="center"/>
          </w:tcPr>
          <w:p>
            <w:pPr>
              <w:spacing w:line="276" w:lineRule="auto" w:after="40"/>
              <w:jc w:val="left"/>
            </w:pPr>
            <w:r>
              <w:rPr>
                <w:rFonts w:ascii="Times New Roman" w:hAnsi="Times New Roman" w:eastAsia="Times New Roman"/>
                <w:sz w:val="20"/>
              </w:rPr>
              <w:t>Record pipeline runs, validation issues, match confidence, and source freshness.</w:t>
            </w:r>
          </w:p>
        </w:tc>
        <w:tc>
          <w:tcPr>
            <w:tcW w:w="4596" w:type="dxa"/>
            <w:vAlign w:val="center"/>
          </w:tcPr>
          <w:p>
            <w:pPr>
              <w:spacing w:line="276" w:lineRule="auto" w:after="40"/>
              <w:jc w:val="left"/>
            </w:pPr>
            <w:r>
              <w:rPr>
                <w:rFonts w:ascii="Times New Roman" w:hAnsi="Times New Roman" w:eastAsia="Times New Roman"/>
                <w:sz w:val="20"/>
              </w:rPr>
              <w:t>Data quality report, refresh log, matching log, and weather-enrichment coverage.</w:t>
            </w:r>
          </w:p>
        </w:tc>
      </w:tr>
    </w:tbl>
    <w:p w14:paraId="0810C224" w14:textId="77777777" w:rsidR="0084730D" w:rsidRPr="00335C63" w:rsidRDefault="0084730D" w:rsidP="000F4170">
      <w:pPr>
        <w:spacing w:line="360" w:lineRule="auto" w:after="120"/>
        <w:jc w:val="both"/>
        <w:rPr>
          <w:rFonts w:ascii="Times New Roman" w:hAnsi="Times New Roman" w:cs="Times New Roman"/>
          <w:sz w:val="24"/>
          <w:szCs w:val="24"/>
        </w:rPr>
      </w:pPr>
    </w:p>
    <w:p w14:paraId="05F4A6CA"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The planned design will use stable identifiers where available, such as customer ID, service/session reference, normalised phone number, date, area/postcode, pest type, package type, technician, and team. Because the exact source columns may differ across company sheets, CP2 will first create a field-mapping document and data quality report before finalising the warehouse model. Relationships will be managed through SQL joins, data tests, lineage documentation, and validation logs. If BigQuery is used, it will function as an analytics warehouse rather than a transaction-processing database, so the design will rely on tested joins and views rather than transactional foreign-key enforcement.</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Planned Relationship</w:t>
            </w:r>
          </w:p>
        </w:tc>
        <w:tc>
          <w:tcPr>
            <w:tcW w:w="1890"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Likely Matching Rule</w:t>
            </w:r>
          </w:p>
        </w:tc>
        <w:tc>
          <w:tcPr>
            <w:tcW w:w="1163"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Reason for Matching</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to service/session records</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ID where available; otherwise normalised phone number or name/date fallback with confidence flag.</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Connect service activity to customer type, premise type, and repeat behaviour.</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warranty claim</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 ID if available; otherwise customer/date/pest/area window with manual review flag.</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Identify repeat or unresolved cases without assuming every claim has a perfect service link.</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refund</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or service reference plus refund date after service date.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Measure refund impact by area, pest type, package, and review category.</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Calendar event to service/session</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Event title/description, date, team, customer name or phone, with match confidence.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Use scheduling data for capacity and extra/warranty session analysis.</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area/weather</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Standardised area or postcode mapped to centroid coordinate and service date.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Attach weather-associated indicators and area-level context.</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Upsell to payment</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Customer/payment reference and payment date near the offer or package window.</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Estimate upsell window performance when rejected offers are not fully recorded.</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Recommendation to dashboard output</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Related customer/service/area/pest/date where available.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Track suggested action, management response, and later outcome.</w:t>
            </w:r>
          </w:p>
        </w:tc>
      </w:tr>
    </w:tbl>
    <w:p w14:paraId="11382515" w14:textId="77777777" w:rsidR="0084730D" w:rsidRPr="00335C63" w:rsidRDefault="0084730D" w:rsidP="000F4170">
      <w:pPr>
        <w:spacing w:line="360" w:lineRule="auto" w:after="120"/>
        <w:jc w:val="both"/>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3.4 Data Sources and Field Mapping</w:t>
      </w:r>
    </w:p>
    <w:p>
      <w:pPr>
        <w:spacing w:line="360" w:lineRule="auto" w:after="120"/>
        <w:jc w:val="both"/>
      </w:pPr>
      <w:r>
        <w:rPr>
          <w:rFonts w:ascii="Times New Roman" w:hAnsi="Times New Roman" w:eastAsia="Times New Roman"/>
          <w:sz w:val="24"/>
        </w:rPr>
        <w:t>The field mapping in this proposal is therefore indicative. In CP2, the first implementation task will be to profile the real Google Sheets, Calendar exports, and CSV files, then produce a confirmed data dictionary showing which fields are usable, which fields need cleaning, and which fields must be excluded or flagged for low confidence.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shd w:fill="DCEAF7"/>
          </w:tcPr>
          <w:p w14:paraId="5F57697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Source</w:t>
            </w:r>
          </w:p>
        </w:tc>
        <w:tc>
          <w:tcPr>
            <w:tcW w:w="1987" w:type="pct"/>
            <w:shd w:val="clear" w:color="auto" w:fill="E8F1FA"/>
            <w:tcMar>
              <w:top w:w="90" w:type="dxa"/>
              <w:left w:w="90" w:type="dxa"/>
              <w:bottom w:w="90" w:type="dxa"/>
              <w:right w:w="90" w:type="dxa"/>
            </w:tcMar>
            <w:vAlign w:val="center"/>
            <w:shd w:fill="DCEAF7"/>
          </w:tcPr>
          <w:p w14:paraId="3776FC7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Key Fields</w:t>
            </w:r>
          </w:p>
        </w:tc>
        <w:tc>
          <w:tcPr>
            <w:tcW w:w="1532" w:type="pct"/>
            <w:shd w:val="clear" w:color="auto" w:fill="E8F1FA"/>
            <w:tcMar>
              <w:top w:w="90" w:type="dxa"/>
              <w:left w:w="90" w:type="dxa"/>
              <w:bottom w:w="90" w:type="dxa"/>
              <w:right w:w="90" w:type="dxa"/>
            </w:tcMar>
            <w:vAlign w:val="center"/>
            <w:shd w:fill="DCEAF7"/>
          </w:tcPr>
          <w:p w14:paraId="6AC108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risk, service-date enrichment</w:t>
            </w:r>
          </w:p>
        </w:tc>
      </w:tr>
    </w:tbl>
    <w:p w14:paraId="55014217" w14:textId="77777777" w:rsidR="0084730D" w:rsidRPr="00335C63" w:rsidRDefault="0084730D" w:rsidP="000F4170">
      <w:pPr>
        <w:spacing w:line="360" w:lineRule="auto" w:after="120"/>
        <w:jc w:val="both"/>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3.5 Data Cleaning, Inclusion, and Exclusion Rules</w:t>
      </w:r>
    </w:p>
    <w:p w14:paraId="4629B063"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shd w:fill="DCEAF7"/>
          </w:tcPr>
          <w:p w14:paraId="486098C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Element</w:t>
            </w:r>
          </w:p>
        </w:tc>
        <w:tc>
          <w:tcPr>
            <w:tcW w:w="1511" w:type="pct"/>
            <w:shd w:val="clear" w:color="auto" w:fill="E8F1FA"/>
            <w:tcMar>
              <w:top w:w="90" w:type="dxa"/>
              <w:left w:w="90" w:type="dxa"/>
              <w:bottom w:w="90" w:type="dxa"/>
              <w:right w:w="90" w:type="dxa"/>
            </w:tcMar>
            <w:vAlign w:val="center"/>
            <w:shd w:fill="DCEAF7"/>
          </w:tcPr>
          <w:p w14:paraId="3CD13FA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Cleaning / Standardisation Rule</w:t>
            </w:r>
          </w:p>
        </w:tc>
        <w:tc>
          <w:tcPr>
            <w:tcW w:w="1926" w:type="pct"/>
            <w:shd w:val="clear" w:color="auto" w:fill="E8F1FA"/>
            <w:tcMar>
              <w:top w:w="90" w:type="dxa"/>
              <w:left w:w="90" w:type="dxa"/>
              <w:bottom w:w="90" w:type="dxa"/>
              <w:right w:w="90" w:type="dxa"/>
            </w:tcMar>
            <w:vAlign w:val="center"/>
            <w:shd w:fill="DCEAF7"/>
          </w:tcPr>
          <w:p w14:paraId="428439E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Map variants such as lipas, </w:t>
            </w:r>
            <w:proofErr w:type="gramStart"/>
            <w:r w:rsidRPr="00335C63">
              <w:rPr>
                <w:rFonts w:ascii="Times New Roman" w:hAnsi="Times New Roman" w:cs="Times New Roman" w:eastAsia="Times New Roman"/>
                <w:sz w:val="20"/>
                <w:szCs w:val="24"/>
              </w:rPr>
              <w:t>cockroach</w:t>
            </w:r>
            <w:proofErr w:type="gramEnd"/>
            <w:r w:rsidRPr="00335C63">
              <w:rPr>
                <w:rFonts w:ascii="Times New Roman" w:hAnsi="Times New Roman" w:cs="Times New Roman" w:eastAsia="Times New Roman"/>
                <w:sz w:val="20"/>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Group free-text reasons into categories such as Cannot eradicate, </w:t>
            </w:r>
            <w:proofErr w:type="gramStart"/>
            <w:r w:rsidRPr="00335C63">
              <w:rPr>
                <w:rFonts w:ascii="Times New Roman" w:hAnsi="Times New Roman" w:cs="Times New Roman" w:eastAsia="Times New Roman"/>
                <w:sz w:val="20"/>
                <w:szCs w:val="24"/>
              </w:rPr>
              <w:t>Not</w:t>
            </w:r>
            <w:proofErr w:type="gramEnd"/>
            <w:r w:rsidRPr="00335C63">
              <w:rPr>
                <w:rFonts w:ascii="Times New Roman" w:hAnsi="Times New Roman" w:cs="Times New Roman" w:eastAsia="Times New Roman"/>
                <w:sz w:val="20"/>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4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0"/>
                <w:szCs w:val="24"/>
              </w:rPr>
              <w:t>Parse</w:t>
            </w:r>
            <w:proofErr w:type="gramEnd"/>
            <w:r w:rsidRPr="00335C63">
              <w:rPr>
                <w:rFonts w:ascii="Times New Roman" w:hAnsi="Times New Roman" w:cs="Times New Roman" w:eastAsia="Times New Roman"/>
                <w:sz w:val="20"/>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Rows without weather match are kept with weather_data_status = Missing and excluded from weather-specific charts</w:t>
            </w:r>
          </w:p>
        </w:tc>
      </w:tr>
      <w:tr w:rsidR="00BB18A2" w14:paraId="7D26AE05" w14:textId="77777777">
        <w:trPr>
          <w:jc w:val="center"/>
        </w:trPr>
        <w:tc>
          <w:tcPr>
            <w:tcW w:w="2820" w:type="dxa"/>
            <w:vAlign w:val="center"/>
          </w:tcPr>
          <w:p w14:paraId="575279A2" w14:textId="77777777" w:rsidR="00BB18A2" w:rsidRDefault="00000000">
            <w:pPr>
              <w:spacing w:line="276" w:lineRule="auto" w:after="40"/>
              <w:jc w:val="left"/>
            </w:pPr>
            <w:r>
              <w:rPr>
                <w:rFonts w:ascii="Times New Roman" w:hAnsi="Times New Roman" w:eastAsia="Times New Roman" w:cs="Times New Roman"/>
                <w:sz w:val="20"/>
              </w:rPr>
              <w:t>Source columns</w:t>
            </w:r>
          </w:p>
        </w:tc>
        <w:tc>
          <w:tcPr>
            <w:tcW w:w="2725" w:type="dxa"/>
            <w:vAlign w:val="center"/>
          </w:tcPr>
          <w:p w14:paraId="121121E8" w14:textId="77777777" w:rsidR="00BB18A2" w:rsidRDefault="00000000">
            <w:pPr>
              <w:spacing w:line="276" w:lineRule="auto" w:after="40"/>
              <w:jc w:val="left"/>
            </w:pPr>
            <w:r>
              <w:rPr>
                <w:rFonts w:ascii="Times New Roman" w:hAnsi="Times New Roman" w:eastAsia="Times New Roman" w:cs="Times New Roman"/>
                <w:sz w:val="20"/>
              </w:rPr>
              <w:t>Map messy source column names to standard fields using flexible data contracts and alias dictionaries</w:t>
            </w:r>
          </w:p>
        </w:tc>
        <w:tc>
          <w:tcPr>
            <w:tcW w:w="3471" w:type="dxa"/>
            <w:vAlign w:val="center"/>
          </w:tcPr>
          <w:p w14:paraId="364E83E5" w14:textId="77777777" w:rsidR="00BB18A2" w:rsidRDefault="00000000">
            <w:pPr>
              <w:spacing w:line="276" w:lineRule="auto" w:after="40"/>
              <w:jc w:val="left"/>
            </w:pPr>
            <w:r>
              <w:rPr>
                <w:rFonts w:ascii="Times New Roman" w:hAnsi="Times New Roman" w:eastAsia="Times New Roman" w:cs="Times New Roman"/>
                <w:sz w:val="20"/>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after="120"/>
        <w:jc w:val="both"/>
        <w:rPr>
          <w:rFonts w:ascii="Times New Roman" w:hAnsi="Times New Roman" w:cs="Times New Roman"/>
          <w:sz w:val="24"/>
          <w:szCs w:val="24"/>
        </w:rPr>
      </w:pPr>
    </w:p>
    <w:p w14:paraId="1F0A5C6D"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shd w:fill="DCEAF7"/>
          </w:tcPr>
          <w:p w14:paraId="6B887F7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Quality Metric</w:t>
            </w:r>
          </w:p>
        </w:tc>
        <w:tc>
          <w:tcPr>
            <w:tcW w:w="3351" w:type="pct"/>
            <w:shd w:val="clear" w:color="auto" w:fill="E8F1FA"/>
            <w:tcMar>
              <w:top w:w="90" w:type="dxa"/>
              <w:left w:w="90" w:type="dxa"/>
              <w:bottom w:w="90" w:type="dxa"/>
              <w:right w:w="90" w:type="dxa"/>
            </w:tcMar>
            <w:vAlign w:val="center"/>
            <w:shd w:fill="DCEAF7"/>
          </w:tcPr>
          <w:p w14:paraId="6E8FB9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4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0"/>
                <w:szCs w:val="24"/>
              </w:rPr>
              <w:t>Identifies</w:t>
            </w:r>
            <w:proofErr w:type="gramEnd"/>
            <w:r w:rsidRPr="00335C63">
              <w:rPr>
                <w:rFonts w:ascii="Times New Roman" w:hAnsi="Times New Roman" w:cs="Times New Roman" w:eastAsia="Times New Roman"/>
                <w:sz w:val="20"/>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how reliable the service-to-calendar linkage is</w:t>
            </w:r>
          </w:p>
        </w:tc>
      </w:tr>
      <w:tr w:rsidR="00BB18A2" w14:paraId="3A6B4AD0" w14:textId="77777777">
        <w:trPr>
          <w:jc w:val="center"/>
        </w:trPr>
        <w:tc>
          <w:tcPr>
            <w:tcW w:w="2973" w:type="dxa"/>
            <w:vAlign w:val="center"/>
          </w:tcPr>
          <w:p w14:paraId="6AA822FB" w14:textId="77777777" w:rsidR="00BB18A2" w:rsidRDefault="00000000">
            <w:pPr>
              <w:spacing w:line="276" w:lineRule="auto" w:after="40"/>
              <w:jc w:val="left"/>
            </w:pPr>
            <w:r>
              <w:rPr>
                <w:rFonts w:ascii="Times New Roman" w:hAnsi="Times New Roman" w:eastAsia="Times New Roman" w:cs="Times New Roman"/>
                <w:sz w:val="20"/>
              </w:rPr>
              <w:t>Flexible data contract status</w:t>
            </w:r>
          </w:p>
        </w:tc>
        <w:tc>
          <w:tcPr>
            <w:tcW w:w="6043" w:type="dxa"/>
            <w:vAlign w:val="center"/>
          </w:tcPr>
          <w:p w14:paraId="4F52E6C1" w14:textId="77777777" w:rsidR="00BB18A2" w:rsidRDefault="00000000">
            <w:pPr>
              <w:spacing w:line="276" w:lineRule="auto" w:after="40"/>
              <w:jc w:val="left"/>
            </w:pPr>
            <w:r>
              <w:rPr>
                <w:rFonts w:ascii="Times New Roman" w:hAnsi="Times New Roman" w:eastAsia="Times New Roman" w:cs="Times New Roman"/>
                <w:sz w:val="20"/>
              </w:rPr>
              <w:t>Shows whether required business fields were mapped successfully for each source</w:t>
            </w:r>
          </w:p>
        </w:tc>
      </w:tr>
      <w:tr w:rsidR="00BB18A2" w14:paraId="639A46A0" w14:textId="77777777">
        <w:trPr>
          <w:jc w:val="center"/>
        </w:trPr>
        <w:tc>
          <w:tcPr>
            <w:tcW w:w="2973" w:type="dxa"/>
            <w:vAlign w:val="center"/>
          </w:tcPr>
          <w:p w14:paraId="4121D917" w14:textId="77777777" w:rsidR="00BB18A2" w:rsidRDefault="00000000">
            <w:pPr>
              <w:spacing w:line="276" w:lineRule="auto" w:after="40"/>
              <w:jc w:val="left"/>
            </w:pPr>
            <w:r>
              <w:rPr>
                <w:rFonts w:ascii="Times New Roman" w:hAnsi="Times New Roman" w:eastAsia="Times New Roman" w:cs="Times New Roman"/>
                <w:sz w:val="20"/>
              </w:rPr>
              <w:t>dbt test result summary</w:t>
            </w:r>
          </w:p>
        </w:tc>
        <w:tc>
          <w:tcPr>
            <w:tcW w:w="6043" w:type="dxa"/>
            <w:vAlign w:val="center"/>
          </w:tcPr>
          <w:p w14:paraId="4A9224CA" w14:textId="77777777" w:rsidR="00BB18A2" w:rsidRDefault="00000000">
            <w:pPr>
              <w:spacing w:line="276" w:lineRule="auto" w:after="40"/>
              <w:jc w:val="left"/>
            </w:pPr>
            <w:r>
              <w:rPr>
                <w:rFonts w:ascii="Times New Roman" w:hAnsi="Times New Roman" w:eastAsia="Times New Roman" w:cs="Times New Roman"/>
                <w:sz w:val="20"/>
              </w:rPr>
              <w:t>Shows failed not-null, unique, accepted-value, or relationship tests</w:t>
            </w:r>
          </w:p>
        </w:tc>
      </w:tr>
      <w:tr w:rsidR="00BB18A2" w14:paraId="7A64E83A" w14:textId="77777777">
        <w:trPr>
          <w:jc w:val="center"/>
        </w:trPr>
        <w:tc>
          <w:tcPr>
            <w:tcW w:w="2973" w:type="dxa"/>
            <w:vAlign w:val="center"/>
          </w:tcPr>
          <w:p w14:paraId="309461E2" w14:textId="77777777" w:rsidR="00BB18A2" w:rsidRDefault="00000000">
            <w:pPr>
              <w:spacing w:line="276" w:lineRule="auto" w:after="40"/>
              <w:jc w:val="left"/>
            </w:pPr>
            <w:r>
              <w:rPr>
                <w:rFonts w:ascii="Times New Roman" w:hAnsi="Times New Roman" w:eastAsia="Times New Roman" w:cs="Times New Roman"/>
                <w:sz w:val="20"/>
              </w:rPr>
              <w:t>Pipeline run status</w:t>
            </w:r>
          </w:p>
        </w:tc>
        <w:tc>
          <w:tcPr>
            <w:tcW w:w="6043" w:type="dxa"/>
            <w:vAlign w:val="center"/>
          </w:tcPr>
          <w:p w14:paraId="477BFB4F" w14:textId="77777777" w:rsidR="00BB18A2" w:rsidRDefault="00000000">
            <w:pPr>
              <w:spacing w:line="276" w:lineRule="auto" w:after="40"/>
              <w:jc w:val="left"/>
            </w:pPr>
            <w:r>
              <w:rPr>
                <w:rFonts w:ascii="Times New Roman" w:hAnsi="Times New Roman" w:eastAsia="Times New Roman" w:cs="Times New Roman"/>
                <w:sz w:val="20"/>
              </w:rPr>
              <w:t>Shows Airflow run time, success/failure state, rows loaded, rows failed, and latest refresh time</w:t>
            </w:r>
          </w:p>
        </w:tc>
      </w:tr>
      <w:tr w:rsidR="00BB18A2" w14:paraId="3E21808F" w14:textId="77777777">
        <w:trPr>
          <w:jc w:val="center"/>
        </w:trPr>
        <w:tc>
          <w:tcPr>
            <w:tcW w:w="2973" w:type="dxa"/>
            <w:vAlign w:val="center"/>
          </w:tcPr>
          <w:p w14:paraId="0C2DF3CE" w14:textId="77777777" w:rsidR="00BB18A2" w:rsidRDefault="00000000">
            <w:pPr>
              <w:spacing w:line="276" w:lineRule="auto" w:after="40"/>
              <w:jc w:val="left"/>
            </w:pPr>
            <w:r>
              <w:rPr>
                <w:rFonts w:ascii="Times New Roman" w:hAnsi="Times New Roman" w:eastAsia="Times New Roman" w:cs="Times New Roman"/>
                <w:sz w:val="20"/>
              </w:rPr>
              <w:t>Lineage coverage</w:t>
            </w:r>
          </w:p>
        </w:tc>
        <w:tc>
          <w:tcPr>
            <w:tcW w:w="6043" w:type="dxa"/>
            <w:vAlign w:val="center"/>
          </w:tcPr>
          <w:p w14:paraId="59EEEDB1" w14:textId="77777777" w:rsidR="00BB18A2" w:rsidRDefault="00000000">
            <w:pPr>
              <w:spacing w:line="276" w:lineRule="auto" w:after="40"/>
              <w:jc w:val="left"/>
            </w:pPr>
            <w:r>
              <w:rPr>
                <w:rFonts w:ascii="Times New Roman" w:hAnsi="Times New Roman" w:eastAsia="Times New Roman" w:cs="Times New Roman"/>
                <w:sz w:val="20"/>
              </w:rPr>
              <w:t>Shows whether dashboard marts can be traced back to source and transformation models</w:t>
            </w:r>
          </w:p>
        </w:tc>
      </w:tr>
    </w:tbl>
    <w:p w14:paraId="264DBEF3" w14:textId="77777777" w:rsidR="0084730D" w:rsidRPr="00335C63" w:rsidRDefault="0084730D" w:rsidP="000F4170">
      <w:pPr>
        <w:spacing w:line="360" w:lineRule="auto" w:after="120"/>
        <w:jc w:val="both"/>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3.6 Analytics Methods</w:t>
      </w:r>
    </w:p>
    <w:p w14:paraId="02A7BD62" w14:textId="77777777" w:rsidR="00984EB3" w:rsidRPr="008D6A1A" w:rsidRDefault="003C0C08"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Times New Roman" w:hAnsi="Times New Roman"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shd w:fill="DCEAF7"/>
          </w:tcPr>
          <w:p w14:paraId="7818FA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Question</w:t>
            </w:r>
          </w:p>
        </w:tc>
        <w:tc>
          <w:tcPr>
            <w:tcW w:w="1620" w:type="pct"/>
            <w:shd w:val="clear" w:color="auto" w:fill="E8F1FA"/>
            <w:tcMar>
              <w:top w:w="90" w:type="dxa"/>
              <w:left w:w="90" w:type="dxa"/>
              <w:bottom w:w="90" w:type="dxa"/>
              <w:right w:w="90" w:type="dxa"/>
            </w:tcMar>
            <w:vAlign w:val="center"/>
            <w:shd w:fill="DCEAF7"/>
          </w:tcPr>
          <w:p w14:paraId="71536B1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Method</w:t>
            </w:r>
          </w:p>
        </w:tc>
        <w:tc>
          <w:tcPr>
            <w:tcW w:w="1831" w:type="pct"/>
            <w:shd w:val="clear" w:color="auto" w:fill="E8F1FA"/>
            <w:tcMar>
              <w:top w:w="90" w:type="dxa"/>
              <w:left w:w="90" w:type="dxa"/>
              <w:bottom w:w="90" w:type="dxa"/>
              <w:right w:w="90" w:type="dxa"/>
            </w:tcMar>
            <w:vAlign w:val="center"/>
            <w:shd w:fill="DCEAF7"/>
          </w:tcPr>
          <w:p w14:paraId="283F83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When do </w:t>
            </w:r>
            <w:proofErr w:type="gramStart"/>
            <w:r w:rsidRPr="00335C63">
              <w:rPr>
                <w:rFonts w:ascii="Times New Roman" w:hAnsi="Times New Roman" w:cs="Times New Roman" w:eastAsia="Times New Roman"/>
                <w:sz w:val="20"/>
                <w:szCs w:val="24"/>
              </w:rPr>
              <w:t>pest</w:t>
            </w:r>
            <w:proofErr w:type="gramEnd"/>
            <w:r w:rsidRPr="00335C63">
              <w:rPr>
                <w:rFonts w:ascii="Times New Roman" w:hAnsi="Times New Roman" w:cs="Times New Roman" w:eastAsia="Times New Roman"/>
                <w:sz w:val="20"/>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Recommended </w:t>
            </w:r>
            <w:proofErr w:type="gramStart"/>
            <w:r w:rsidRPr="00335C63">
              <w:rPr>
                <w:rFonts w:ascii="Times New Roman" w:hAnsi="Times New Roman" w:cs="Times New Roman" w:eastAsia="Times New Roman"/>
                <w:sz w:val="20"/>
                <w:szCs w:val="24"/>
              </w:rPr>
              <w:t>upsell</w:t>
            </w:r>
            <w:proofErr w:type="gramEnd"/>
            <w:r w:rsidRPr="00335C63">
              <w:rPr>
                <w:rFonts w:ascii="Times New Roman" w:hAnsi="Times New Roman" w:cs="Times New Roman" w:eastAsia="Times New Roman"/>
                <w:sz w:val="20"/>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Recommended follow-up, assignment, review, or upsell action</w:t>
            </w:r>
          </w:p>
        </w:tc>
      </w:tr>
    </w:tbl>
    <w:p w14:paraId="04BA87FE" w14:textId="77777777" w:rsidR="0084730D" w:rsidRPr="00335C63" w:rsidRDefault="0084730D" w:rsidP="000F4170">
      <w:pPr>
        <w:spacing w:line="360" w:lineRule="auto" w:after="120"/>
        <w:jc w:val="both"/>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3.7 Key Analytics Logic</w:t>
      </w:r>
    </w:p>
    <w:p w14:paraId="2B328758"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Treatment Difficulty Index:</w:t>
      </w:r>
    </w:p>
    <w:p w14:paraId="4C7F12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Times New Roman" w:hAnsi="Times New Roman"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Weather windows:</w:t>
      </w:r>
    </w:p>
    <w:p w14:paraId="72555C16"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For each service record with a usable service date and area/postcode coordinate, the ETL process is expected to calculate weather-window features such as same-day rainfall, previous-day rainfall, rainfall over the previous 3 and 7 days, average temperature, average humidity, and a heavy-rain indicator. The exact field names will be finalised in CP2 after testing the weather API output and matching coverage. Warranty and repeat-problem analysis will use service-date weather windows, while area risk dashboards may also show recent or current weather indicators.</w:t>
      </w:r>
    </w:p>
    <w:p w14:paraId="4FBAA1C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Warranty factor categories:</w:t>
      </w:r>
    </w:p>
    <w:p w14:paraId="45DDAE8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Warranty claims will be grouped into review categories: Weather-associated, Technician or </w:t>
      </w:r>
      <w:proofErr w:type="gramStart"/>
      <w:r w:rsidRPr="00335C63">
        <w:rPr>
          <w:rFonts w:ascii="Times New Roman" w:hAnsi="Times New Roman" w:cs="Times New Roman" w:eastAsia="Times New Roman"/>
          <w:sz w:val="24"/>
          <w:szCs w:val="24"/>
        </w:rPr>
        <w:t>service</w:t>
      </w:r>
      <w:proofErr w:type="gramEnd"/>
      <w:r w:rsidRPr="00335C63">
        <w:rPr>
          <w:rFonts w:ascii="Times New Roman" w:hAnsi="Times New Roman" w:cs="Times New Roman" w:eastAsia="Times New Roman"/>
          <w:sz w:val="24"/>
          <w:szCs w:val="24"/>
        </w:rPr>
        <w:t xml:space="preserve"> quality review, Area/premise condition, Customer expectation, and </w:t>
      </w:r>
      <w:proofErr w:type="gramStart"/>
      <w:r w:rsidRPr="00335C63">
        <w:rPr>
          <w:rFonts w:ascii="Times New Roman" w:hAnsi="Times New Roman" w:cs="Times New Roman" w:eastAsia="Times New Roman"/>
          <w:sz w:val="24"/>
          <w:szCs w:val="24"/>
        </w:rPr>
        <w:t>Needs</w:t>
      </w:r>
      <w:proofErr w:type="gramEnd"/>
      <w:r w:rsidRPr="00335C63">
        <w:rPr>
          <w:rFonts w:ascii="Times New Roman" w:hAnsi="Times New Roman"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Recurrence buckets:</w:t>
      </w:r>
    </w:p>
    <w:p w14:paraId="13CE37F4"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Scheduled refresh:</w:t>
      </w:r>
    </w:p>
    <w:p w14:paraId="21090E4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system will use a scheduled refresh design rather than streaming real-time processing. A scheduled Python ETL job, warehouse scheduled query, or orchestration tool may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Recommendation log:</w:t>
      </w:r>
    </w:p>
    <w:p w14:paraId="72C9BF7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local AI explanation layer.</w:t>
      </w:r>
    </w:p>
    <w:p w14:paraId="40C46665" w14:textId="77777777" w:rsidR="00BB18A2" w:rsidRDefault="00000000">
      <w:pPr>
        <w:spacing w:line="360" w:lineRule="auto" w:after="120"/>
        <w:jc w:val="both"/>
      </w:pPr>
      <w:r>
        <w:rPr>
          <w:rFonts w:ascii="Times New Roman" w:hAnsi="Times New Roman" w:eastAsia="Times New Roman" w:cs="Times New Roman"/>
          <w:sz w:val="24"/>
        </w:rPr>
        <w:t>Pipeline orchestration:</w:t>
      </w:r>
    </w:p>
    <w:p w14:paraId="499902E3" w14:textId="77777777" w:rsidR="00BB18A2" w:rsidRDefault="00000000">
      <w:pPr>
        <w:spacing w:line="360" w:lineRule="auto" w:after="120"/>
        <w:jc w:val="both"/>
      </w:pPr>
      <w:r>
        <w:rPr>
          <w:rFonts w:ascii="Times New Roman" w:hAnsi="Times New Roman" w:eastAsia="Times New Roman" w:cs="Times New Roman"/>
          <w:sz w:val="24"/>
        </w:rPr>
        <w:t>A workflow scheduler may be used in CP2 to coordinate the pipeline as a directed workflow. Apache Airflow is a possible platform because it can show task dependencies, retries, logs, and refresh monitoring clearly. A planned workflow may include tasks such as extract_google_sheets, extract_google_calendar, extract_weather_data, load_raw_tables, run_transformations, run_data_tests, update_data_quality_log, and update_refresh_status. If Airflow becomes too heavy for the project scope, the same logic can be implemented using scheduled Python scripts.</w:t>
      </w:r>
    </w:p>
    <w:p w14:paraId="0E10A246" w14:textId="77777777" w:rsidR="00BB18A2" w:rsidRDefault="00000000">
      <w:pPr>
        <w:spacing w:line="360" w:lineRule="auto" w:after="120"/>
        <w:jc w:val="both"/>
      </w:pPr>
      <w:r>
        <w:rPr>
          <w:rFonts w:ascii="Times New Roman" w:hAnsi="Times New Roman" w:eastAsia="Times New Roman" w:cs="Times New Roman"/>
          <w:sz w:val="24"/>
        </w:rPr>
        <w:t>dbt transformations and lineage:</w:t>
      </w:r>
    </w:p>
    <w:p w14:paraId="2F2E08CF" w14:textId="77777777" w:rsidR="00BB18A2" w:rsidRDefault="00000000">
      <w:pPr>
        <w:spacing w:line="360" w:lineRule="auto" w:after="120"/>
        <w:jc w:val="both"/>
      </w:pPr>
      <w:r>
        <w:rPr>
          <w:rFonts w:ascii="Times New Roman" w:hAnsi="Times New Roman" w:eastAsia="Times New Roman" w:cs="Times New Roman"/>
          <w:sz w:val="24"/>
        </w:rPr>
        <w:t>The transformation layer may use dbt Core or SQL/Python scripts to convert raw source tables into cleaned tables and dashboard marts. If dbt Core is selected in CP2, it will support modular SQL models, data tests, documentation, and lineage. The same modelling principles will still apply even if a simpler transformation method is chosen.</w:t>
      </w:r>
    </w:p>
    <w:p w14:paraId="1414BB94" w14:textId="77777777" w:rsidR="00BB18A2" w:rsidRDefault="00000000">
      <w:pPr>
        <w:spacing w:line="360" w:lineRule="auto" w:after="120"/>
        <w:jc w:val="both"/>
      </w:pPr>
      <w:r>
        <w:rPr>
          <w:rFonts w:ascii="Times New Roman" w:hAnsi="Times New Roman" w:eastAsia="Times New Roman" w:cs="Times New Roman"/>
          <w:sz w:val="24"/>
        </w:rPr>
        <w:t>Flexible data contracts:</w:t>
      </w:r>
    </w:p>
    <w:p w14:paraId="7A6CD017" w14:textId="77777777" w:rsidR="00BB18A2" w:rsidRDefault="00000000">
      <w:pPr>
        <w:spacing w:line="360" w:lineRule="auto" w:after="120"/>
        <w:jc w:val="both"/>
      </w:pPr>
      <w:r>
        <w:rPr>
          <w:rFonts w:ascii="Times New Roman" w:hAnsi="Times New Roman"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pPr>
        <w:spacing w:line="360" w:lineRule="auto" w:after="120"/>
        <w:jc w:val="both"/>
      </w:pPr>
      <w:r>
        <w:rPr>
          <w:rFonts w:ascii="Times New Roman" w:hAnsi="Times New Roman" w:eastAsia="Times New Roman" w:cs="Times New Roman"/>
          <w:sz w:val="24"/>
        </w:rPr>
        <w:t>Incremental loading:</w:t>
      </w:r>
    </w:p>
    <w:p w14:paraId="02B6FFC7" w14:textId="77777777" w:rsidR="00BB18A2" w:rsidRDefault="00000000">
      <w:pPr>
        <w:spacing w:line="360" w:lineRule="auto" w:after="120"/>
        <w:jc w:val="both"/>
      </w:pPr>
      <w:r>
        <w:rPr>
          <w:rFonts w:ascii="Times New Roman" w:hAnsi="Times New Roman"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3.8 Dashboard Design</w:t>
      </w:r>
    </w:p>
    <w:p w14:paraId="44719494"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visualization layer will use a BI dashboard platform to reduce custom frontend development and align the project with a data analytics capstone. Apache Superset is a possible platform because it is open source, supports SQL-based datasets, filters, charts, and dashboards, and can connect to warehouse tables. The dashboard should connect only to curated marts and anonymised reporting views rather than raw source tables. This ensures the dashboards are based on tested, documented, and refresh-controlled data outputs.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shd w:fill="DCEAF7"/>
          </w:tcPr>
          <w:p w14:paraId="545DD7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Dashboard Area</w:t>
            </w:r>
          </w:p>
        </w:tc>
        <w:tc>
          <w:tcPr>
            <w:tcW w:w="3154" w:type="pct"/>
            <w:shd w:val="clear" w:color="auto" w:fill="E8F1FA"/>
            <w:tcMar>
              <w:top w:w="90" w:type="dxa"/>
              <w:left w:w="90" w:type="dxa"/>
              <w:bottom w:w="90" w:type="dxa"/>
              <w:right w:w="90" w:type="dxa"/>
            </w:tcMar>
            <w:vAlign w:val="center"/>
            <w:shd w:fill="DCEAF7"/>
          </w:tcPr>
          <w:p w14:paraId="2F24B64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Suggested action, reason, review label, management response, and outcome tracking</w:t>
            </w:r>
          </w:p>
        </w:tc>
      </w:tr>
    </w:tbl>
    <w:p w14:paraId="55679DE9" w14:textId="77777777" w:rsidR="0084730D" w:rsidRPr="00335C63" w:rsidRDefault="0084730D" w:rsidP="000F4170">
      <w:pPr>
        <w:spacing w:line="360" w:lineRule="auto" w:after="120"/>
        <w:jc w:val="both"/>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3.9 Data Governance and Privacy</w:t>
      </w:r>
    </w:p>
    <w:p w14:paraId="42FFFDC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after="120"/>
        <w:jc w:val="both"/>
        <w:rPr>
          <w:rFonts w:ascii="Times New Roman" w:hAnsi="Times New Roman" w:cs="Times New Roman"/>
          <w:sz w:val="24"/>
          <w:szCs w:val="24"/>
        </w:rPr>
      </w:pPr>
    </w:p>
    <w:p w14:paraId="2D0BE91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analytics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3.10 AI Recommendation Extension</w:t>
      </w:r>
    </w:p>
    <w:p w14:paraId="394AE89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 future enhancement may connect a local AI model to the analytics system. One possible option is Ollama because it can run locally and avoid external AI API cost. The recommended design is to keep AI outside the warehouse and dashboard as an explanation layer only. A Python backend or worker can retrieve relevant scores, pass structured context to the local model, and store generated recommendation text back into the recommendation log for dashboard display.</w:t>
      </w:r>
    </w:p>
    <w:p w14:paraId="09C91DB5" w14:textId="77777777" w:rsidR="008D6A1A" w:rsidRPr="00335C63" w:rsidRDefault="008D6A1A" w:rsidP="008D6A1A">
      <w:pPr>
        <w:spacing w:line="360" w:lineRule="auto" w:after="120"/>
        <w:jc w:val="both"/>
        <w:rPr>
          <w:rFonts w:ascii="Times New Roman" w:hAnsi="Times New Roman" w:cs="Times New Roman"/>
          <w:sz w:val="24"/>
          <w:szCs w:val="24"/>
        </w:rPr>
      </w:pPr>
    </w:p>
    <w:p w14:paraId="0385551E"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3.11 Computing Factors and Constraints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shd w:fill="DCEAF7"/>
          </w:tcPr>
          <w:p w14:paraId="19853A9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Factor</w:t>
            </w:r>
          </w:p>
        </w:tc>
        <w:tc>
          <w:tcPr>
            <w:tcW w:w="1617" w:type="pct"/>
            <w:shd w:val="clear" w:color="auto" w:fill="E8F1FA"/>
            <w:tcMar>
              <w:top w:w="90" w:type="dxa"/>
              <w:left w:w="90" w:type="dxa"/>
              <w:bottom w:w="90" w:type="dxa"/>
              <w:right w:w="90" w:type="dxa"/>
            </w:tcMar>
            <w:vAlign w:val="center"/>
            <w:shd w:fill="DCEAF7"/>
          </w:tcPr>
          <w:p w14:paraId="27255D7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Consideration</w:t>
            </w:r>
          </w:p>
        </w:tc>
        <w:tc>
          <w:tcPr>
            <w:tcW w:w="2054" w:type="pct"/>
            <w:shd w:val="clear" w:color="auto" w:fill="E8F1FA"/>
            <w:tcMar>
              <w:top w:w="90" w:type="dxa"/>
              <w:left w:w="90" w:type="dxa"/>
              <w:bottom w:w="90" w:type="dxa"/>
              <w:right w:w="90" w:type="dxa"/>
            </w:tcMar>
            <w:vAlign w:val="center"/>
            <w:shd w:fill="DCEAF7"/>
          </w:tcPr>
          <w:p w14:paraId="5F806BC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Use curated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Prefer low-cost or free-tier tools, open-source dashboard options, Open-Meteo, and possible local AI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Prefer explainable scoring and simple statistical methods before complex ML</w:t>
            </w:r>
          </w:p>
        </w:tc>
      </w:tr>
      <w:tr w:rsidR="00BB18A2" w14:paraId="58B6F22D" w14:textId="77777777">
        <w:trPr>
          <w:jc w:val="center"/>
        </w:trPr>
        <w:tc>
          <w:tcPr>
            <w:tcW w:w="2396" w:type="dxa"/>
            <w:vAlign w:val="center"/>
          </w:tcPr>
          <w:p w14:paraId="4DD3DB82" w14:textId="77777777" w:rsidR="00BB18A2" w:rsidRDefault="00000000">
            <w:pPr>
              <w:spacing w:line="276" w:lineRule="auto" w:after="40"/>
              <w:jc w:val="left"/>
            </w:pPr>
            <w:r>
              <w:rPr>
                <w:rFonts w:ascii="Times New Roman" w:hAnsi="Times New Roman" w:eastAsia="Times New Roman" w:cs="Times New Roman"/>
                <w:sz w:val="20"/>
              </w:rPr>
              <w:t>Pipeline complexity</w:t>
            </w:r>
          </w:p>
        </w:tc>
        <w:tc>
          <w:tcPr>
            <w:tcW w:w="2916" w:type="dxa"/>
            <w:vAlign w:val="center"/>
          </w:tcPr>
          <w:p w14:paraId="5398EBA2" w14:textId="77777777" w:rsidR="00BB18A2" w:rsidRDefault="00000000">
            <w:pPr>
              <w:spacing w:line="276" w:lineRule="auto" w:after="40"/>
              <w:jc w:val="left"/>
            </w:pPr>
            <w:r>
              <w:rPr>
                <w:rFonts w:ascii="Times New Roman" w:hAnsi="Times New Roman" w:eastAsia="Times New Roman" w:cs="Times New Roman"/>
                <w:sz w:val="20"/>
              </w:rPr>
              <w:t>Airflow and dbt add setup effort compared with a simple script</w:t>
            </w:r>
          </w:p>
        </w:tc>
        <w:tc>
          <w:tcPr>
            <w:tcW w:w="3704" w:type="dxa"/>
            <w:vAlign w:val="center"/>
          </w:tcPr>
          <w:p w14:paraId="2C9484CA" w14:textId="77777777" w:rsidR="00BB18A2" w:rsidRDefault="00000000">
            <w:pPr>
              <w:spacing w:line="276" w:lineRule="auto" w:after="40"/>
              <w:jc w:val="left"/>
            </w:pPr>
            <w:r>
              <w:rPr>
                <w:rFonts w:ascii="Times New Roman" w:hAnsi="Times New Roman" w:eastAsia="Times New Roman" w:cs="Times New Roman"/>
                <w:sz w:val="20"/>
              </w:rPr>
              <w:t>Keep the DAG small, use batch refresh, document fallback manual runs, and prioritise core tables first</w:t>
            </w:r>
          </w:p>
        </w:tc>
      </w:tr>
      <w:tr w:rsidR="00BB18A2" w14:paraId="2713ED82" w14:textId="77777777">
        <w:trPr>
          <w:jc w:val="center"/>
        </w:trPr>
        <w:tc>
          <w:tcPr>
            <w:tcW w:w="2396" w:type="dxa"/>
            <w:vAlign w:val="center"/>
          </w:tcPr>
          <w:p w14:paraId="7D759C68" w14:textId="77777777" w:rsidR="00BB18A2" w:rsidRDefault="00000000">
            <w:pPr>
              <w:spacing w:line="276" w:lineRule="auto" w:after="40"/>
              <w:jc w:val="left"/>
            </w:pPr>
            <w:r>
              <w:rPr>
                <w:rFonts w:ascii="Times New Roman" w:hAnsi="Times New Roman" w:eastAsia="Times New Roman" w:cs="Times New Roman"/>
                <w:sz w:val="20"/>
              </w:rPr>
              <w:t>Schema flexibility</w:t>
            </w:r>
          </w:p>
        </w:tc>
        <w:tc>
          <w:tcPr>
            <w:tcW w:w="2916" w:type="dxa"/>
            <w:vAlign w:val="center"/>
          </w:tcPr>
          <w:p w14:paraId="23FE4FD9" w14:textId="77777777" w:rsidR="00BB18A2" w:rsidRDefault="00000000">
            <w:pPr>
              <w:spacing w:line="276" w:lineRule="auto" w:after="40"/>
              <w:jc w:val="left"/>
            </w:pPr>
            <w:r>
              <w:rPr>
                <w:rFonts w:ascii="Times New Roman" w:hAnsi="Times New Roman" w:eastAsia="Times New Roman" w:cs="Times New Roman"/>
                <w:sz w:val="20"/>
              </w:rPr>
              <w:t>Company sheets may change column names or contain messy formats</w:t>
            </w:r>
          </w:p>
        </w:tc>
        <w:tc>
          <w:tcPr>
            <w:tcW w:w="3704" w:type="dxa"/>
            <w:vAlign w:val="center"/>
          </w:tcPr>
          <w:p w14:paraId="6E49FA4A" w14:textId="77777777" w:rsidR="00BB18A2" w:rsidRDefault="00000000">
            <w:pPr>
              <w:spacing w:line="276" w:lineRule="auto" w:after="40"/>
              <w:jc w:val="left"/>
            </w:pPr>
            <w:r>
              <w:rPr>
                <w:rFonts w:ascii="Times New Roman" w:hAnsi="Times New Roman" w:eastAsia="Times New Roman" w:cs="Times New Roman"/>
                <w:sz w:val="20"/>
              </w:rPr>
              <w:t>Use flexible data contracts, alias mapping, validation flags, and source-level quality status</w:t>
            </w:r>
          </w:p>
        </w:tc>
      </w:tr>
    </w:tbl>
    <w:p w14:paraId="428B5B2F" w14:textId="77777777" w:rsidR="0084730D" w:rsidRPr="00335C63" w:rsidRDefault="0084730D" w:rsidP="000F4170">
      <w:pPr>
        <w:spacing w:line="360" w:lineRule="auto" w:after="120"/>
        <w:jc w:val="both"/>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3.12 Evaluation Plan</w:t>
      </w:r>
    </w:p>
    <w:p w14:paraId="6BEF48C6"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Functional testing: verify data upload/sync, cleaning outputs, analytics storage table creation, and dashboard refresh.</w:t>
      </w:r>
    </w:p>
    <w:p w14:paraId="55C7B6E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Refresh testing: confirm scheduled ETL, scheduled warehouse jobs, or workflow orchestration update marts and show last refresh status.</w:t>
      </w:r>
    </w:p>
    <w:p w14:paraId="2772C41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4: Work Plan and Timeline</w:t>
      </w:r>
    </w:p>
    <w:p w14:paraId="04630C47"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4.1 Proposed CP1 Gantt Chart</w:t>
      </w:r>
    </w:p>
    <w:p w14:paraId="6F9AAA0C"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spacing w:line="360" w:lineRule="auto" w:after="120"/>
        <w:jc w:val="both"/>
      </w:pPr>
    </w:p>
    <w:p w14:paraId="437D6CF2" w14:textId="77777777" w:rsidR="00984EB3" w:rsidRDefault="003C0C08">
      <w:pPr>
        <w:spacing w:line="360" w:lineRule="auto" w:after="120"/>
        <w:jc w:val="both"/>
      </w:pPr>
      <w:r>
        <w:rPr>
          <w:rFonts w:ascii="Times New Roman" w:hAnsi="Times New Roman" w:eastAsia="Times New Roman" w:cs="Times New Roman"/>
          <w:i/>
          <w:sz w:val="24"/>
        </w:rPr>
        <w:t>Figure 4.1: Proposed Gantt chart for Capstone Project 1 planning activities.</w:t>
      </w:r>
    </w:p>
    <w:p>
      <w:pPr>
        <w:pStyle w:val="Heading2"/>
        <w:spacing w:line="360" w:lineRule="auto" w:after="120" w:before="160"/>
        <w:jc w:val="left"/>
      </w:pPr>
      <w:r>
        <w:rPr>
          <w:rFonts w:ascii="Times New Roman" w:hAnsi="Times New Roman" w:eastAsia="Times New Roman"/>
          <w:b/>
          <w:color w:val="000000"/>
          <w:sz w:val="24"/>
        </w:rPr>
        <w:t>4.2 Proposed CP2 Gantt Chart</w:t>
      </w:r>
    </w:p>
    <w:p>
      <w:pPr>
        <w:spacing w:line="360" w:lineRule="auto" w:after="120"/>
        <w:jc w:val="both"/>
      </w:pPr>
      <w:r>
        <w:rPr>
          <w:rFonts w:ascii="Times New Roman" w:hAnsi="Times New Roman" w:eastAsia="Times New Roman"/>
          <w:sz w:val="24"/>
        </w:rPr>
        <w:t>The CP2 Gantt chart will guide the implementation semester. It covers source profiling, Python extraction, analytics storage setup, transformation logic, weather enrichment, analytics mart development, dashboard creation, recommendation logging, testing, user feedback, and final presentation preparation. The editable Gantt workbook is saved separately so the timeline can be refined after supervisor approval.</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CP2 Phase</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Main Work</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Planned Weeks</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Expected Output</w:t>
            </w:r>
          </w:p>
        </w:tc>
      </w:tr>
      <w:tr>
        <w:tc>
          <w:tcPr>
            <w:tcW w:type="dxa" w:w="2256"/>
            <w:vAlign w:val="center"/>
          </w:tcPr>
          <w:p>
            <w:pPr>
              <w:spacing w:line="276" w:lineRule="auto" w:after="40"/>
              <w:jc w:val="left"/>
            </w:pPr>
            <w:r>
              <w:rPr>
                <w:rFonts w:ascii="Times New Roman" w:hAnsi="Times New Roman" w:eastAsia="Times New Roman"/>
                <w:sz w:val="20"/>
              </w:rPr>
              <w:t>Setup and profiling</w:t>
            </w:r>
          </w:p>
        </w:tc>
        <w:tc>
          <w:tcPr>
            <w:tcW w:type="dxa" w:w="2256"/>
            <w:vAlign w:val="center"/>
          </w:tcPr>
          <w:p>
            <w:pPr>
              <w:spacing w:line="276" w:lineRule="auto" w:after="40"/>
              <w:jc w:val="left"/>
            </w:pPr>
            <w:r>
              <w:rPr>
                <w:rFonts w:ascii="Times New Roman" w:hAnsi="Times New Roman" w:eastAsia="Times New Roman"/>
                <w:sz w:val="20"/>
              </w:rPr>
              <w:t>Configure repository, environments, source access and data profiling scripts.</w:t>
            </w:r>
          </w:p>
        </w:tc>
        <w:tc>
          <w:tcPr>
            <w:tcW w:type="dxa" w:w="2256"/>
            <w:vAlign w:val="center"/>
          </w:tcPr>
          <w:p>
            <w:pPr>
              <w:spacing w:line="276" w:lineRule="auto" w:after="40"/>
              <w:jc w:val="left"/>
            </w:pPr>
            <w:r>
              <w:rPr>
                <w:rFonts w:ascii="Times New Roman" w:hAnsi="Times New Roman" w:eastAsia="Times New Roman"/>
                <w:sz w:val="20"/>
              </w:rPr>
              <w:t>Weeks 1-3</w:t>
            </w:r>
          </w:p>
        </w:tc>
        <w:tc>
          <w:tcPr>
            <w:tcW w:type="dxa" w:w="2256"/>
            <w:vAlign w:val="center"/>
          </w:tcPr>
          <w:p>
            <w:pPr>
              <w:spacing w:line="276" w:lineRule="auto" w:after="40"/>
              <w:jc w:val="left"/>
            </w:pPr>
            <w:r>
              <w:rPr>
                <w:rFonts w:ascii="Times New Roman" w:hAnsi="Times New Roman" w:eastAsia="Times New Roman"/>
                <w:sz w:val="20"/>
              </w:rPr>
              <w:t>Confirmed source inventory and project setup</w:t>
            </w:r>
          </w:p>
        </w:tc>
      </w:tr>
      <w:tr>
        <w:tc>
          <w:tcPr>
            <w:tcW w:type="dxa" w:w="2256"/>
            <w:vAlign w:val="center"/>
          </w:tcPr>
          <w:p>
            <w:pPr>
              <w:spacing w:line="276" w:lineRule="auto" w:after="40"/>
              <w:jc w:val="left"/>
            </w:pPr>
            <w:r>
              <w:rPr>
                <w:rFonts w:ascii="Times New Roman" w:hAnsi="Times New Roman" w:eastAsia="Times New Roman"/>
                <w:sz w:val="20"/>
              </w:rPr>
              <w:t>ETL and warehouse</w:t>
            </w:r>
          </w:p>
        </w:tc>
        <w:tc>
          <w:tcPr>
            <w:tcW w:type="dxa" w:w="2256"/>
            <w:vAlign w:val="center"/>
          </w:tcPr>
          <w:p>
            <w:pPr>
              <w:spacing w:line="276" w:lineRule="auto" w:after="40"/>
              <w:jc w:val="left"/>
            </w:pPr>
            <w:r>
              <w:rPr>
                <w:rFonts w:ascii="Times New Roman" w:hAnsi="Times New Roman" w:eastAsia="Times New Roman"/>
                <w:sz w:val="20"/>
              </w:rPr>
              <w:t>Build Python extraction, raw staging loads, data quality checks, and cleaned transformation models.</w:t>
            </w:r>
          </w:p>
        </w:tc>
        <w:tc>
          <w:tcPr>
            <w:tcW w:type="dxa" w:w="2256"/>
            <w:vAlign w:val="center"/>
          </w:tcPr>
          <w:p>
            <w:pPr>
              <w:spacing w:line="276" w:lineRule="auto" w:after="40"/>
              <w:jc w:val="left"/>
            </w:pPr>
            <w:r>
              <w:rPr>
                <w:rFonts w:ascii="Times New Roman" w:hAnsi="Times New Roman" w:eastAsia="Times New Roman"/>
                <w:sz w:val="20"/>
              </w:rPr>
              <w:t>Weeks 4-9</w:t>
            </w:r>
          </w:p>
        </w:tc>
        <w:tc>
          <w:tcPr>
            <w:tcW w:type="dxa" w:w="2256"/>
            <w:vAlign w:val="center"/>
          </w:tcPr>
          <w:p>
            <w:pPr>
              <w:spacing w:line="276" w:lineRule="auto" w:after="40"/>
              <w:jc w:val="left"/>
            </w:pPr>
            <w:r>
              <w:rPr>
                <w:rFonts w:ascii="Times New Roman" w:hAnsi="Times New Roman" w:eastAsia="Times New Roman"/>
                <w:sz w:val="20"/>
              </w:rPr>
              <w:t>Validated warehouse tables and data quality outputs</w:t>
            </w:r>
          </w:p>
        </w:tc>
      </w:tr>
      <w:tr>
        <w:tc>
          <w:tcPr>
            <w:tcW w:type="dxa" w:w="2256"/>
            <w:vAlign w:val="center"/>
          </w:tcPr>
          <w:p>
            <w:pPr>
              <w:spacing w:line="276" w:lineRule="auto" w:after="40"/>
              <w:jc w:val="left"/>
            </w:pPr>
            <w:r>
              <w:rPr>
                <w:rFonts w:ascii="Times New Roman" w:hAnsi="Times New Roman" w:eastAsia="Times New Roman"/>
                <w:sz w:val="20"/>
              </w:rPr>
              <w:t>Analytics marts</w:t>
            </w:r>
          </w:p>
        </w:tc>
        <w:tc>
          <w:tcPr>
            <w:tcW w:type="dxa" w:w="2256"/>
            <w:vAlign w:val="center"/>
          </w:tcPr>
          <w:p>
            <w:pPr>
              <w:spacing w:line="276" w:lineRule="auto" w:after="40"/>
              <w:jc w:val="left"/>
            </w:pPr>
            <w:r>
              <w:rPr>
                <w:rFonts w:ascii="Times New Roman" w:hAnsi="Times New Roman" w:eastAsia="Times New Roman"/>
                <w:sz w:val="20"/>
              </w:rPr>
              <w:t>Create weather, recurrence, hotspot, treatment difficulty, warranty and upsell mart tables.</w:t>
            </w:r>
          </w:p>
        </w:tc>
        <w:tc>
          <w:tcPr>
            <w:tcW w:type="dxa" w:w="2256"/>
            <w:vAlign w:val="center"/>
          </w:tcPr>
          <w:p>
            <w:pPr>
              <w:spacing w:line="276" w:lineRule="auto" w:after="40"/>
              <w:jc w:val="left"/>
            </w:pPr>
            <w:r>
              <w:rPr>
                <w:rFonts w:ascii="Times New Roman" w:hAnsi="Times New Roman" w:eastAsia="Times New Roman"/>
                <w:sz w:val="20"/>
              </w:rPr>
              <w:t>Weeks 8-13</w:t>
            </w:r>
          </w:p>
        </w:tc>
        <w:tc>
          <w:tcPr>
            <w:tcW w:type="dxa" w:w="2256"/>
            <w:vAlign w:val="center"/>
          </w:tcPr>
          <w:p>
            <w:pPr>
              <w:spacing w:line="276" w:lineRule="auto" w:after="40"/>
              <w:jc w:val="left"/>
            </w:pPr>
            <w:r>
              <w:rPr>
                <w:rFonts w:ascii="Times New Roman" w:hAnsi="Times New Roman" w:eastAsia="Times New Roman"/>
                <w:sz w:val="20"/>
              </w:rPr>
              <w:t>Dashboard-ready gold-layer marts</w:t>
            </w:r>
          </w:p>
        </w:tc>
      </w:tr>
      <w:tr>
        <w:tc>
          <w:tcPr>
            <w:tcW w:type="dxa" w:w="2256"/>
            <w:vAlign w:val="center"/>
          </w:tcPr>
          <w:p>
            <w:pPr>
              <w:spacing w:line="276" w:lineRule="auto" w:after="40"/>
              <w:jc w:val="left"/>
            </w:pPr>
            <w:r>
              <w:rPr>
                <w:rFonts w:ascii="Times New Roman" w:hAnsi="Times New Roman" w:eastAsia="Times New Roman"/>
                <w:sz w:val="20"/>
              </w:rPr>
              <w:t>Dashboard and decision support</w:t>
            </w:r>
          </w:p>
        </w:tc>
        <w:tc>
          <w:tcPr>
            <w:tcW w:type="dxa" w:w="2256"/>
            <w:vAlign w:val="center"/>
          </w:tcPr>
          <w:p>
            <w:pPr>
              <w:spacing w:line="276" w:lineRule="auto" w:after="40"/>
              <w:jc w:val="left"/>
            </w:pPr>
            <w:r>
              <w:rPr>
                <w:rFonts w:ascii="Times New Roman" w:hAnsi="Times New Roman" w:eastAsia="Times New Roman"/>
                <w:sz w:val="20"/>
              </w:rPr>
              <w:t>Build Superset dashboards and recommendation log outputs.</w:t>
            </w:r>
          </w:p>
        </w:tc>
        <w:tc>
          <w:tcPr>
            <w:tcW w:type="dxa" w:w="2256"/>
            <w:vAlign w:val="center"/>
          </w:tcPr>
          <w:p>
            <w:pPr>
              <w:spacing w:line="276" w:lineRule="auto" w:after="40"/>
              <w:jc w:val="left"/>
            </w:pPr>
            <w:r>
              <w:rPr>
                <w:rFonts w:ascii="Times New Roman" w:hAnsi="Times New Roman" w:eastAsia="Times New Roman"/>
                <w:sz w:val="20"/>
              </w:rPr>
              <w:t>Weeks 12-15</w:t>
            </w:r>
          </w:p>
        </w:tc>
        <w:tc>
          <w:tcPr>
            <w:tcW w:type="dxa" w:w="2256"/>
            <w:vAlign w:val="center"/>
          </w:tcPr>
          <w:p>
            <w:pPr>
              <w:spacing w:line="276" w:lineRule="auto" w:after="40"/>
              <w:jc w:val="left"/>
            </w:pPr>
            <w:r>
              <w:rPr>
                <w:rFonts w:ascii="Times New Roman" w:hAnsi="Times New Roman" w:eastAsia="Times New Roman"/>
                <w:sz w:val="20"/>
              </w:rPr>
              <w:t>Management dashboard prototype</w:t>
            </w:r>
          </w:p>
        </w:tc>
      </w:tr>
      <w:tr>
        <w:tc>
          <w:tcPr>
            <w:tcW w:type="dxa" w:w="2256"/>
            <w:vAlign w:val="center"/>
          </w:tcPr>
          <w:p>
            <w:pPr>
              <w:spacing w:line="276" w:lineRule="auto" w:after="40"/>
              <w:jc w:val="left"/>
            </w:pPr>
            <w:r>
              <w:rPr>
                <w:rFonts w:ascii="Times New Roman" w:hAnsi="Times New Roman" w:eastAsia="Times New Roman"/>
                <w:sz w:val="20"/>
              </w:rPr>
              <w:t>Testing and evaluation</w:t>
            </w:r>
          </w:p>
        </w:tc>
        <w:tc>
          <w:tcPr>
            <w:tcW w:type="dxa" w:w="2256"/>
            <w:vAlign w:val="center"/>
          </w:tcPr>
          <w:p>
            <w:pPr>
              <w:spacing w:line="276" w:lineRule="auto" w:after="40"/>
              <w:jc w:val="left"/>
            </w:pPr>
            <w:r>
              <w:rPr>
                <w:rFonts w:ascii="Times New Roman" w:hAnsi="Times New Roman" w:eastAsia="Times New Roman"/>
                <w:sz w:val="20"/>
              </w:rPr>
              <w:t>Run pipeline checks, dashboard verification, sample validation and company feedback.</w:t>
            </w:r>
          </w:p>
        </w:tc>
        <w:tc>
          <w:tcPr>
            <w:tcW w:type="dxa" w:w="2256"/>
            <w:vAlign w:val="center"/>
          </w:tcPr>
          <w:p>
            <w:pPr>
              <w:spacing w:line="276" w:lineRule="auto" w:after="40"/>
              <w:jc w:val="left"/>
            </w:pPr>
            <w:r>
              <w:rPr>
                <w:rFonts w:ascii="Times New Roman" w:hAnsi="Times New Roman" w:eastAsia="Times New Roman"/>
                <w:sz w:val="20"/>
              </w:rPr>
              <w:t>Weeks 15-17</w:t>
            </w:r>
          </w:p>
        </w:tc>
        <w:tc>
          <w:tcPr>
            <w:tcW w:type="dxa" w:w="2256"/>
            <w:vAlign w:val="center"/>
          </w:tcPr>
          <w:p>
            <w:pPr>
              <w:spacing w:line="276" w:lineRule="auto" w:after="40"/>
              <w:jc w:val="left"/>
            </w:pPr>
            <w:r>
              <w:rPr>
                <w:rFonts w:ascii="Times New Roman" w:hAnsi="Times New Roman" w:eastAsia="Times New Roman"/>
                <w:sz w:val="20"/>
              </w:rPr>
              <w:t>Evaluation results and improvement notes</w:t>
            </w:r>
          </w:p>
        </w:tc>
      </w:tr>
      <w:tr>
        <w:tc>
          <w:tcPr>
            <w:tcW w:type="dxa" w:w="2256"/>
            <w:vAlign w:val="center"/>
          </w:tcPr>
          <w:p>
            <w:pPr>
              <w:spacing w:line="276" w:lineRule="auto" w:after="40"/>
              <w:jc w:val="left"/>
            </w:pPr>
            <w:r>
              <w:rPr>
                <w:rFonts w:ascii="Times New Roman" w:hAnsi="Times New Roman" w:eastAsia="Times New Roman"/>
                <w:sz w:val="20"/>
              </w:rPr>
              <w:t>Final reporting</w:t>
            </w:r>
          </w:p>
        </w:tc>
        <w:tc>
          <w:tcPr>
            <w:tcW w:type="dxa" w:w="2256"/>
            <w:vAlign w:val="center"/>
          </w:tcPr>
          <w:p>
            <w:pPr>
              <w:spacing w:line="276" w:lineRule="auto" w:after="40"/>
              <w:jc w:val="left"/>
            </w:pPr>
            <w:r>
              <w:rPr>
                <w:rFonts w:ascii="Times New Roman" w:hAnsi="Times New Roman" w:eastAsia="Times New Roman"/>
                <w:sz w:val="20"/>
              </w:rPr>
              <w:t>Prepare CP2 report, presentation, demo flow, limitations and future work.</w:t>
            </w:r>
          </w:p>
        </w:tc>
        <w:tc>
          <w:tcPr>
            <w:tcW w:type="dxa" w:w="2256"/>
            <w:vAlign w:val="center"/>
          </w:tcPr>
          <w:p>
            <w:pPr>
              <w:spacing w:line="276" w:lineRule="auto" w:after="40"/>
              <w:jc w:val="left"/>
            </w:pPr>
            <w:r>
              <w:rPr>
                <w:rFonts w:ascii="Times New Roman" w:hAnsi="Times New Roman" w:eastAsia="Times New Roman"/>
                <w:sz w:val="20"/>
              </w:rPr>
              <w:t>Weeks 17-20</w:t>
            </w:r>
          </w:p>
        </w:tc>
        <w:tc>
          <w:tcPr>
            <w:tcW w:type="dxa" w:w="2256"/>
            <w:vAlign w:val="center"/>
          </w:tcPr>
          <w:p>
            <w:pPr>
              <w:spacing w:line="276" w:lineRule="auto" w:after="40"/>
              <w:jc w:val="left"/>
            </w:pPr>
            <w:r>
              <w:rPr>
                <w:rFonts w:ascii="Times New Roman" w:hAnsi="Times New Roman" w:eastAsia="Times New Roman"/>
                <w:sz w:val="20"/>
              </w:rPr>
              <w:t>Final capstone submission</w:t>
            </w:r>
          </w:p>
        </w:tc>
      </w:tr>
    </w:tbl>
    <w:p>
      <w:pPr>
        <w:spacing w:line="360" w:lineRule="auto" w:after="120"/>
        <w:jc w:val="both"/>
      </w:pPr>
      <w:r>
        <w:rPr>
          <w:rFonts w:ascii="Times New Roman" w:hAnsi="Times New Roman" w:eastAsia="Times New Roman"/>
          <w:i/>
          <w:sz w:val="24"/>
        </w:rPr>
        <w:t>Table 4.1: Summary of the proposed CP2 implementation timeline. The detailed editable chart is provided in Nomobug_CP1_CP2_Gantt_Chart.xlsx.</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shd w:fill="DCEAF7"/>
          </w:tcPr>
          <w:p w14:paraId="3DC951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Week</w:t>
            </w:r>
          </w:p>
        </w:tc>
        <w:tc>
          <w:tcPr>
            <w:tcW w:w="2396" w:type="pct"/>
            <w:shd w:val="clear" w:color="auto" w:fill="E8F1FA"/>
            <w:tcMar>
              <w:top w:w="90" w:type="dxa"/>
              <w:left w:w="90" w:type="dxa"/>
              <w:bottom w:w="90" w:type="dxa"/>
              <w:right w:w="90" w:type="dxa"/>
            </w:tcMar>
            <w:vAlign w:val="center"/>
            <w:shd w:fill="DCEAF7"/>
          </w:tcPr>
          <w:p w14:paraId="6F3A81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Work Package</w:t>
            </w:r>
          </w:p>
        </w:tc>
        <w:tc>
          <w:tcPr>
            <w:tcW w:w="1899" w:type="pct"/>
            <w:shd w:val="clear" w:color="auto" w:fill="E8F1FA"/>
            <w:tcMar>
              <w:top w:w="90" w:type="dxa"/>
              <w:left w:w="90" w:type="dxa"/>
              <w:bottom w:w="90" w:type="dxa"/>
              <w:right w:w="90" w:type="dxa"/>
            </w:tcMar>
            <w:vAlign w:val="center"/>
            <w:shd w:fill="DCEAF7"/>
          </w:tcPr>
          <w:p w14:paraId="328CF0F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pPr>
              <w:spacing w:line="276" w:lineRule="auto" w:after="40"/>
              <w:jc w:val="left"/>
            </w:pPr>
            <w:r>
              <w:rPr>
                <w:rFonts w:ascii="Times New Roman" w:hAnsi="Times New Roman" w:eastAsia="Times New Roman" w:cs="Times New Roman"/>
                <w:sz w:val="20"/>
              </w:rPr>
              <w:t>3</w:t>
            </w:r>
          </w:p>
        </w:tc>
        <w:tc>
          <w:tcPr>
            <w:tcW w:w="2396" w:type="pct"/>
            <w:tcMar>
              <w:top w:w="90" w:type="dxa"/>
              <w:left w:w="90" w:type="dxa"/>
              <w:bottom w:w="90" w:type="dxa"/>
              <w:right w:w="90" w:type="dxa"/>
            </w:tcMar>
            <w:vAlign w:val="center"/>
          </w:tcPr>
          <w:p w14:paraId="51D4AB05" w14:textId="77777777" w:rsidR="00BB18A2" w:rsidRDefault="00000000">
            <w:pPr>
              <w:spacing w:line="276" w:lineRule="auto" w:after="40"/>
              <w:jc w:val="left"/>
            </w:pPr>
            <w:r>
              <w:rPr>
                <w:rFonts w:ascii="Times New Roman" w:hAnsi="Times New Roman" w:eastAsia="Times New Roman"/>
                <w:sz w:val="20"/>
              </w:rPr>
              <w:t>Design layered analytics storage, transformation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pPr>
              <w:spacing w:line="276" w:lineRule="auto" w:after="40"/>
              <w:jc w:val="left"/>
            </w:pPr>
            <w:r>
              <w:rPr>
                <w:rFonts w:ascii="Times New Roman" w:hAnsi="Times New Roman" w:eastAsia="Times New Roman"/>
                <w:sz w:val="20"/>
              </w:rPr>
              <w:t>Analytics storage and transformation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pPr>
              <w:spacing w:line="276" w:lineRule="auto" w:after="40"/>
              <w:jc w:val="left"/>
            </w:pPr>
            <w:r>
              <w:rPr>
                <w:rFonts w:ascii="Times New Roman" w:hAnsi="Times New Roman" w:eastAsia="Times New Roman" w:cs="Times New Roman"/>
                <w:sz w:val="20"/>
              </w:rPr>
              <w:lastRenderedPageBreak/>
              <w:t>4</w:t>
            </w:r>
          </w:p>
        </w:tc>
        <w:tc>
          <w:tcPr>
            <w:tcW w:w="2396" w:type="pct"/>
            <w:tcMar>
              <w:top w:w="90" w:type="dxa"/>
              <w:left w:w="90" w:type="dxa"/>
              <w:bottom w:w="90" w:type="dxa"/>
              <w:right w:w="90" w:type="dxa"/>
            </w:tcMar>
            <w:vAlign w:val="center"/>
          </w:tcPr>
          <w:p w14:paraId="2667B41E" w14:textId="77777777" w:rsidR="00BB18A2" w:rsidRDefault="00000000">
            <w:pPr>
              <w:spacing w:line="276" w:lineRule="auto" w:after="40"/>
              <w:jc w:val="left"/>
            </w:pPr>
            <w:r>
              <w:rPr>
                <w:rFonts w:ascii="Times New Roman" w:hAnsi="Times New Roman" w:eastAsia="Times New Roman" w:cs="Times New Roman"/>
                <w:sz w:val="20"/>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pPr>
              <w:spacing w:line="276" w:lineRule="auto" w:after="40"/>
              <w:jc w:val="left"/>
            </w:pPr>
            <w:r>
              <w:rPr>
                <w:rFonts w:ascii="Times New Roman" w:hAnsi="Times New Roman" w:eastAsia="Times New Roman" w:cs="Times New Roman"/>
                <w:sz w:val="20"/>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pPr>
              <w:spacing w:line="276" w:lineRule="auto" w:after="40"/>
              <w:jc w:val="left"/>
            </w:pPr>
            <w:r>
              <w:rPr>
                <w:rFonts w:ascii="Times New Roman" w:hAnsi="Times New Roman" w:eastAsia="Times New Roman" w:cs="Times New Roman"/>
                <w:sz w:val="20"/>
              </w:rPr>
              <w:t>6</w:t>
            </w:r>
          </w:p>
        </w:tc>
        <w:tc>
          <w:tcPr>
            <w:tcW w:w="2396" w:type="pct"/>
            <w:tcMar>
              <w:top w:w="90" w:type="dxa"/>
              <w:left w:w="90" w:type="dxa"/>
              <w:bottom w:w="90" w:type="dxa"/>
              <w:right w:w="90" w:type="dxa"/>
            </w:tcMar>
            <w:vAlign w:val="center"/>
          </w:tcPr>
          <w:p w14:paraId="4E85E985" w14:textId="77777777" w:rsidR="00BB18A2" w:rsidRDefault="00000000">
            <w:pPr>
              <w:spacing w:line="276" w:lineRule="auto" w:after="40"/>
              <w:jc w:val="left"/>
            </w:pPr>
            <w:r>
              <w:rPr>
                <w:rFonts w:ascii="Times New Roman" w:hAnsi="Times New Roman" w:eastAsia="Times New Roman" w:cs="Times New Roman"/>
                <w:sz w:val="20"/>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pPr>
              <w:spacing w:line="276" w:lineRule="auto" w:after="40"/>
              <w:jc w:val="left"/>
            </w:pPr>
            <w:r>
              <w:rPr>
                <w:rFonts w:ascii="Times New Roman" w:hAnsi="Times New Roman" w:eastAsia="Times New Roman" w:cs="Times New Roman"/>
                <w:sz w:val="20"/>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pPr>
              <w:spacing w:line="276" w:lineRule="auto" w:after="40"/>
              <w:jc w:val="left"/>
            </w:pPr>
            <w:r>
              <w:rPr>
                <w:rFonts w:ascii="Times New Roman" w:hAnsi="Times New Roman" w:eastAsia="Times New Roman" w:cs="Times New Roman"/>
                <w:sz w:val="20"/>
              </w:rPr>
              <w:t>10</w:t>
            </w:r>
          </w:p>
        </w:tc>
        <w:tc>
          <w:tcPr>
            <w:tcW w:w="2396" w:type="pct"/>
            <w:tcMar>
              <w:top w:w="90" w:type="dxa"/>
              <w:left w:w="90" w:type="dxa"/>
              <w:bottom w:w="90" w:type="dxa"/>
              <w:right w:w="90" w:type="dxa"/>
            </w:tcMar>
            <w:vAlign w:val="center"/>
          </w:tcPr>
          <w:p w14:paraId="57A4B001" w14:textId="77777777" w:rsidR="00BB18A2" w:rsidRDefault="00000000">
            <w:pPr>
              <w:spacing w:line="276" w:lineRule="auto" w:after="40"/>
              <w:jc w:val="left"/>
            </w:pPr>
            <w:r>
              <w:rPr>
                <w:rFonts w:ascii="Times New Roman" w:hAnsi="Times New Roman" w:eastAsia="Times New Roman"/>
                <w:sz w:val="20"/>
              </w:rPr>
              <w:t>Create a scheduled workflow to orchestrate extraction, loading, transformation/testing,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pPr>
              <w:spacing w:line="276" w:lineRule="auto" w:after="40"/>
              <w:jc w:val="left"/>
            </w:pPr>
            <w:r>
              <w:rPr>
                <w:rFonts w:ascii="Times New Roman" w:hAnsi="Times New Roman" w:eastAsia="Times New Roman"/>
                <w:sz w:val="20"/>
              </w:rPr>
              <w:t>Scheduled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pPr>
              <w:spacing w:line="276" w:lineRule="auto" w:after="40"/>
              <w:jc w:val="left"/>
            </w:pPr>
            <w:r>
              <w:rPr>
                <w:rFonts w:ascii="Times New Roman" w:hAnsi="Times New Roman" w:eastAsia="Times New Roman" w:cs="Times New Roman"/>
                <w:sz w:val="20"/>
              </w:rPr>
              <w:t>11</w:t>
            </w:r>
          </w:p>
        </w:tc>
        <w:tc>
          <w:tcPr>
            <w:tcW w:w="2396" w:type="pct"/>
            <w:tcMar>
              <w:top w:w="90" w:type="dxa"/>
              <w:left w:w="90" w:type="dxa"/>
              <w:bottom w:w="90" w:type="dxa"/>
              <w:right w:w="90" w:type="dxa"/>
            </w:tcMar>
            <w:vAlign w:val="center"/>
          </w:tcPr>
          <w:p w14:paraId="4DAF8A33" w14:textId="77777777" w:rsidR="00BB18A2" w:rsidRDefault="00000000">
            <w:pPr>
              <w:spacing w:line="276" w:lineRule="auto" w:after="40"/>
              <w:jc w:val="left"/>
            </w:pPr>
            <w:r>
              <w:rPr>
                <w:rFonts w:ascii="Times New Roman" w:hAnsi="Times New Roman" w:eastAsia="Times New Roman"/>
                <w:sz w:val="20"/>
              </w:rPr>
              <w:t>Connect the selected BI tool to dashboard-ready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pPr>
              <w:spacing w:line="276" w:lineRule="auto" w:after="40"/>
              <w:jc w:val="left"/>
            </w:pPr>
            <w:r>
              <w:rPr>
                <w:rFonts w:ascii="Times New Roman" w:hAnsi="Times New Roman" w:eastAsia="Times New Roman"/>
                <w:sz w:val="20"/>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pPr>
              <w:spacing w:line="276" w:lineRule="auto" w:after="40"/>
              <w:jc w:val="left"/>
            </w:pPr>
            <w:r>
              <w:rPr>
                <w:rFonts w:ascii="Times New Roman" w:hAnsi="Times New Roman" w:eastAsia="Times New Roman" w:cs="Times New Roman"/>
                <w:sz w:val="20"/>
              </w:rPr>
              <w:t>12</w:t>
            </w:r>
          </w:p>
        </w:tc>
        <w:tc>
          <w:tcPr>
            <w:tcW w:w="2396" w:type="pct"/>
            <w:tcMar>
              <w:top w:w="90" w:type="dxa"/>
              <w:left w:w="90" w:type="dxa"/>
              <w:bottom w:w="90" w:type="dxa"/>
              <w:right w:w="90" w:type="dxa"/>
            </w:tcMar>
            <w:vAlign w:val="center"/>
          </w:tcPr>
          <w:p w14:paraId="6B3E2F84" w14:textId="77777777" w:rsidR="00BB18A2" w:rsidRDefault="00000000">
            <w:pPr>
              <w:spacing w:line="276" w:lineRule="auto" w:after="40"/>
              <w:jc w:val="left"/>
            </w:pPr>
            <w:r>
              <w:rPr>
                <w:rFonts w:ascii="Times New Roman" w:hAnsi="Times New Roman" w:eastAsia="Times New Roman" w:cs="Times New Roman"/>
                <w:sz w:val="20"/>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pPr>
              <w:spacing w:line="276" w:lineRule="auto" w:after="40"/>
              <w:jc w:val="left"/>
            </w:pPr>
            <w:r>
              <w:rPr>
                <w:rFonts w:ascii="Times New Roman" w:hAnsi="Times New Roman" w:eastAsia="Times New Roman" w:cs="Times New Roman"/>
                <w:sz w:val="20"/>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pPr>
              <w:spacing w:line="276" w:lineRule="auto" w:after="40"/>
              <w:jc w:val="left"/>
            </w:pPr>
            <w:r>
              <w:rPr>
                <w:rFonts w:ascii="Times New Roman" w:hAnsi="Times New Roman" w:eastAsia="Times New Roman" w:cs="Times New Roman"/>
                <w:sz w:val="20"/>
              </w:rPr>
              <w:t>13</w:t>
            </w:r>
          </w:p>
        </w:tc>
        <w:tc>
          <w:tcPr>
            <w:tcW w:w="2396" w:type="pct"/>
            <w:tcMar>
              <w:top w:w="90" w:type="dxa"/>
              <w:left w:w="90" w:type="dxa"/>
              <w:bottom w:w="90" w:type="dxa"/>
              <w:right w:w="90" w:type="dxa"/>
            </w:tcMar>
            <w:vAlign w:val="center"/>
          </w:tcPr>
          <w:p w14:paraId="5D2002E8" w14:textId="77777777" w:rsidR="00BB18A2" w:rsidRDefault="00000000">
            <w:pPr>
              <w:spacing w:line="276" w:lineRule="auto" w:after="40"/>
              <w:jc w:val="left"/>
            </w:pPr>
            <w:r>
              <w:rPr>
                <w:rFonts w:ascii="Times New Roman" w:hAnsi="Times New Roman" w:eastAsia="Times New Roman" w:cs="Times New Roman"/>
                <w:sz w:val="20"/>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pPr>
              <w:spacing w:line="276" w:lineRule="auto" w:after="40"/>
              <w:jc w:val="left"/>
            </w:pPr>
            <w:r>
              <w:rPr>
                <w:rFonts w:ascii="Times New Roman" w:hAnsi="Times New Roman" w:eastAsia="Times New Roman" w:cs="Times New Roman"/>
                <w:sz w:val="20"/>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pPr>
              <w:spacing w:line="276" w:lineRule="auto" w:after="40"/>
              <w:jc w:val="left"/>
            </w:pPr>
            <w:r>
              <w:rPr>
                <w:rFonts w:ascii="Times New Roman" w:hAnsi="Times New Roman" w:eastAsia="Times New Roman" w:cs="Times New Roman"/>
                <w:sz w:val="20"/>
              </w:rPr>
              <w:t>14</w:t>
            </w:r>
          </w:p>
        </w:tc>
        <w:tc>
          <w:tcPr>
            <w:tcW w:w="2396" w:type="pct"/>
            <w:tcMar>
              <w:top w:w="90" w:type="dxa"/>
              <w:left w:w="90" w:type="dxa"/>
              <w:bottom w:w="90" w:type="dxa"/>
              <w:right w:w="90" w:type="dxa"/>
            </w:tcMar>
            <w:vAlign w:val="center"/>
          </w:tcPr>
          <w:p w14:paraId="34A4BFA3" w14:textId="77777777" w:rsidR="00BB18A2" w:rsidRDefault="00000000">
            <w:pPr>
              <w:spacing w:line="276" w:lineRule="auto" w:after="40"/>
              <w:jc w:val="left"/>
            </w:pPr>
            <w:r>
              <w:rPr>
                <w:rFonts w:ascii="Times New Roman" w:hAnsi="Times New Roman" w:eastAsia="Times New Roman" w:cs="Times New Roman"/>
                <w:sz w:val="20"/>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pPr>
              <w:spacing w:line="276" w:lineRule="auto" w:after="40"/>
              <w:jc w:val="left"/>
            </w:pPr>
            <w:r>
              <w:rPr>
                <w:rFonts w:ascii="Times New Roman" w:hAnsi="Times New Roman" w:eastAsia="Times New Roman" w:cs="Times New Roman"/>
                <w:sz w:val="20"/>
              </w:rPr>
              <w:t>Final project submission</w:t>
            </w:r>
          </w:p>
        </w:tc>
      </w:tr>
    </w:tbl>
    <w:p w14:paraId="134549B3" w14:textId="77777777" w:rsidR="0084730D" w:rsidRPr="00335C63" w:rsidRDefault="0084730D" w:rsidP="000F4170">
      <w:pPr>
        <w:spacing w:line="360" w:lineRule="auto" w:after="120"/>
        <w:jc w:val="both"/>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4.3 Milestones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shd w:fill="DCEAF7"/>
          </w:tcPr>
          <w:p w14:paraId="1782905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Milestone</w:t>
            </w:r>
          </w:p>
        </w:tc>
        <w:tc>
          <w:tcPr>
            <w:tcW w:w="842" w:type="pct"/>
            <w:shd w:val="clear" w:color="auto" w:fill="E8F1FA"/>
            <w:tcMar>
              <w:top w:w="90" w:type="dxa"/>
              <w:left w:w="90" w:type="dxa"/>
              <w:bottom w:w="90" w:type="dxa"/>
              <w:right w:w="90" w:type="dxa"/>
            </w:tcMar>
            <w:vAlign w:val="center"/>
            <w:shd w:fill="DCEAF7"/>
          </w:tcPr>
          <w:p w14:paraId="06E7A83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Target Week</w:t>
            </w:r>
          </w:p>
        </w:tc>
        <w:tc>
          <w:tcPr>
            <w:tcW w:w="2573" w:type="pct"/>
            <w:shd w:val="clear" w:color="auto" w:fill="E8F1FA"/>
            <w:tcMar>
              <w:top w:w="90" w:type="dxa"/>
              <w:left w:w="90" w:type="dxa"/>
              <w:bottom w:w="90" w:type="dxa"/>
              <w:right w:w="90" w:type="dxa"/>
            </w:tcMar>
            <w:vAlign w:val="center"/>
            <w:shd w:fill="DCEAF7"/>
          </w:tcPr>
          <w:p w14:paraId="002D9E6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Cleaning rules run </w:t>
            </w:r>
            <w:proofErr w:type="gramStart"/>
            <w:r w:rsidRPr="00335C63">
              <w:rPr>
                <w:rFonts w:ascii="Times New Roman" w:hAnsi="Times New Roman" w:cs="Times New Roman" w:eastAsia="Times New Roman"/>
                <w:sz w:val="20"/>
                <w:szCs w:val="24"/>
              </w:rPr>
              <w:t>successfully</w:t>
            </w:r>
            <w:proofErr w:type="gramEnd"/>
            <w:r w:rsidRPr="00335C63">
              <w:rPr>
                <w:rFonts w:ascii="Times New Roman" w:hAnsi="Times New Roman" w:cs="Times New Roman" w:eastAsia="Times New Roman"/>
                <w:sz w:val="20"/>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pPr>
              <w:spacing w:line="276" w:lineRule="auto" w:after="40"/>
              <w:jc w:val="left"/>
            </w:pPr>
            <w:r>
              <w:rPr>
                <w:rFonts w:ascii="Times New Roman" w:hAnsi="Times New Roman" w:eastAsia="Times New Roman"/>
                <w:sz w:val="20"/>
              </w:rPr>
              <w:t>M3: Analytics storage and transformation layer ready</w:t>
            </w:r>
          </w:p>
        </w:tc>
        <w:tc>
          <w:tcPr>
            <w:tcW w:w="842" w:type="pct"/>
            <w:tcMar>
              <w:top w:w="90" w:type="dxa"/>
              <w:left w:w="90" w:type="dxa"/>
              <w:bottom w:w="90" w:type="dxa"/>
              <w:right w:w="90" w:type="dxa"/>
            </w:tcMar>
            <w:vAlign w:val="center"/>
          </w:tcPr>
          <w:p w14:paraId="5E25AB7D" w14:textId="77777777" w:rsidR="00BB18A2" w:rsidRDefault="00000000">
            <w:pPr>
              <w:spacing w:line="276" w:lineRule="auto" w:after="40"/>
              <w:jc w:val="left"/>
            </w:pPr>
            <w:r>
              <w:rPr>
                <w:rFonts w:ascii="Times New Roman" w:hAnsi="Times New Roman" w:eastAsia="Times New Roman" w:cs="Times New Roman"/>
                <w:sz w:val="20"/>
              </w:rPr>
              <w:t>Week 6</w:t>
            </w:r>
          </w:p>
        </w:tc>
        <w:tc>
          <w:tcPr>
            <w:tcW w:w="2573" w:type="pct"/>
            <w:tcMar>
              <w:top w:w="90" w:type="dxa"/>
              <w:left w:w="90" w:type="dxa"/>
              <w:bottom w:w="90" w:type="dxa"/>
              <w:right w:w="90" w:type="dxa"/>
            </w:tcMar>
            <w:vAlign w:val="center"/>
          </w:tcPr>
          <w:p w14:paraId="6630C15C" w14:textId="77777777" w:rsidR="00BB18A2" w:rsidRDefault="00000000">
            <w:pPr>
              <w:spacing w:line="276" w:lineRule="auto" w:after="40"/>
              <w:jc w:val="left"/>
            </w:pPr>
            <w:r>
              <w:rPr>
                <w:rFonts w:ascii="Times New Roman" w:hAnsi="Times New Roman" w:eastAsia="Times New Roman"/>
                <w:sz w:val="20"/>
              </w:rPr>
              <w:t>Raw, cleaned, and dashboard-ready tables created with initial transformation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pPr>
              <w:spacing w:line="276" w:lineRule="auto" w:after="40"/>
              <w:jc w:val="left"/>
            </w:pPr>
            <w:r>
              <w:rPr>
                <w:rFonts w:ascii="Times New Roman" w:hAnsi="Times New Roman" w:eastAsia="Times New Roman" w:cs="Times New Roman"/>
                <w:sz w:val="20"/>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pPr>
              <w:spacing w:line="276" w:lineRule="auto" w:after="40"/>
              <w:jc w:val="left"/>
            </w:pPr>
            <w:r>
              <w:rPr>
                <w:rFonts w:ascii="Times New Roman" w:hAnsi="Times New Roman" w:eastAsia="Times New Roman" w:cs="Times New Roman"/>
                <w:sz w:val="20"/>
              </w:rPr>
              <w:t>Week 11</w:t>
            </w:r>
          </w:p>
        </w:tc>
        <w:tc>
          <w:tcPr>
            <w:tcW w:w="2573" w:type="pct"/>
            <w:tcMar>
              <w:top w:w="90" w:type="dxa"/>
              <w:left w:w="90" w:type="dxa"/>
              <w:bottom w:w="90" w:type="dxa"/>
              <w:right w:w="90" w:type="dxa"/>
            </w:tcMar>
            <w:vAlign w:val="center"/>
          </w:tcPr>
          <w:p w14:paraId="5C83374B" w14:textId="77777777" w:rsidR="00BB18A2" w:rsidRDefault="00000000">
            <w:pPr>
              <w:spacing w:line="276" w:lineRule="auto" w:after="40"/>
              <w:jc w:val="left"/>
            </w:pPr>
            <w:r>
              <w:rPr>
                <w:rFonts w:ascii="Times New Roman" w:hAnsi="Times New Roman" w:eastAsia="Times New Roman" w:cs="Times New Roman"/>
                <w:sz w:val="20"/>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Report, dashboard screenshots, and demonstration environment prepared</w:t>
            </w:r>
          </w:p>
        </w:tc>
      </w:tr>
    </w:tbl>
    <w:p w14:paraId="03AD355B" w14:textId="77777777" w:rsidR="0084730D" w:rsidRPr="00335C63" w:rsidRDefault="0084730D" w:rsidP="000F4170">
      <w:pPr>
        <w:spacing w:line="360" w:lineRule="auto" w:after="120"/>
        <w:jc w:val="both"/>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4.4 Risks and Mitigation</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shd w:fill="DCEAF7"/>
          </w:tcPr>
          <w:p w14:paraId="2C22E29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Risk</w:t>
            </w:r>
          </w:p>
        </w:tc>
        <w:tc>
          <w:tcPr>
            <w:tcW w:w="1340" w:type="pct"/>
            <w:shd w:val="clear" w:color="auto" w:fill="E8F1FA"/>
            <w:tcMar>
              <w:top w:w="90" w:type="dxa"/>
              <w:left w:w="90" w:type="dxa"/>
              <w:bottom w:w="90" w:type="dxa"/>
              <w:right w:w="90" w:type="dxa"/>
            </w:tcMar>
            <w:vAlign w:val="center"/>
            <w:shd w:fill="DCEAF7"/>
          </w:tcPr>
          <w:p w14:paraId="515BC1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Impact</w:t>
            </w:r>
          </w:p>
        </w:tc>
        <w:tc>
          <w:tcPr>
            <w:tcW w:w="1778" w:type="pct"/>
            <w:shd w:val="clear" w:color="auto" w:fill="E8F1FA"/>
            <w:tcMar>
              <w:top w:w="90" w:type="dxa"/>
              <w:left w:w="90" w:type="dxa"/>
              <w:bottom w:w="90" w:type="dxa"/>
              <w:right w:w="90" w:type="dxa"/>
            </w:tcMar>
            <w:vAlign w:val="center"/>
            <w:shd w:fill="DCEAF7"/>
          </w:tcPr>
          <w:p w14:paraId="4815754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pPr>
              <w:spacing w:line="276" w:lineRule="auto" w:after="40"/>
              <w:jc w:val="left"/>
            </w:pPr>
            <w:r>
              <w:rPr>
                <w:rFonts w:ascii="Times New Roman" w:hAnsi="Times New Roman" w:eastAsia="Times New Roman" w:cs="Times New Roman"/>
                <w:sz w:val="20"/>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pPr>
              <w:spacing w:line="276" w:lineRule="auto" w:after="40"/>
              <w:jc w:val="left"/>
            </w:pPr>
            <w:r>
              <w:rPr>
                <w:rFonts w:ascii="Times New Roman" w:hAnsi="Times New Roman" w:eastAsia="Times New Roman" w:cs="Times New Roman"/>
                <w:sz w:val="20"/>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pPr>
              <w:spacing w:line="276" w:lineRule="auto" w:after="40"/>
              <w:jc w:val="left"/>
            </w:pPr>
            <w:r>
              <w:rPr>
                <w:rFonts w:ascii="Times New Roman" w:hAnsi="Times New Roman" w:eastAsia="Times New Roman" w:cs="Times New Roman"/>
                <w:sz w:val="20"/>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pPr>
              <w:spacing w:line="276" w:lineRule="auto" w:after="40"/>
              <w:jc w:val="left"/>
            </w:pPr>
            <w:r>
              <w:rPr>
                <w:rFonts w:ascii="Times New Roman" w:hAnsi="Times New Roman" w:eastAsia="Times New Roman"/>
                <w:sz w:val="20"/>
              </w:rPr>
              <w:t>Selected warehouse/BI/transformation setup takes longer than expected</w:t>
            </w:r>
          </w:p>
        </w:tc>
        <w:tc>
          <w:tcPr>
            <w:tcW w:w="1340" w:type="pct"/>
            <w:tcMar>
              <w:top w:w="90" w:type="dxa"/>
              <w:left w:w="90" w:type="dxa"/>
              <w:bottom w:w="90" w:type="dxa"/>
              <w:right w:w="90" w:type="dxa"/>
            </w:tcMar>
            <w:vAlign w:val="center"/>
          </w:tcPr>
          <w:p w14:paraId="47FF9B6B" w14:textId="77777777" w:rsidR="00BB18A2" w:rsidRDefault="00000000">
            <w:pPr>
              <w:spacing w:line="276" w:lineRule="auto" w:after="40"/>
              <w:jc w:val="left"/>
            </w:pPr>
            <w:r>
              <w:rPr>
                <w:rFonts w:ascii="Times New Roman" w:hAnsi="Times New Roman" w:eastAsia="Times New Roman" w:cs="Times New Roman"/>
                <w:sz w:val="20"/>
              </w:rPr>
              <w:t>Dashboard delivery risk</w:t>
            </w:r>
          </w:p>
        </w:tc>
        <w:tc>
          <w:tcPr>
            <w:tcW w:w="1778" w:type="pct"/>
            <w:tcMar>
              <w:top w:w="90" w:type="dxa"/>
              <w:left w:w="90" w:type="dxa"/>
              <w:bottom w:w="90" w:type="dxa"/>
              <w:right w:w="90" w:type="dxa"/>
            </w:tcMar>
            <w:vAlign w:val="center"/>
          </w:tcPr>
          <w:p w14:paraId="33FA30D0" w14:textId="77777777" w:rsidR="00BB18A2" w:rsidRDefault="00000000">
            <w:pPr>
              <w:spacing w:line="276" w:lineRule="auto" w:after="40"/>
              <w:jc w:val="left"/>
            </w:pPr>
            <w:r>
              <w:rPr>
                <w:rFonts w:ascii="Times New Roman" w:hAnsi="Times New Roman" w:eastAsia="Times New Roman"/>
                <w:sz w:val="20"/>
              </w:rPr>
              <w:t>Build the minimum raw-to-clean-to-dashboard path first and add advanced marts after the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short recommendation labels and management-friendly dashboards</w:t>
            </w:r>
          </w:p>
        </w:tc>
      </w:tr>
      <w:tr w:rsidR="00BB18A2" w14:paraId="5FD114D6" w14:textId="77777777">
        <w:trPr>
          <w:jc w:val="center"/>
        </w:trPr>
        <w:tc>
          <w:tcPr>
            <w:tcW w:w="3394" w:type="dxa"/>
            <w:vAlign w:val="center"/>
          </w:tcPr>
          <w:p w14:paraId="1E3AC12B" w14:textId="77777777" w:rsidR="00BB18A2" w:rsidRDefault="00000000">
            <w:pPr>
              <w:spacing w:line="276" w:lineRule="auto" w:after="40"/>
              <w:jc w:val="left"/>
            </w:pPr>
            <w:r>
              <w:rPr>
                <w:rFonts w:ascii="Times New Roman" w:hAnsi="Times New Roman" w:eastAsia="Times New Roman" w:cs="Times New Roman"/>
                <w:sz w:val="20"/>
              </w:rPr>
              <w:t>Flexible contracts map a field incorrectly</w:t>
            </w:r>
          </w:p>
        </w:tc>
        <w:tc>
          <w:tcPr>
            <w:tcW w:w="2416" w:type="dxa"/>
            <w:vAlign w:val="center"/>
          </w:tcPr>
          <w:p w14:paraId="4F115042" w14:textId="77777777" w:rsidR="00BB18A2" w:rsidRDefault="00000000">
            <w:pPr>
              <w:spacing w:line="276" w:lineRule="auto" w:after="40"/>
              <w:jc w:val="left"/>
            </w:pPr>
            <w:r>
              <w:rPr>
                <w:rFonts w:ascii="Times New Roman" w:hAnsi="Times New Roman" w:eastAsia="Times New Roman" w:cs="Times New Roman"/>
                <w:sz w:val="20"/>
              </w:rPr>
              <w:t>Analytics may use wrong source meaning</w:t>
            </w:r>
          </w:p>
        </w:tc>
        <w:tc>
          <w:tcPr>
            <w:tcW w:w="3206" w:type="dxa"/>
            <w:vAlign w:val="center"/>
          </w:tcPr>
          <w:p w14:paraId="6640D24F" w14:textId="77777777" w:rsidR="00BB18A2" w:rsidRDefault="00000000">
            <w:pPr>
              <w:spacing w:line="276" w:lineRule="auto" w:after="40"/>
              <w:jc w:val="left"/>
            </w:pPr>
            <w:r>
              <w:rPr>
                <w:rFonts w:ascii="Times New Roman" w:hAnsi="Times New Roman" w:eastAsia="Times New Roman" w:cs="Times New Roman"/>
                <w:sz w:val="20"/>
              </w:rPr>
              <w:t>Store source-to-standard mappings, mapping confidence, and manual review notes in the data quality report</w:t>
            </w:r>
          </w:p>
        </w:tc>
      </w:tr>
    </w:tbl>
    <w:p w14:paraId="73194469" w14:textId="77777777" w:rsidR="0084730D" w:rsidRPr="00335C63" w:rsidRDefault="0084730D" w:rsidP="000F4170">
      <w:pPr>
        <w:spacing w:line="360" w:lineRule="auto" w:after="120"/>
        <w:jc w:val="both"/>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References</w:t>
      </w:r>
    </w:p>
    <w:p w14:paraId="765DE777" w14:textId="77777777" w:rsidR="00BB18A2" w:rsidRDefault="00000000">
      <w:pPr>
        <w:spacing w:line="360" w:lineRule="auto" w:after="120"/>
        <w:jc w:val="both"/>
      </w:pPr>
      <w:r>
        <w:rPr>
          <w:rFonts w:ascii="Times New Roman" w:hAnsi="Times New Roman" w:eastAsia="Times New Roman" w:cs="Times New Roman"/>
          <w:sz w:val="24"/>
        </w:rPr>
        <w:t>Apache Airflow. (2026). Apache Airflow documentation. https://airflow.apache.org/docs/</w:t>
      </w:r>
    </w:p>
    <w:p w14:paraId="0B85A9E2" w14:textId="77777777" w:rsidR="00BB18A2" w:rsidRDefault="00000000">
      <w:pPr>
        <w:spacing w:line="360" w:lineRule="auto" w:after="120"/>
        <w:jc w:val="both"/>
      </w:pPr>
      <w:r>
        <w:rPr>
          <w:rFonts w:ascii="Times New Roman" w:hAnsi="Times New Roman" w:eastAsia="Times New Roman" w:cs="Times New Roman"/>
          <w:sz w:val="24"/>
        </w:rPr>
        <w:t>Apache Airflow. (2026). DAGs. https://airflow.apache.org/docs/apache-airflow/stable/core-concepts/dags.html</w:t>
      </w:r>
    </w:p>
    <w:p w14:paraId="21D2FB13" w14:textId="77777777" w:rsidR="00BB18A2" w:rsidRDefault="00000000">
      <w:pPr>
        <w:spacing w:line="360" w:lineRule="auto" w:after="120"/>
        <w:jc w:val="both"/>
      </w:pPr>
      <w:r>
        <w:rPr>
          <w:rFonts w:ascii="Times New Roman" w:hAnsi="Times New Roman" w:eastAsia="Times New Roman" w:cs="Times New Roman"/>
          <w:sz w:val="24"/>
        </w:rPr>
        <w:t>Apache Superset. (2026). Google BigQuery database support. https://superset.apache.org/user-docs/databases/supported/google-bigquery</w:t>
      </w:r>
    </w:p>
    <w:p w14:paraId="35F6D5AE" w14:textId="77777777" w:rsidR="00BB18A2" w:rsidRDefault="00000000">
      <w:pPr>
        <w:spacing w:line="360" w:lineRule="auto" w:after="120"/>
        <w:jc w:val="both"/>
      </w:pPr>
      <w:r>
        <w:rPr>
          <w:rFonts w:ascii="Times New Roman" w:hAnsi="Times New Roman" w:eastAsia="Times New Roman" w:cs="Times New Roman"/>
          <w:sz w:val="24"/>
        </w:rPr>
        <w:t>Apache Superset. (2026). Introduction to Apache Superset. https://superset.apache.org/user-docs/intro/</w:t>
      </w:r>
    </w:p>
    <w:p w14:paraId="59703C84" w14:textId="77777777" w:rsidR="00BB18A2" w:rsidRDefault="00000000">
      <w:pPr>
        <w:spacing w:line="360" w:lineRule="auto" w:after="120"/>
        <w:jc w:val="both"/>
      </w:pPr>
      <w:r>
        <w:rPr>
          <w:rFonts w:ascii="Times New Roman" w:hAnsi="Times New Roman"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pPr>
        <w:spacing w:line="360" w:lineRule="auto" w:after="120"/>
        <w:jc w:val="both"/>
      </w:pPr>
      <w:r>
        <w:rPr>
          <w:rFonts w:ascii="Times New Roman" w:hAnsi="Times New Roman"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pPr>
        <w:spacing w:line="360" w:lineRule="auto" w:after="120"/>
        <w:jc w:val="both"/>
      </w:pPr>
      <w:r>
        <w:rPr>
          <w:rFonts w:ascii="Times New Roman" w:hAnsi="Times New Roman"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pPr>
        <w:spacing w:line="360" w:lineRule="auto" w:after="120"/>
        <w:jc w:val="both"/>
      </w:pPr>
      <w:r>
        <w:rPr>
          <w:rFonts w:ascii="Times New Roman" w:hAnsi="Times New Roman"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pPr>
        <w:spacing w:line="360" w:lineRule="auto" w:after="120"/>
        <w:jc w:val="both"/>
      </w:pPr>
      <w:r>
        <w:rPr>
          <w:rFonts w:ascii="Times New Roman" w:hAnsi="Times New Roman"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pPr>
        <w:spacing w:line="360" w:lineRule="auto" w:after="120"/>
        <w:jc w:val="both"/>
      </w:pPr>
      <w:r>
        <w:rPr>
          <w:rFonts w:ascii="Times New Roman" w:hAnsi="Times New Roman"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pPr>
        <w:spacing w:line="360" w:lineRule="auto" w:after="120"/>
        <w:jc w:val="both"/>
      </w:pPr>
      <w:r>
        <w:rPr>
          <w:rFonts w:ascii="Times New Roman" w:hAnsi="Times New Roman" w:eastAsia="Times New Roman" w:cs="Times New Roman"/>
          <w:sz w:val="24"/>
        </w:rPr>
        <w:t>dbt Labs. (2026). About dbt documentation. https://docs.getdbt.com/docs/build/documentation</w:t>
      </w:r>
    </w:p>
    <w:p w14:paraId="57688777" w14:textId="77777777" w:rsidR="00BB18A2" w:rsidRDefault="00000000">
      <w:pPr>
        <w:spacing w:line="360" w:lineRule="auto" w:after="120"/>
        <w:jc w:val="both"/>
      </w:pPr>
      <w:r>
        <w:rPr>
          <w:rFonts w:ascii="Times New Roman" w:hAnsi="Times New Roman" w:eastAsia="Times New Roman" w:cs="Times New Roman"/>
          <w:sz w:val="24"/>
        </w:rPr>
        <w:t>dbt Labs. (2026). What is dbt? https://docs.getdbt.com/docs/introduction</w:t>
      </w:r>
    </w:p>
    <w:p w14:paraId="6021C5E8" w14:textId="77777777" w:rsidR="00BB18A2" w:rsidRDefault="00000000">
      <w:pPr>
        <w:spacing w:line="360" w:lineRule="auto" w:after="120"/>
        <w:jc w:val="both"/>
      </w:pPr>
      <w:r>
        <w:rPr>
          <w:rFonts w:ascii="Times New Roman" w:hAnsi="Times New Roman"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pPr>
        <w:spacing w:line="360" w:lineRule="auto" w:after="120"/>
        <w:jc w:val="both"/>
      </w:pPr>
      <w:r>
        <w:rPr>
          <w:rFonts w:ascii="Times New Roman" w:hAnsi="Times New Roman"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pPr>
        <w:spacing w:line="360" w:lineRule="auto" w:after="120"/>
        <w:jc w:val="both"/>
      </w:pPr>
      <w:r>
        <w:rPr>
          <w:rFonts w:ascii="Times New Roman" w:hAnsi="Times New Roman"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pPr>
        <w:spacing w:line="360" w:lineRule="auto" w:after="120"/>
        <w:jc w:val="both"/>
      </w:pPr>
      <w:r>
        <w:rPr>
          <w:rFonts w:ascii="Times New Roman" w:hAnsi="Times New Roman"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pPr>
        <w:spacing w:line="360" w:lineRule="auto" w:after="120"/>
        <w:jc w:val="both"/>
      </w:pPr>
      <w:r>
        <w:rPr>
          <w:rFonts w:ascii="Times New Roman" w:hAnsi="Times New Roman"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pPr>
        <w:spacing w:line="360" w:lineRule="auto" w:after="120"/>
        <w:jc w:val="both"/>
      </w:pPr>
      <w:r>
        <w:rPr>
          <w:rFonts w:ascii="Times New Roman" w:hAnsi="Times New Roman" w:eastAsia="Times New Roman" w:cs="Times New Roman"/>
          <w:sz w:val="24"/>
        </w:rPr>
        <w:t>Google Calendar. (2026). Events: list. https://developers.google.com/workspace/calendar/api/v3/reference/events/list</w:t>
      </w:r>
    </w:p>
    <w:p w14:paraId="4D024030" w14:textId="77777777" w:rsidR="00BB18A2" w:rsidRDefault="00000000">
      <w:pPr>
        <w:spacing w:line="360" w:lineRule="auto" w:after="120"/>
        <w:jc w:val="both"/>
      </w:pPr>
      <w:r>
        <w:rPr>
          <w:rFonts w:ascii="Times New Roman" w:hAnsi="Times New Roman" w:eastAsia="Times New Roman" w:cs="Times New Roman"/>
          <w:sz w:val="24"/>
        </w:rPr>
        <w:t>Google Calendar. (2026). Google Calendar API overview. https://developers.google.com/workspace/calendar/api/guides/overview</w:t>
      </w:r>
    </w:p>
    <w:p w14:paraId="6A655923" w14:textId="77777777" w:rsidR="00BB18A2" w:rsidRDefault="00000000">
      <w:pPr>
        <w:spacing w:line="360" w:lineRule="auto" w:after="120"/>
        <w:jc w:val="both"/>
      </w:pPr>
      <w:r>
        <w:rPr>
          <w:rFonts w:ascii="Times New Roman" w:hAnsi="Times New Roman" w:eastAsia="Times New Roman" w:cs="Times New Roman"/>
          <w:sz w:val="24"/>
        </w:rPr>
        <w:t>Google Cloud. (2026). BigQuery documentation. https://cloud.google.com/bigquery/docs</w:t>
      </w:r>
    </w:p>
    <w:p w14:paraId="4D197C8A" w14:textId="77777777" w:rsidR="00BB18A2" w:rsidRDefault="00000000">
      <w:pPr>
        <w:spacing w:line="360" w:lineRule="auto" w:after="120"/>
        <w:jc w:val="both"/>
      </w:pPr>
      <w:r>
        <w:rPr>
          <w:rFonts w:ascii="Times New Roman" w:hAnsi="Times New Roman" w:eastAsia="Times New Roman" w:cs="Times New Roman"/>
          <w:sz w:val="24"/>
        </w:rPr>
        <w:t>Google Cloud. (2026). Introduction to BigQuery. https://cloud.google.com/bigquery/docs/introduction</w:t>
      </w:r>
    </w:p>
    <w:p w14:paraId="65CB9864" w14:textId="77777777" w:rsidR="00BB18A2" w:rsidRDefault="00000000">
      <w:pPr>
        <w:spacing w:line="360" w:lineRule="auto" w:after="120"/>
        <w:jc w:val="both"/>
      </w:pPr>
      <w:r>
        <w:rPr>
          <w:rFonts w:ascii="Times New Roman" w:hAnsi="Times New Roman"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pPr>
        <w:spacing w:line="360" w:lineRule="auto" w:after="120"/>
        <w:jc w:val="both"/>
      </w:pPr>
      <w:r>
        <w:rPr>
          <w:rFonts w:ascii="Times New Roman" w:hAnsi="Times New Roman"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pPr>
        <w:spacing w:line="360" w:lineRule="auto" w:after="120"/>
        <w:jc w:val="both"/>
      </w:pPr>
      <w:r>
        <w:rPr>
          <w:rFonts w:ascii="Times New Roman" w:hAnsi="Times New Roman"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pPr>
        <w:spacing w:line="360" w:lineRule="auto" w:after="120"/>
        <w:jc w:val="both"/>
      </w:pPr>
      <w:r>
        <w:rPr>
          <w:rFonts w:ascii="Times New Roman" w:hAnsi="Times New Roman"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pPr>
        <w:spacing w:line="360" w:lineRule="auto" w:after="120"/>
        <w:jc w:val="both"/>
      </w:pPr>
      <w:r>
        <w:rPr>
          <w:rFonts w:ascii="Times New Roman" w:hAnsi="Times New Roman"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pPr>
        <w:spacing w:line="360" w:lineRule="auto" w:after="120"/>
        <w:jc w:val="both"/>
      </w:pPr>
      <w:r>
        <w:rPr>
          <w:rFonts w:ascii="Times New Roman" w:hAnsi="Times New Roman"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pPr>
        <w:spacing w:line="360" w:lineRule="auto" w:after="120"/>
        <w:jc w:val="both"/>
      </w:pPr>
      <w:r>
        <w:rPr>
          <w:rFonts w:ascii="Times New Roman" w:hAnsi="Times New Roman" w:eastAsia="Times New Roman" w:cs="Times New Roman"/>
          <w:sz w:val="24"/>
        </w:rPr>
        <w:t>Malaysia OpenAPI. (2026). Weather: Malaysia official Open API. https://developer.data.gov.my/realtime-api/weather</w:t>
      </w:r>
    </w:p>
    <w:p w14:paraId="306CE22B" w14:textId="77777777" w:rsidR="00BB18A2" w:rsidRDefault="00000000">
      <w:pPr>
        <w:spacing w:line="360" w:lineRule="auto" w:after="120"/>
        <w:jc w:val="both"/>
      </w:pPr>
      <w:r>
        <w:rPr>
          <w:rFonts w:ascii="Times New Roman" w:hAnsi="Times New Roman" w:eastAsia="Times New Roman" w:cs="Times New Roman"/>
          <w:sz w:val="24"/>
        </w:rPr>
        <w:t>Malaysian Meteorological Department. (2026). Web Service API. https://api.met.gov.my/</w:t>
      </w:r>
    </w:p>
    <w:p w14:paraId="5C2D4BFC" w14:textId="77777777" w:rsidR="00BB18A2" w:rsidRDefault="00000000">
      <w:pPr>
        <w:spacing w:line="360" w:lineRule="auto" w:after="120"/>
        <w:jc w:val="both"/>
      </w:pPr>
      <w:r>
        <w:rPr>
          <w:rFonts w:ascii="Times New Roman" w:hAnsi="Times New Roman" w:eastAsia="Times New Roman" w:cs="Times New Roman"/>
          <w:sz w:val="24"/>
        </w:rPr>
        <w:t>Marinko, J., Blazica, B., Jorgensen, L. N., Matzen, N., Ramsden, M., &amp; Debeljak, M. (2024).</w:t>
      </w:r>
    </w:p>
    <w:p w14:paraId="50C8DD82" w14:textId="77777777" w:rsidR="00BB18A2" w:rsidRDefault="00000000">
      <w:pPr>
        <w:spacing w:line="360" w:lineRule="auto" w:after="120"/>
        <w:jc w:val="both"/>
      </w:pPr>
      <w:r>
        <w:rPr>
          <w:rFonts w:ascii="Times New Roman" w:hAnsi="Times New Roman"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pPr>
        <w:spacing w:line="360" w:lineRule="auto" w:after="120"/>
        <w:jc w:val="both"/>
      </w:pPr>
      <w:r>
        <w:rPr>
          <w:rFonts w:ascii="Times New Roman" w:hAnsi="Times New Roman" w:eastAsia="Times New Roman" w:cs="Times New Roman"/>
          <w:sz w:val="24"/>
        </w:rPr>
        <w:t>Open-Meteo. (2026). Historical Weather API. https://open-meteo.com/en/docs/historical-weather-api</w:t>
      </w:r>
    </w:p>
    <w:p w14:paraId="613BE1F6" w14:textId="77777777" w:rsidR="00BB18A2" w:rsidRDefault="00000000">
      <w:pPr>
        <w:spacing w:line="360" w:lineRule="auto" w:after="120"/>
        <w:jc w:val="both"/>
      </w:pPr>
      <w:r>
        <w:rPr>
          <w:rFonts w:ascii="Times New Roman" w:hAnsi="Times New Roman" w:eastAsia="Times New Roman" w:cs="Times New Roman"/>
          <w:sz w:val="24"/>
        </w:rPr>
        <w:t>Open-Meteo. (2026). Licence and data sources. https://open-meteo.com/en/licence</w:t>
      </w:r>
    </w:p>
    <w:p w14:paraId="51589493" w14:textId="77777777" w:rsidR="00BB18A2" w:rsidRDefault="00000000">
      <w:pPr>
        <w:spacing w:line="360" w:lineRule="auto" w:after="120"/>
        <w:jc w:val="both"/>
      </w:pPr>
      <w:r>
        <w:rPr>
          <w:rFonts w:ascii="Times New Roman" w:hAnsi="Times New Roman"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pPr>
        <w:spacing w:line="360" w:lineRule="auto" w:after="120"/>
        <w:jc w:val="both"/>
      </w:pPr>
      <w:r>
        <w:rPr>
          <w:rFonts w:ascii="Times New Roman" w:hAnsi="Times New Roman"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pPr>
        <w:spacing w:line="360" w:lineRule="auto" w:after="120"/>
        <w:jc w:val="both"/>
      </w:pPr>
      <w:r>
        <w:rPr>
          <w:rFonts w:ascii="Times New Roman" w:hAnsi="Times New Roman"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pPr>
        <w:spacing w:line="360" w:lineRule="auto" w:after="120"/>
        <w:jc w:val="both"/>
      </w:pPr>
      <w:r>
        <w:rPr>
          <w:rFonts w:ascii="Times New Roman" w:hAnsi="Times New Roman"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pPr>
        <w:spacing w:line="360" w:lineRule="auto" w:after="120"/>
        <w:jc w:val="both"/>
      </w:pPr>
      <w:r>
        <w:rPr>
          <w:rFonts w:ascii="Times New Roman" w:hAnsi="Times New Roman"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pPr>
        <w:spacing w:line="360" w:lineRule="auto" w:after="120"/>
        <w:jc w:val="both"/>
      </w:pPr>
      <w:r>
        <w:rPr>
          <w:rFonts w:ascii="Times New Roman" w:hAnsi="Times New Roman"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pPr>
        <w:spacing w:line="360" w:lineRule="auto" w:after="120"/>
        <w:jc w:val="both"/>
      </w:pPr>
      <w:r>
        <w:rPr>
          <w:rFonts w:ascii="Times New Roman" w:hAnsi="Times New Roman"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pPr>
        <w:spacing w:line="360" w:lineRule="auto" w:after="120"/>
        <w:jc w:val="both"/>
      </w:pPr>
      <w:r>
        <w:rPr>
          <w:rFonts w:ascii="Times New Roman" w:hAnsi="Times New Roman"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pPr>
        <w:spacing w:line="360" w:lineRule="auto" w:after="120"/>
        <w:jc w:val="both"/>
      </w:pPr>
      <w:r>
        <w:rPr>
          <w:rFonts w:ascii="Times New Roman" w:hAnsi="Times New Roman" w:eastAsia="Times New Roman" w:cs="Times New Roman"/>
          <w:sz w:val="24"/>
        </w:rPr>
        <w:t>Zippenfenig, P. (2023). Open-Meteo.com Weather API [Computer software]. Zenodo. https://doi.org/10.5281/zenodo.7970649</w:t>
      </w:r>
    </w:p>
    <w:p>
      <w:pPr>
        <w:pStyle w:val="Heading1"/>
        <w:keepNext/>
        <w:pageBreakBefore/>
        <w:spacing w:line="360" w:lineRule="auto" w:after="120"/>
        <w:jc w:val="left"/>
      </w:pPr>
      <w:r>
        <w:rPr>
          <w:rFonts w:ascii="Times New Roman" w:hAnsi="Times New Roman" w:eastAsia="Times New Roman"/>
          <w:b/>
          <w:color w:val="000000"/>
          <w:sz w:val="24"/>
        </w:rPr>
        <w:t>Appendix A: Data Sources and Planned Use</w:t>
      </w:r>
    </w:p>
    <w:p>
      <w:pPr>
        <w:spacing w:line="360" w:lineRule="auto" w:after="120"/>
        <w:jc w:val="both"/>
      </w:pPr>
      <w:r>
        <w:rPr>
          <w:rFonts w:ascii="Times New Roman" w:hAnsi="Times New Roman" w:eastAsia="Times New Roman"/>
          <w:sz w:val="24"/>
        </w:rPr>
        <w:t>This appendix summarises the data sources expected to be used in CP2. The exact column names are not treated as final in CP1 because the company Google Sheets and Calendar structures may change. CP2 will begin with source profiling and a confirmed data dictionary before loading data into the selected analytics storage platform.</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vAlign w:val="center"/>
            <w:shd w:fill="DCEAF7"/>
            <w:shd w:fill="DCEAF7"/>
          </w:tcPr>
          <w:p>
            <w:pPr>
              <w:spacing w:line="276" w:lineRule="auto" w:after="40"/>
              <w:jc w:val="left"/>
            </w:pPr>
            <w:r>
              <w:rPr>
                <w:rFonts w:ascii="Times New Roman" w:hAnsi="Times New Roman" w:eastAsia="Times New Roman"/>
                <w:b/>
                <w:sz w:val="20"/>
              </w:rPr>
              <w:t>Source</w:t>
            </w:r>
          </w:p>
        </w:tc>
        <w:tc>
          <w:tcPr>
            <w:tcW w:type="dxa" w:w="2256"/>
            <w:vAlign w:val="center"/>
            <w:shd w:fill="DCEAF7"/>
            <w:shd w:fill="DCEAF7"/>
          </w:tcPr>
          <w:p>
            <w:pPr>
              <w:spacing w:line="276" w:lineRule="auto" w:after="40"/>
              <w:jc w:val="left"/>
            </w:pPr>
            <w:r>
              <w:rPr>
                <w:rFonts w:ascii="Times New Roman" w:hAnsi="Times New Roman" w:eastAsia="Times New Roman"/>
                <w:b/>
                <w:sz w:val="20"/>
              </w:rPr>
              <w:t>Expected Content</w:t>
            </w:r>
          </w:p>
        </w:tc>
        <w:tc>
          <w:tcPr>
            <w:tcW w:type="dxa" w:w="2256"/>
            <w:vAlign w:val="center"/>
            <w:shd w:fill="DCEAF7"/>
            <w:shd w:fill="DCEAF7"/>
          </w:tcPr>
          <w:p>
            <w:pPr>
              <w:spacing w:line="276" w:lineRule="auto" w:after="40"/>
              <w:jc w:val="left"/>
            </w:pPr>
            <w:r>
              <w:rPr>
                <w:rFonts w:ascii="Times New Roman" w:hAnsi="Times New Roman" w:eastAsia="Times New Roman"/>
                <w:b/>
                <w:sz w:val="20"/>
              </w:rPr>
              <w:t>Planned Use</w:t>
            </w:r>
          </w:p>
        </w:tc>
        <w:tc>
          <w:tcPr>
            <w:tcW w:type="dxa" w:w="2256"/>
            <w:vAlign w:val="center"/>
            <w:shd w:fill="DCEAF7"/>
            <w:shd w:fill="DCEAF7"/>
          </w:tcPr>
          <w:p>
            <w:pPr>
              <w:spacing w:line="276" w:lineRule="auto" w:after="40"/>
              <w:jc w:val="left"/>
            </w:pPr>
            <w:r>
              <w:rPr>
                <w:rFonts w:ascii="Times New Roman" w:hAnsi="Times New Roman" w:eastAsia="Times New Roman"/>
                <w:b/>
                <w:sz w:val="20"/>
              </w:rPr>
              <w:t>CP2 Confirmation Needed</w:t>
            </w:r>
          </w:p>
        </w:tc>
      </w:tr>
      <w:tr>
        <w:tc>
          <w:tcPr>
            <w:tcW w:type="dxa" w:w="2256"/>
            <w:vAlign w:val="center"/>
          </w:tcPr>
          <w:p>
            <w:pPr>
              <w:spacing w:line="276" w:lineRule="auto" w:after="40"/>
              <w:jc w:val="left"/>
            </w:pPr>
            <w:r>
              <w:rPr>
                <w:rFonts w:ascii="Times New Roman" w:hAnsi="Times New Roman" w:eastAsia="Times New Roman"/>
                <w:sz w:val="20"/>
              </w:rPr>
              <w:t>Google Sheets / CSV exports</w:t>
            </w:r>
          </w:p>
        </w:tc>
        <w:tc>
          <w:tcPr>
            <w:tcW w:type="dxa" w:w="2256"/>
            <w:vAlign w:val="center"/>
          </w:tcPr>
          <w:p>
            <w:pPr>
              <w:spacing w:line="276" w:lineRule="auto" w:after="40"/>
              <w:jc w:val="left"/>
            </w:pPr>
            <w:r>
              <w:rPr>
                <w:rFonts w:ascii="Times New Roman" w:hAnsi="Times New Roman" w:eastAsia="Times New Roman"/>
                <w:sz w:val="20"/>
              </w:rPr>
              <w:t>Prospects, service records, sales, payments, payment links, warranty claims, refunds, and upsell records.</w:t>
            </w:r>
          </w:p>
        </w:tc>
        <w:tc>
          <w:tcPr>
            <w:tcW w:type="dxa" w:w="2256"/>
            <w:vAlign w:val="center"/>
          </w:tcPr>
          <w:p>
            <w:pPr>
              <w:spacing w:line="276" w:lineRule="auto" w:after="40"/>
              <w:jc w:val="left"/>
            </w:pPr>
            <w:r>
              <w:rPr>
                <w:rFonts w:ascii="Times New Roman" w:hAnsi="Times New Roman" w:eastAsia="Times New Roman"/>
                <w:sz w:val="20"/>
              </w:rPr>
              <w:t>Main operational data for service, revenue, warranty, refund, upsell, and funnel analytics.</w:t>
            </w:r>
          </w:p>
        </w:tc>
        <w:tc>
          <w:tcPr>
            <w:tcW w:type="dxa" w:w="2256"/>
            <w:vAlign w:val="center"/>
          </w:tcPr>
          <w:p>
            <w:pPr>
              <w:spacing w:line="276" w:lineRule="auto" w:after="40"/>
              <w:jc w:val="left"/>
            </w:pPr>
            <w:r>
              <w:rPr>
                <w:rFonts w:ascii="Times New Roman" w:hAnsi="Times New Roman" w:eastAsia="Times New Roman"/>
                <w:sz w:val="20"/>
              </w:rPr>
              <w:t>Confirm sheet tabs, column names, required fields, aliases, duplicate rules, and update frequency.</w:t>
            </w:r>
          </w:p>
        </w:tc>
      </w:tr>
      <w:tr>
        <w:tc>
          <w:tcPr>
            <w:tcW w:type="dxa" w:w="2256"/>
            <w:vAlign w:val="center"/>
          </w:tcPr>
          <w:p>
            <w:pPr>
              <w:spacing w:line="276" w:lineRule="auto" w:after="40"/>
              <w:jc w:val="left"/>
            </w:pPr>
            <w:r>
              <w:rPr>
                <w:rFonts w:ascii="Times New Roman" w:hAnsi="Times New Roman" w:eastAsia="Times New Roman"/>
                <w:sz w:val="20"/>
              </w:rPr>
              <w:t>Google Calendar</w:t>
            </w:r>
          </w:p>
        </w:tc>
        <w:tc>
          <w:tcPr>
            <w:tcW w:type="dxa" w:w="2256"/>
            <w:vAlign w:val="center"/>
          </w:tcPr>
          <w:p>
            <w:pPr>
              <w:spacing w:line="276" w:lineRule="auto" w:after="40"/>
              <w:jc w:val="left"/>
            </w:pPr>
            <w:r>
              <w:rPr>
                <w:rFonts w:ascii="Times New Roman" w:hAnsi="Times New Roman" w:eastAsia="Times New Roman"/>
                <w:sz w:val="20"/>
              </w:rPr>
              <w:t>Team schedules, event titles/descriptions, start/end times, session type clues, area/team information.</w:t>
            </w:r>
          </w:p>
        </w:tc>
        <w:tc>
          <w:tcPr>
            <w:tcW w:type="dxa" w:w="2256"/>
            <w:vAlign w:val="center"/>
          </w:tcPr>
          <w:p>
            <w:pPr>
              <w:spacing w:line="276" w:lineRule="auto" w:after="40"/>
              <w:jc w:val="left"/>
            </w:pPr>
            <w:r>
              <w:rPr>
                <w:rFonts w:ascii="Times New Roman" w:hAnsi="Times New Roman" w:eastAsia="Times New Roman"/>
                <w:sz w:val="20"/>
              </w:rPr>
              <w:t>Scheduling capacity, warranty/extra/new session split, session gaps, and technician/team workload context.</w:t>
            </w:r>
          </w:p>
        </w:tc>
        <w:tc>
          <w:tcPr>
            <w:tcW w:type="dxa" w:w="2256"/>
            <w:vAlign w:val="center"/>
          </w:tcPr>
          <w:p>
            <w:pPr>
              <w:spacing w:line="276" w:lineRule="auto" w:after="40"/>
              <w:jc w:val="left"/>
            </w:pPr>
            <w:r>
              <w:rPr>
                <w:rFonts w:ascii="Times New Roman" w:hAnsi="Times New Roman" w:eastAsia="Times New Roman"/>
                <w:sz w:val="20"/>
              </w:rPr>
              <w:t>Confirm which calendars are accessible, how event descriptions are formatted, and how reliably events can match services.</w:t>
            </w:r>
          </w:p>
        </w:tc>
      </w:tr>
      <w:tr>
        <w:tc>
          <w:tcPr>
            <w:tcW w:type="dxa" w:w="2256"/>
            <w:vAlign w:val="center"/>
          </w:tcPr>
          <w:p>
            <w:pPr>
              <w:spacing w:line="276" w:lineRule="auto" w:after="40"/>
              <w:jc w:val="left"/>
            </w:pPr>
            <w:r>
              <w:rPr>
                <w:rFonts w:ascii="Times New Roman" w:hAnsi="Times New Roman" w:eastAsia="Times New Roman"/>
                <w:sz w:val="20"/>
              </w:rPr>
              <w:t>Weather APIs / files</w:t>
            </w:r>
          </w:p>
        </w:tc>
        <w:tc>
          <w:tcPr>
            <w:tcW w:type="dxa" w:w="2256"/>
            <w:vAlign w:val="center"/>
          </w:tcPr>
          <w:p>
            <w:pPr>
              <w:spacing w:line="276" w:lineRule="auto" w:after="40"/>
              <w:jc w:val="left"/>
            </w:pPr>
            <w:r>
              <w:rPr>
                <w:rFonts w:ascii="Times New Roman" w:hAnsi="Times New Roman" w:eastAsia="Times New Roman"/>
                <w:sz w:val="20"/>
              </w:rPr>
              <w:t>Historical rainfall, humidity, temperature, and optional flood/current warning indicators.</w:t>
            </w:r>
          </w:p>
        </w:tc>
        <w:tc>
          <w:tcPr>
            <w:tcW w:type="dxa" w:w="2256"/>
            <w:vAlign w:val="center"/>
          </w:tcPr>
          <w:p>
            <w:pPr>
              <w:spacing w:line="276" w:lineRule="auto" w:after="40"/>
              <w:jc w:val="left"/>
            </w:pPr>
            <w:r>
              <w:rPr>
                <w:rFonts w:ascii="Times New Roman" w:hAnsi="Times New Roman" w:eastAsia="Times New Roman"/>
                <w:sz w:val="20"/>
              </w:rPr>
              <w:t>Weather-associated risk indicators and service-date enrichment.</w:t>
            </w:r>
          </w:p>
        </w:tc>
        <w:tc>
          <w:tcPr>
            <w:tcW w:type="dxa" w:w="2256"/>
            <w:vAlign w:val="center"/>
          </w:tcPr>
          <w:p>
            <w:pPr>
              <w:spacing w:line="276" w:lineRule="auto" w:after="40"/>
              <w:jc w:val="left"/>
            </w:pPr>
            <w:r>
              <w:rPr>
                <w:rFonts w:ascii="Times New Roman" w:hAnsi="Times New Roman" w:eastAsia="Times New Roman"/>
                <w:sz w:val="20"/>
              </w:rPr>
              <w:t>Confirm area/postcode coordinate coverage, API variables, missing-weather handling, and warning-source availability.</w:t>
            </w:r>
          </w:p>
        </w:tc>
      </w:tr>
      <w:tr>
        <w:tc>
          <w:tcPr>
            <w:tcW w:type="dxa" w:w="2256"/>
            <w:vAlign w:val="center"/>
          </w:tcPr>
          <w:p>
            <w:pPr>
              <w:spacing w:line="276" w:lineRule="auto" w:after="40"/>
              <w:jc w:val="left"/>
            </w:pPr>
            <w:r>
              <w:rPr>
                <w:rFonts w:ascii="Times New Roman" w:hAnsi="Times New Roman" w:eastAsia="Times New Roman"/>
                <w:sz w:val="20"/>
              </w:rPr>
              <w:t>Manual review inputs</w:t>
            </w:r>
          </w:p>
        </w:tc>
        <w:tc>
          <w:tcPr>
            <w:tcW w:type="dxa" w:w="2256"/>
            <w:vAlign w:val="center"/>
          </w:tcPr>
          <w:p>
            <w:pPr>
              <w:spacing w:line="276" w:lineRule="auto" w:after="40"/>
              <w:jc w:val="left"/>
            </w:pPr>
            <w:r>
              <w:rPr>
                <w:rFonts w:ascii="Times New Roman" w:hAnsi="Times New Roman" w:eastAsia="Times New Roman"/>
                <w:sz w:val="20"/>
              </w:rPr>
              <w:t>Manager notes, suspected warranty factors, review priority, and evidence notes where available.</w:t>
            </w:r>
          </w:p>
        </w:tc>
        <w:tc>
          <w:tcPr>
            <w:tcW w:type="dxa" w:w="2256"/>
            <w:vAlign w:val="center"/>
          </w:tcPr>
          <w:p>
            <w:pPr>
              <w:spacing w:line="276" w:lineRule="auto" w:after="40"/>
              <w:jc w:val="left"/>
            </w:pPr>
            <w:r>
              <w:rPr>
                <w:rFonts w:ascii="Times New Roman" w:hAnsi="Times New Roman" w:eastAsia="Times New Roman"/>
                <w:sz w:val="20"/>
              </w:rPr>
              <w:t>Improve warranty factor grouping and recommendation explanations.</w:t>
            </w:r>
          </w:p>
        </w:tc>
        <w:tc>
          <w:tcPr>
            <w:tcW w:type="dxa" w:w="2256"/>
            <w:vAlign w:val="center"/>
          </w:tcPr>
          <w:p>
            <w:pPr>
              <w:spacing w:line="276" w:lineRule="auto" w:after="40"/>
              <w:jc w:val="left"/>
            </w:pPr>
            <w:r>
              <w:rPr>
                <w:rFonts w:ascii="Times New Roman" w:hAnsi="Times New Roman" w:eastAsia="Times New Roman"/>
                <w:sz w:val="20"/>
              </w:rPr>
              <w:t>Confirm whether the company can add these fields consistently in CP2.</w:t>
            </w:r>
          </w:p>
        </w:tc>
      </w:tr>
    </w:tbl>
    <w:p>
      <w:pPr>
        <w:pStyle w:val="Heading1"/>
        <w:keepNext/>
        <w:pageBreakBefore/>
        <w:spacing w:line="360" w:lineRule="auto" w:after="120"/>
        <w:jc w:val="left"/>
      </w:pPr>
      <w:r>
        <w:rPr>
          <w:rFonts w:ascii="Times New Roman" w:hAnsi="Times New Roman" w:eastAsia="Times New Roman"/>
          <w:b/>
          <w:color w:val="000000"/>
          <w:sz w:val="24"/>
        </w:rPr>
        <w:t>Appendix B: Planned Dashboard Outputs</w:t>
      </w:r>
    </w:p>
    <w:p>
      <w:pPr>
        <w:spacing w:line="360" w:lineRule="auto" w:after="120"/>
        <w:jc w:val="both"/>
      </w:pPr>
      <w:r>
        <w:rPr>
          <w:rFonts w:ascii="Times New Roman" w:hAnsi="Times New Roman" w:eastAsia="Times New Roman"/>
          <w:sz w:val="24"/>
        </w:rPr>
        <w:t>This appendix describes the planned dashboard outputs as business questions rather than fixed screens. The final dashboard design may be adjusted after data profiling and user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40"/>
              <w:jc w:val="left"/>
            </w:pPr>
            <w:r>
              <w:rPr>
                <w:rFonts w:ascii="Times New Roman" w:hAnsi="Times New Roman" w:eastAsia="Times New Roman"/>
                <w:b/>
                <w:sz w:val="20"/>
              </w:rPr>
              <w:t>Business Question</w:t>
            </w:r>
          </w:p>
        </w:tc>
        <w:tc>
          <w:tcPr>
            <w:tcW w:type="dxa" w:w="3009"/>
            <w:vAlign w:val="center"/>
            <w:shd w:fill="DCEAF7"/>
            <w:shd w:fill="DCEAF7"/>
          </w:tcPr>
          <w:p>
            <w:pPr>
              <w:spacing w:line="276" w:lineRule="auto" w:after="40"/>
              <w:jc w:val="left"/>
            </w:pPr>
            <w:r>
              <w:rPr>
                <w:rFonts w:ascii="Times New Roman" w:hAnsi="Times New Roman" w:eastAsia="Times New Roman"/>
                <w:b/>
                <w:sz w:val="20"/>
              </w:rPr>
              <w:t>Planned Dashboard Output</w:t>
            </w:r>
          </w:p>
        </w:tc>
        <w:tc>
          <w:tcPr>
            <w:tcW w:type="dxa" w:w="3009"/>
            <w:vAlign w:val="center"/>
            <w:shd w:fill="DCEAF7"/>
            <w:shd w:fill="DCEAF7"/>
          </w:tcPr>
          <w:p>
            <w:pPr>
              <w:spacing w:line="276" w:lineRule="auto" w:after="40"/>
              <w:jc w:val="left"/>
            </w:pPr>
            <w:r>
              <w:rPr>
                <w:rFonts w:ascii="Times New Roman" w:hAnsi="Times New Roman" w:eastAsia="Times New Roman"/>
                <w:b/>
                <w:sz w:val="20"/>
              </w:rPr>
              <w:t>Notes</w:t>
            </w:r>
          </w:p>
        </w:tc>
      </w:tr>
      <w:tr>
        <w:tc>
          <w:tcPr>
            <w:tcW w:type="dxa" w:w="3009"/>
            <w:vAlign w:val="center"/>
          </w:tcPr>
          <w:p>
            <w:pPr>
              <w:spacing w:line="276" w:lineRule="auto" w:after="40"/>
              <w:jc w:val="left"/>
            </w:pPr>
            <w:r>
              <w:rPr>
                <w:rFonts w:ascii="Times New Roman" w:hAnsi="Times New Roman" w:eastAsia="Times New Roman"/>
                <w:sz w:val="20"/>
              </w:rPr>
              <w:t>What is happening in the business?</w:t>
            </w:r>
          </w:p>
        </w:tc>
        <w:tc>
          <w:tcPr>
            <w:tcW w:type="dxa" w:w="3009"/>
            <w:vAlign w:val="center"/>
          </w:tcPr>
          <w:p>
            <w:pPr>
              <w:spacing w:line="276" w:lineRule="auto" w:after="40"/>
              <w:jc w:val="left"/>
            </w:pPr>
            <w:r>
              <w:rPr>
                <w:rFonts w:ascii="Times New Roman" w:hAnsi="Times New Roman" w:eastAsia="Times New Roman"/>
                <w:sz w:val="20"/>
              </w:rPr>
              <w:t>Executive summary with services, revenue, claims, refunds, upsell, refresh status, and day/week/month trends.</w:t>
            </w:r>
          </w:p>
        </w:tc>
        <w:tc>
          <w:tcPr>
            <w:tcW w:type="dxa" w:w="3009"/>
            <w:vAlign w:val="center"/>
          </w:tcPr>
          <w:p>
            <w:pPr>
              <w:spacing w:line="276" w:lineRule="auto" w:after="40"/>
              <w:jc w:val="left"/>
            </w:pPr>
            <w:r>
              <w:rPr>
                <w:rFonts w:ascii="Times New Roman" w:hAnsi="Times New Roman" w:eastAsia="Times New Roman"/>
                <w:sz w:val="20"/>
              </w:rPr>
              <w:t>Uses cleaned Gold-layer metrics only.</w:t>
            </w:r>
          </w:p>
        </w:tc>
      </w:tr>
      <w:tr>
        <w:tc>
          <w:tcPr>
            <w:tcW w:type="dxa" w:w="3009"/>
            <w:vAlign w:val="center"/>
          </w:tcPr>
          <w:p>
            <w:pPr>
              <w:spacing w:line="276" w:lineRule="auto" w:after="40"/>
              <w:jc w:val="left"/>
            </w:pPr>
            <w:r>
              <w:rPr>
                <w:rFonts w:ascii="Times New Roman" w:hAnsi="Times New Roman" w:eastAsia="Times New Roman"/>
                <w:sz w:val="20"/>
              </w:rPr>
              <w:t>Which areas require closer monitoring?</w:t>
            </w:r>
          </w:p>
        </w:tc>
        <w:tc>
          <w:tcPr>
            <w:tcW w:type="dxa" w:w="3009"/>
            <w:vAlign w:val="center"/>
          </w:tcPr>
          <w:p>
            <w:pPr>
              <w:spacing w:line="276" w:lineRule="auto" w:after="40"/>
              <w:jc w:val="left"/>
            </w:pPr>
            <w:r>
              <w:rPr>
                <w:rFonts w:ascii="Times New Roman" w:hAnsi="Times New Roman" w:eastAsia="Times New Roman"/>
                <w:sz w:val="20"/>
              </w:rPr>
              <w:t>Area and weather-associated risk map/table showing pest volume, repeat rate, warranty/refund indicators, and weather windows.</w:t>
            </w:r>
          </w:p>
        </w:tc>
        <w:tc>
          <w:tcPr>
            <w:tcW w:type="dxa" w:w="3009"/>
            <w:vAlign w:val="center"/>
          </w:tcPr>
          <w:p>
            <w:pPr>
              <w:spacing w:line="276" w:lineRule="auto" w:after="40"/>
              <w:jc w:val="left"/>
            </w:pPr>
            <w:r>
              <w:rPr>
                <w:rFonts w:ascii="Times New Roman" w:hAnsi="Times New Roman" w:eastAsia="Times New Roman"/>
                <w:sz w:val="20"/>
              </w:rPr>
              <w:t>Uses association wording, not weather causation.</w:t>
            </w:r>
          </w:p>
        </w:tc>
      </w:tr>
      <w:tr>
        <w:tc>
          <w:tcPr>
            <w:tcW w:type="dxa" w:w="3009"/>
            <w:vAlign w:val="center"/>
          </w:tcPr>
          <w:p>
            <w:pPr>
              <w:spacing w:line="276" w:lineRule="auto" w:after="40"/>
              <w:jc w:val="left"/>
            </w:pPr>
            <w:r>
              <w:rPr>
                <w:rFonts w:ascii="Times New Roman" w:hAnsi="Times New Roman" w:eastAsia="Times New Roman"/>
                <w:sz w:val="20"/>
              </w:rPr>
              <w:t>Which services are harder to resolve?</w:t>
            </w:r>
          </w:p>
        </w:tc>
        <w:tc>
          <w:tcPr>
            <w:tcW w:type="dxa" w:w="3009"/>
            <w:vAlign w:val="center"/>
          </w:tcPr>
          <w:p>
            <w:pPr>
              <w:spacing w:line="276" w:lineRule="auto" w:after="40"/>
              <w:jc w:val="left"/>
            </w:pPr>
            <w:r>
              <w:rPr>
                <w:rFonts w:ascii="Times New Roman" w:hAnsi="Times New Roman" w:eastAsia="Times New Roman"/>
                <w:sz w:val="20"/>
              </w:rPr>
              <w:t>Treatment difficulty ranking by area, pest type, package, and team where the data supports it.</w:t>
            </w:r>
          </w:p>
        </w:tc>
        <w:tc>
          <w:tcPr>
            <w:tcW w:type="dxa" w:w="3009"/>
            <w:vAlign w:val="center"/>
          </w:tcPr>
          <w:p>
            <w:pPr>
              <w:spacing w:line="276" w:lineRule="auto" w:after="40"/>
              <w:jc w:val="left"/>
            </w:pPr>
            <w:r>
              <w:rPr>
                <w:rFonts w:ascii="Times New Roman" w:hAnsi="Times New Roman" w:eastAsia="Times New Roman"/>
                <w:sz w:val="20"/>
              </w:rPr>
              <w:t>Presented as planning support, not a blame score.</w:t>
            </w:r>
          </w:p>
        </w:tc>
      </w:tr>
      <w:tr>
        <w:tc>
          <w:tcPr>
            <w:tcW w:type="dxa" w:w="3009"/>
            <w:vAlign w:val="center"/>
          </w:tcPr>
          <w:p>
            <w:pPr>
              <w:spacing w:line="276" w:lineRule="auto" w:after="40"/>
              <w:jc w:val="left"/>
            </w:pPr>
            <w:r>
              <w:rPr>
                <w:rFonts w:ascii="Times New Roman" w:hAnsi="Times New Roman" w:eastAsia="Times New Roman"/>
                <w:sz w:val="20"/>
              </w:rPr>
              <w:t>When do repeat problems occur?</w:t>
            </w:r>
          </w:p>
        </w:tc>
        <w:tc>
          <w:tcPr>
            <w:tcW w:type="dxa" w:w="3009"/>
            <w:vAlign w:val="center"/>
          </w:tcPr>
          <w:p>
            <w:pPr>
              <w:spacing w:line="276" w:lineRule="auto" w:after="40"/>
              <w:jc w:val="left"/>
            </w:pPr>
            <w:r>
              <w:rPr>
                <w:rFonts w:ascii="Times New Roman" w:hAnsi="Times New Roman" w:eastAsia="Times New Roman"/>
                <w:sz w:val="20"/>
              </w:rPr>
              <w:t>Recurrence window analysis and hotspot view using service-to-claim or service-to-extra-session timing.</w:t>
            </w:r>
          </w:p>
        </w:tc>
        <w:tc>
          <w:tcPr>
            <w:tcW w:type="dxa" w:w="3009"/>
            <w:vAlign w:val="center"/>
          </w:tcPr>
          <w:p>
            <w:pPr>
              <w:spacing w:line="276" w:lineRule="auto" w:after="40"/>
              <w:jc w:val="left"/>
            </w:pPr>
            <w:r>
              <w:rPr>
                <w:rFonts w:ascii="Times New Roman" w:hAnsi="Times New Roman" w:eastAsia="Times New Roman"/>
                <w:sz w:val="20"/>
              </w:rPr>
              <w:t>Requires usable dates and matching confidence.</w:t>
            </w:r>
          </w:p>
        </w:tc>
      </w:tr>
      <w:tr>
        <w:tc>
          <w:tcPr>
            <w:tcW w:type="dxa" w:w="3009"/>
            <w:vAlign w:val="center"/>
          </w:tcPr>
          <w:p>
            <w:pPr>
              <w:spacing w:line="276" w:lineRule="auto" w:after="40"/>
              <w:jc w:val="left"/>
            </w:pPr>
            <w:r>
              <w:rPr>
                <w:rFonts w:ascii="Times New Roman" w:hAnsi="Times New Roman" w:eastAsia="Times New Roman"/>
                <w:sz w:val="20"/>
              </w:rPr>
              <w:t>Which upsell packages fit which customer groups?</w:t>
            </w:r>
          </w:p>
        </w:tc>
        <w:tc>
          <w:tcPr>
            <w:tcW w:type="dxa" w:w="3009"/>
            <w:vAlign w:val="center"/>
          </w:tcPr>
          <w:p>
            <w:pPr>
              <w:spacing w:line="276" w:lineRule="auto" w:after="40"/>
              <w:jc w:val="left"/>
            </w:pPr>
            <w:r>
              <w:rPr>
                <w:rFonts w:ascii="Times New Roman" w:hAnsi="Times New Roman" w:eastAsia="Times New Roman"/>
                <w:sz w:val="20"/>
              </w:rPr>
              <w:t>Upsell package effectiveness and package-fit matrix based on accepted/purchased records and payment timing.</w:t>
            </w:r>
          </w:p>
        </w:tc>
        <w:tc>
          <w:tcPr>
            <w:tcW w:type="dxa" w:w="3009"/>
            <w:vAlign w:val="center"/>
          </w:tcPr>
          <w:p>
            <w:pPr>
              <w:spacing w:line="276" w:lineRule="auto" w:after="40"/>
              <w:jc w:val="left"/>
            </w:pPr>
            <w:r>
              <w:rPr>
                <w:rFonts w:ascii="Times New Roman" w:hAnsi="Times New Roman" w:eastAsia="Times New Roman"/>
                <w:sz w:val="20"/>
              </w:rPr>
              <w:t>True prediction requires rejected/no-response offer data.</w:t>
            </w:r>
          </w:p>
        </w:tc>
      </w:tr>
      <w:tr>
        <w:tc>
          <w:tcPr>
            <w:tcW w:type="dxa" w:w="3009"/>
            <w:vAlign w:val="center"/>
          </w:tcPr>
          <w:p>
            <w:pPr>
              <w:spacing w:line="276" w:lineRule="auto" w:after="40"/>
              <w:jc w:val="left"/>
            </w:pPr>
            <w:r>
              <w:rPr>
                <w:rFonts w:ascii="Times New Roman" w:hAnsi="Times New Roman" w:eastAsia="Times New Roman"/>
                <w:sz w:val="20"/>
              </w:rPr>
              <w:t>Can management trust the dashboard?</w:t>
            </w:r>
          </w:p>
        </w:tc>
        <w:tc>
          <w:tcPr>
            <w:tcW w:type="dxa" w:w="3009"/>
            <w:vAlign w:val="center"/>
          </w:tcPr>
          <w:p>
            <w:pPr>
              <w:spacing w:line="276" w:lineRule="auto" w:after="40"/>
              <w:jc w:val="left"/>
            </w:pPr>
            <w:r>
              <w:rPr>
                <w:rFonts w:ascii="Times New Roman" w:hAnsi="Times New Roman" w:eastAsia="Times New Roman"/>
                <w:sz w:val="20"/>
              </w:rPr>
              <w:t>Data quality and refresh dashboard showing missing values, duplicates, invalid dates, unmatched records, and latest pipeline status.</w:t>
            </w:r>
          </w:p>
        </w:tc>
        <w:tc>
          <w:tcPr>
            <w:tcW w:type="dxa" w:w="3009"/>
            <w:vAlign w:val="center"/>
          </w:tcPr>
          <w:p>
            <w:pPr>
              <w:spacing w:line="276" w:lineRule="auto" w:after="40"/>
              <w:jc w:val="left"/>
            </w:pPr>
            <w:r>
              <w:rPr>
                <w:rFonts w:ascii="Times New Roman" w:hAnsi="Times New Roman" w:eastAsia="Times New Roman"/>
                <w:sz w:val="20"/>
              </w:rPr>
              <w:t>This is a core feature, not just a technical appendix.</w:t>
            </w:r>
          </w:p>
        </w:tc>
      </w:tr>
    </w:tbl>
    <w:p>
      <w:pPr>
        <w:pStyle w:val="Heading1"/>
        <w:keepNext/>
        <w:pageBreakBefore/>
        <w:spacing w:line="360" w:lineRule="auto" w:after="120"/>
        <w:jc w:val="left"/>
      </w:pPr>
      <w:r>
        <w:rPr>
          <w:rFonts w:ascii="Times New Roman" w:hAnsi="Times New Roman" w:eastAsia="Times New Roman"/>
          <w:b/>
          <w:color w:val="000000"/>
          <w:sz w:val="24"/>
        </w:rPr>
        <w:t>Appendix C: Proposed Logical Warehouse Design</w:t>
      </w:r>
    </w:p>
    <w:p>
      <w:pPr>
        <w:spacing w:line="360" w:lineRule="auto" w:after="120"/>
        <w:jc w:val="both"/>
      </w:pPr>
      <w:r>
        <w:rPr>
          <w:rFonts w:ascii="Times New Roman" w:hAnsi="Times New Roman" w:eastAsia="Times New Roman"/>
          <w:sz w:val="24"/>
        </w:rPr>
        <w:t>This appendix gives a high-level logical warehouse design only. It should not be read as a final database schema. The final storage platform, tables, fields, and joins will be confirmed in CP2 after source profiling, data cleaning tests, feasibility checks, and supervisor/company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40"/>
              <w:jc w:val="left"/>
            </w:pPr>
            <w:r>
              <w:rPr>
                <w:rFonts w:ascii="Times New Roman" w:hAnsi="Times New Roman" w:eastAsia="Times New Roman"/>
                <w:b/>
                <w:sz w:val="20"/>
              </w:rPr>
              <w:t>Layer</w:t>
            </w:r>
          </w:p>
        </w:tc>
        <w:tc>
          <w:tcPr>
            <w:tcW w:type="dxa" w:w="3009"/>
            <w:vAlign w:val="center"/>
            <w:shd w:fill="DCEAF7"/>
            <w:shd w:fill="DCEAF7"/>
          </w:tcPr>
          <w:p>
            <w:pPr>
              <w:spacing w:line="276" w:lineRule="auto" w:after="40"/>
              <w:jc w:val="left"/>
            </w:pPr>
            <w:r>
              <w:rPr>
                <w:rFonts w:ascii="Times New Roman" w:hAnsi="Times New Roman" w:eastAsia="Times New Roman"/>
                <w:b/>
                <w:sz w:val="20"/>
              </w:rPr>
              <w:t>Purpose</w:t>
            </w:r>
          </w:p>
        </w:tc>
        <w:tc>
          <w:tcPr>
            <w:tcW w:type="dxa" w:w="3009"/>
            <w:vAlign w:val="center"/>
            <w:shd w:fill="DCEAF7"/>
            <w:shd w:fill="DCEAF7"/>
          </w:tcPr>
          <w:p>
            <w:pPr>
              <w:spacing w:line="276" w:lineRule="auto" w:after="40"/>
              <w:jc w:val="left"/>
            </w:pPr>
            <w:r>
              <w:rPr>
                <w:rFonts w:ascii="Times New Roman" w:hAnsi="Times New Roman" w:eastAsia="Times New Roman"/>
                <w:b/>
                <w:sz w:val="20"/>
              </w:rPr>
              <w:t>Example Output</w:t>
            </w:r>
          </w:p>
        </w:tc>
      </w:tr>
      <w:tr>
        <w:tc>
          <w:tcPr>
            <w:tcW w:type="dxa" w:w="3009"/>
            <w:vAlign w:val="center"/>
          </w:tcPr>
          <w:p>
            <w:pPr>
              <w:spacing w:line="276" w:lineRule="auto" w:after="40"/>
              <w:jc w:val="left"/>
            </w:pPr>
            <w:r>
              <w:rPr>
                <w:rFonts w:ascii="Times New Roman" w:hAnsi="Times New Roman" w:eastAsia="Times New Roman"/>
                <w:sz w:val="20"/>
              </w:rPr>
              <w:t>Bronze</w:t>
            </w:r>
          </w:p>
        </w:tc>
        <w:tc>
          <w:tcPr>
            <w:tcW w:type="dxa" w:w="3009"/>
            <w:vAlign w:val="center"/>
          </w:tcPr>
          <w:p>
            <w:pPr>
              <w:spacing w:line="276" w:lineRule="auto" w:after="40"/>
              <w:jc w:val="left"/>
            </w:pPr>
            <w:r>
              <w:rPr>
                <w:rFonts w:ascii="Times New Roman" w:hAnsi="Times New Roman" w:eastAsia="Times New Roman"/>
                <w:sz w:val="20"/>
              </w:rPr>
              <w:t>Store raw imported records with source name, load time, and row-level metadata.</w:t>
            </w:r>
          </w:p>
        </w:tc>
        <w:tc>
          <w:tcPr>
            <w:tcW w:type="dxa" w:w="3009"/>
            <w:vAlign w:val="center"/>
          </w:tcPr>
          <w:p>
            <w:pPr>
              <w:spacing w:line="276" w:lineRule="auto" w:after="40"/>
              <w:jc w:val="left"/>
            </w:pPr>
            <w:r>
              <w:rPr>
                <w:rFonts w:ascii="Times New Roman" w:hAnsi="Times New Roman" w:eastAsia="Times New Roman"/>
                <w:sz w:val="20"/>
              </w:rPr>
              <w:t>Raw snapshots from Sheets, Calendar, CSV/Excel, and weather sources.</w:t>
            </w:r>
          </w:p>
        </w:tc>
      </w:tr>
      <w:tr>
        <w:tc>
          <w:tcPr>
            <w:tcW w:type="dxa" w:w="3009"/>
            <w:vAlign w:val="center"/>
          </w:tcPr>
          <w:p>
            <w:pPr>
              <w:spacing w:line="276" w:lineRule="auto" w:after="40"/>
              <w:jc w:val="left"/>
            </w:pPr>
            <w:r>
              <w:rPr>
                <w:rFonts w:ascii="Times New Roman" w:hAnsi="Times New Roman" w:eastAsia="Times New Roman"/>
                <w:sz w:val="20"/>
              </w:rPr>
              <w:t>Silver</w:t>
            </w:r>
          </w:p>
        </w:tc>
        <w:tc>
          <w:tcPr>
            <w:tcW w:type="dxa" w:w="3009"/>
            <w:vAlign w:val="center"/>
          </w:tcPr>
          <w:p>
            <w:pPr>
              <w:spacing w:line="276" w:lineRule="auto" w:after="40"/>
              <w:jc w:val="left"/>
            </w:pPr>
            <w:r>
              <w:rPr>
                <w:rFonts w:ascii="Times New Roman" w:hAnsi="Times New Roman" w:eastAsia="Times New Roman"/>
                <w:sz w:val="20"/>
              </w:rPr>
              <w:t>Standardise cleaned business entities and events after validation.</w:t>
            </w:r>
          </w:p>
        </w:tc>
        <w:tc>
          <w:tcPr>
            <w:tcW w:type="dxa" w:w="3009"/>
            <w:vAlign w:val="center"/>
          </w:tcPr>
          <w:p>
            <w:pPr>
              <w:spacing w:line="276" w:lineRule="auto" w:after="40"/>
              <w:jc w:val="left"/>
            </w:pPr>
            <w:r>
              <w:rPr>
                <w:rFonts w:ascii="Times New Roman" w:hAnsi="Times New Roman" w:eastAsia="Times New Roman"/>
                <w:sz w:val="20"/>
              </w:rPr>
              <w:t>Cleaned service, customer, payment, warranty, refund, upsell, calendar, area, and weather records.</w:t>
            </w:r>
          </w:p>
        </w:tc>
      </w:tr>
      <w:tr>
        <w:tc>
          <w:tcPr>
            <w:tcW w:type="dxa" w:w="3009"/>
            <w:vAlign w:val="center"/>
          </w:tcPr>
          <w:p>
            <w:pPr>
              <w:spacing w:line="276" w:lineRule="auto" w:after="40"/>
              <w:jc w:val="left"/>
            </w:pPr>
            <w:r>
              <w:rPr>
                <w:rFonts w:ascii="Times New Roman" w:hAnsi="Times New Roman" w:eastAsia="Times New Roman"/>
                <w:sz w:val="20"/>
              </w:rPr>
              <w:t>Gold</w:t>
            </w:r>
          </w:p>
        </w:tc>
        <w:tc>
          <w:tcPr>
            <w:tcW w:type="dxa" w:w="3009"/>
            <w:vAlign w:val="center"/>
          </w:tcPr>
          <w:p>
            <w:pPr>
              <w:spacing w:line="276" w:lineRule="auto" w:after="40"/>
              <w:jc w:val="left"/>
            </w:pPr>
            <w:r>
              <w:rPr>
                <w:rFonts w:ascii="Times New Roman" w:hAnsi="Times New Roman" w:eastAsia="Times New Roman"/>
                <w:sz w:val="20"/>
              </w:rPr>
              <w:t>Prepare dashboard-ready metrics and analytics outputs.</w:t>
            </w:r>
          </w:p>
        </w:tc>
        <w:tc>
          <w:tcPr>
            <w:tcW w:type="dxa" w:w="3009"/>
            <w:vAlign w:val="center"/>
          </w:tcPr>
          <w:p>
            <w:pPr>
              <w:spacing w:line="276" w:lineRule="auto" w:after="40"/>
              <w:jc w:val="left"/>
            </w:pPr>
            <w:r>
              <w:rPr>
                <w:rFonts w:ascii="Times New Roman" w:hAnsi="Times New Roman" w:eastAsia="Times New Roman"/>
                <w:sz w:val="20"/>
              </w:rPr>
              <w:t>Executive KPIs, treatment difficulty, recurrence windows, hotspots, upsell fit, area risk, and recommendation log.</w:t>
            </w:r>
          </w:p>
        </w:tc>
      </w:tr>
      <w:tr>
        <w:tc>
          <w:tcPr>
            <w:tcW w:type="dxa" w:w="3009"/>
            <w:vAlign w:val="center"/>
          </w:tcPr>
          <w:p>
            <w:pPr>
              <w:spacing w:line="276" w:lineRule="auto" w:after="40"/>
              <w:jc w:val="left"/>
            </w:pPr>
            <w:r>
              <w:rPr>
                <w:rFonts w:ascii="Times New Roman" w:hAnsi="Times New Roman" w:eastAsia="Times New Roman"/>
                <w:sz w:val="20"/>
              </w:rPr>
              <w:t>Quality and audit</w:t>
            </w:r>
          </w:p>
        </w:tc>
        <w:tc>
          <w:tcPr>
            <w:tcW w:type="dxa" w:w="3009"/>
            <w:vAlign w:val="center"/>
          </w:tcPr>
          <w:p>
            <w:pPr>
              <w:spacing w:line="276" w:lineRule="auto" w:after="40"/>
              <w:jc w:val="left"/>
            </w:pPr>
            <w:r>
              <w:rPr>
                <w:rFonts w:ascii="Times New Roman" w:hAnsi="Times New Roman" w:eastAsia="Times New Roman"/>
                <w:sz w:val="20"/>
              </w:rPr>
              <w:t>Track whether the pipeline and data are trustworthy.</w:t>
            </w:r>
          </w:p>
        </w:tc>
        <w:tc>
          <w:tcPr>
            <w:tcW w:type="dxa" w:w="3009"/>
            <w:vAlign w:val="center"/>
          </w:tcPr>
          <w:p>
            <w:pPr>
              <w:spacing w:line="276" w:lineRule="auto" w:after="40"/>
              <w:jc w:val="left"/>
            </w:pPr>
            <w:r>
              <w:rPr>
                <w:rFonts w:ascii="Times New Roman" w:hAnsi="Times New Roman" w:eastAsia="Times New Roman"/>
                <w:sz w:val="20"/>
              </w:rPr>
              <w:t>Data quality report, source contract status, match confidence, refresh status, and dbt/Airflow run logs.</w:t>
            </w:r>
          </w:p>
        </w:tc>
      </w:tr>
      <w:tr>
        <w:tc>
          <w:tcPr>
            <w:tcW w:type="dxa" w:w="3009"/>
            <w:vAlign w:val="center"/>
          </w:tcPr>
          <w:p>
            <w:pPr>
              <w:spacing w:line="276" w:lineRule="auto" w:after="40"/>
              <w:jc w:val="left"/>
            </w:pPr>
            <w:r>
              <w:rPr>
                <w:rFonts w:ascii="Times New Roman" w:hAnsi="Times New Roman" w:eastAsia="Times New Roman"/>
                <w:sz w:val="20"/>
              </w:rPr>
              <w:t>Privacy/reporting views</w:t>
            </w:r>
          </w:p>
        </w:tc>
        <w:tc>
          <w:tcPr>
            <w:tcW w:type="dxa" w:w="3009"/>
            <w:vAlign w:val="center"/>
          </w:tcPr>
          <w:p>
            <w:pPr>
              <w:spacing w:line="276" w:lineRule="auto" w:after="40"/>
              <w:jc w:val="left"/>
            </w:pPr>
            <w:r>
              <w:rPr>
                <w:rFonts w:ascii="Times New Roman" w:hAnsi="Times New Roman" w:eastAsia="Times New Roman"/>
                <w:sz w:val="20"/>
              </w:rPr>
              <w:t>Provide anonymised outputs for academic and management reporting.</w:t>
            </w:r>
          </w:p>
        </w:tc>
        <w:tc>
          <w:tcPr>
            <w:tcW w:type="dxa" w:w="3009"/>
            <w:vAlign w:val="center"/>
          </w:tcPr>
          <w:p>
            <w:pPr>
              <w:spacing w:line="276" w:lineRule="auto" w:after="40"/>
              <w:jc w:val="left"/>
            </w:pPr>
            <w:r>
              <w:rPr>
                <w:rFonts w:ascii="Times New Roman" w:hAnsi="Times New Roman" w:eastAsia="Times New Roman"/>
                <w:sz w:val="20"/>
              </w:rPr>
              <w:t>Customer IDs and area/postcode-level location instead of names, phone numbers, emails, or full addresses.</w:t>
            </w:r>
          </w:p>
        </w:tc>
      </w:tr>
    </w:tbl>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spacing w:line="240" w:lineRule="auto" w:after="0"/>
      <w:jc w:val="center"/>
      <w:rPr>
        <w:color w:val="5A636E"/>
        <w:sz w:val="18"/>
      </w:rPr>
    </w:pPr>
  </w:p>
  <w:p w14:paraId="60BD35FF" w14:textId="77777777" w:rsidR="0084730D" w:rsidRDefault="00357319">
    <w:pPr>
      <w:pStyle w:val="Footer"/>
      <w:spacing w:line="240" w:lineRule="auto" w:after="0"/>
      <w:jc w:val="center"/>
    </w:pPr>
    <w:r>
      <w:rPr>
        <w:rFonts w:ascii="Times New Roman" w:hAnsi="Times New Roman" w:eastAsia="Times New Roman"/>
        <w:color w:val="5A636E"/>
        <w:sz w:val="18"/>
      </w:rPr>
      <w:t xml:space="preserve">Capstone </w:t>
    </w:r>
    <w:r w:rsidR="009656FF">
      <w:rPr>
        <w:rFonts w:ascii="Times New Roman" w:hAnsi="Times New Roman" w:eastAsia="Times New Roman"/>
        <w:color w:val="5A636E"/>
        <w:sz w:val="18"/>
      </w:rPr>
      <w:t xml:space="preserve">Project 1 </w:t>
    </w:r>
    <w:r>
      <w:rPr>
        <w:rFonts w:ascii="Times New Roman" w:hAnsi="Times New Roman" w:eastAsia="Times New Roman"/>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line="360" w:lineRule="auto" w:after="120"/>
      <w:jc w:val="left"/>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left"/>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Times New Roman" w:hAnsi="Times New Roman" w:eastAsia="Times New Roman"/>
      <w:color w:val="0000FF" w:themeColor="hyperlink"/>
      <w:u w:val="single"/>
    </w:rPr>
  </w:style>
  <w:style w:type="character" w:styleId="UnresolvedMention">
    <w:name w:val="Unresolved Mention"/>
    <w:basedOn w:val="DefaultParagraphFont"/>
    <w:uiPriority w:val="99"/>
    <w:semiHidden/>
    <w:unhideWhenUsed/>
    <w:rsid w:val="00737E62"/>
    <w:rPr>
      <w:rFonts w:ascii="Times New Roman" w:hAnsi="Times New Roman" w:eastAsia="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