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EE67" w14:textId="77777777" w:rsidR="00BE26A8" w:rsidRPr="00335C63" w:rsidRDefault="00BE26A8" w:rsidP="000F4170">
      <w:pPr>
        <w:spacing w:line="360" w:lineRule="auto"/>
        <w:jc w:val="center"/>
        <w:rPr>
          <w:rFonts w:ascii="Times New Roman" w:eastAsia="DengXian" w:hAnsi="Times New Roman" w:cs="Times New Roman"/>
          <w:b/>
          <w:noProof/>
          <w:kern w:val="20"/>
          <w:sz w:val="24"/>
          <w:szCs w:val="24"/>
          <w:lang w:val="en-MY" w:eastAsia="en-MY"/>
        </w:rPr>
      </w:pPr>
    </w:p>
    <w:p w14:paraId="6A20B956" w14:textId="77777777" w:rsidR="00BE26A8" w:rsidRPr="000F4170" w:rsidRDefault="00BE26A8" w:rsidP="000F4170">
      <w:pPr>
        <w:spacing w:line="360" w:lineRule="auto"/>
        <w:jc w:val="center"/>
        <w:rPr>
          <w:rFonts w:ascii="Times New Roman" w:eastAsia="DengXian" w:hAnsi="Times New Roman" w:cs="Times New Roman"/>
          <w:b/>
          <w:noProof/>
          <w:kern w:val="20"/>
          <w:sz w:val="28"/>
          <w:szCs w:val="28"/>
          <w:lang w:val="en-MY" w:eastAsia="en-MY"/>
        </w:rPr>
      </w:pPr>
      <w:r w:rsidRPr="000F4170">
        <w:rPr>
          <w:rFonts w:ascii="Times New Roman" w:eastAsia="DengXian" w:hAnsi="Times New Roman" w:cs="Times New Roman"/>
          <w:b/>
          <w:noProof/>
          <w:kern w:val="20"/>
          <w:sz w:val="28"/>
          <w:szCs w:val="28"/>
          <w:lang w:val="en-MY" w:eastAsia="en-MY"/>
        </w:rPr>
        <w:t>CAPSTONE PROJECT 1</w:t>
      </w:r>
    </w:p>
    <w:p w14:paraId="4B41C455" w14:textId="022229A0" w:rsidR="00BE26A8" w:rsidRPr="000F4170" w:rsidRDefault="00BE26A8" w:rsidP="000F4170">
      <w:pPr>
        <w:spacing w:line="360" w:lineRule="auto"/>
        <w:jc w:val="center"/>
        <w:rPr>
          <w:rFonts w:ascii="Times New Roman" w:eastAsia="DengXian" w:hAnsi="Times New Roman" w:cs="Times New Roman"/>
          <w:b/>
          <w:noProof/>
          <w:kern w:val="20"/>
          <w:sz w:val="28"/>
          <w:szCs w:val="28"/>
          <w:lang w:val="en-MY" w:eastAsia="en-MY"/>
        </w:rPr>
      </w:pPr>
      <w:r w:rsidRPr="000F4170">
        <w:rPr>
          <w:rFonts w:ascii="Times New Roman" w:eastAsia="DengXian" w:hAnsi="Times New Roman" w:cs="Times New Roman"/>
          <w:b/>
          <w:noProof/>
          <w:kern w:val="20"/>
          <w:sz w:val="28"/>
          <w:szCs w:val="28"/>
          <w:lang w:val="en-MY" w:eastAsia="en-MY"/>
        </w:rPr>
        <w:t>Proposal</w:t>
      </w:r>
    </w:p>
    <w:p w14:paraId="3515C7DF" w14:textId="77777777" w:rsidR="00BE26A8" w:rsidRPr="00335C63" w:rsidRDefault="00BE26A8" w:rsidP="000F4170">
      <w:pPr>
        <w:spacing w:line="360" w:lineRule="auto"/>
        <w:jc w:val="center"/>
        <w:rPr>
          <w:rFonts w:ascii="Times New Roman" w:eastAsia="DengXian" w:hAnsi="Times New Roman" w:cs="Times New Roman"/>
          <w:b/>
          <w:kern w:val="20"/>
          <w:sz w:val="24"/>
          <w:szCs w:val="24"/>
          <w:lang w:val="en-MY" w:eastAsia="zh-CN"/>
        </w:rPr>
      </w:pPr>
    </w:p>
    <w:p w14:paraId="6005D1B3" w14:textId="41CB670E" w:rsidR="00BE26A8" w:rsidRPr="000F4170" w:rsidRDefault="00BE26A8" w:rsidP="000F4170">
      <w:pPr>
        <w:spacing w:line="360" w:lineRule="auto"/>
        <w:jc w:val="center"/>
        <w:rPr>
          <w:rFonts w:ascii="Times New Roman" w:eastAsia="DengXian" w:hAnsi="Times New Roman" w:cs="Times New Roman"/>
          <w:bCs/>
          <w:kern w:val="20"/>
          <w:sz w:val="24"/>
          <w:szCs w:val="24"/>
          <w:lang w:val="en-MY" w:eastAsia="zh-CN"/>
        </w:rPr>
      </w:pPr>
      <w:r w:rsidRPr="000F4170">
        <w:rPr>
          <w:rFonts w:ascii="Times New Roman" w:eastAsia="DengXian" w:hAnsi="Times New Roman" w:cs="Times New Roman"/>
          <w:bCs/>
          <w:kern w:val="20"/>
          <w:sz w:val="24"/>
          <w:szCs w:val="24"/>
          <w:lang w:val="en-MY" w:eastAsia="zh-CN"/>
        </w:rPr>
        <w:t>Project Title</w:t>
      </w:r>
    </w:p>
    <w:p w14:paraId="1B5A90C2" w14:textId="77777777" w:rsidR="00BE26A8" w:rsidRPr="00335C63" w:rsidRDefault="00BE26A8" w:rsidP="000F4170">
      <w:pPr>
        <w:spacing w:line="360" w:lineRule="auto"/>
        <w:jc w:val="center"/>
        <w:rPr>
          <w:rFonts w:ascii="Times New Roman" w:eastAsia="DengXian" w:hAnsi="Times New Roman" w:cs="Times New Roman"/>
          <w:b/>
          <w:bCs/>
          <w:kern w:val="20"/>
          <w:sz w:val="24"/>
          <w:szCs w:val="24"/>
          <w:lang w:val="en-MY" w:eastAsia="zh-CN"/>
        </w:rPr>
      </w:pPr>
      <w:r w:rsidRPr="00335C63">
        <w:rPr>
          <w:rFonts w:ascii="Times New Roman" w:eastAsia="DengXian" w:hAnsi="Times New Roman" w:cs="Times New Roman"/>
          <w:b/>
          <w:bCs/>
          <w:kern w:val="20"/>
          <w:sz w:val="24"/>
          <w:szCs w:val="24"/>
          <w:lang w:val="en-MY" w:eastAsia="zh-CN"/>
        </w:rPr>
        <w:t>Machine Learning-Based Spatial-Temporal Analytics for Pest Recurrence and Optimization of Pest Control Operations</w:t>
      </w:r>
    </w:p>
    <w:p w14:paraId="3725873C" w14:textId="77777777" w:rsidR="00BE26A8" w:rsidRPr="00335C63" w:rsidRDefault="00BE26A8" w:rsidP="000F4170">
      <w:pPr>
        <w:spacing w:line="360" w:lineRule="auto"/>
        <w:jc w:val="center"/>
        <w:rPr>
          <w:rFonts w:ascii="Times New Roman" w:eastAsia="DengXian" w:hAnsi="Times New Roman" w:cs="Times New Roman"/>
          <w:b/>
          <w:bCs/>
          <w:kern w:val="20"/>
          <w:sz w:val="24"/>
          <w:szCs w:val="24"/>
          <w:lang w:val="en-MY" w:eastAsia="zh-CN"/>
        </w:rPr>
      </w:pPr>
    </w:p>
    <w:p w14:paraId="1C8AEF23" w14:textId="32C87474" w:rsidR="00BE26A8" w:rsidRPr="000F4170" w:rsidRDefault="00BE26A8" w:rsidP="000F4170">
      <w:pPr>
        <w:spacing w:line="360" w:lineRule="auto"/>
        <w:jc w:val="center"/>
        <w:rPr>
          <w:rFonts w:ascii="Times New Roman" w:eastAsia="DengXian" w:hAnsi="Times New Roman" w:cs="Times New Roman"/>
          <w:kern w:val="20"/>
          <w:sz w:val="24"/>
          <w:szCs w:val="24"/>
          <w:lang w:val="en-MY" w:eastAsia="zh-CN"/>
        </w:rPr>
      </w:pPr>
      <w:r w:rsidRPr="000F4170">
        <w:rPr>
          <w:rFonts w:ascii="Times New Roman" w:eastAsia="DengXian" w:hAnsi="Times New Roman" w:cs="Times New Roman"/>
          <w:kern w:val="20"/>
          <w:sz w:val="24"/>
          <w:szCs w:val="24"/>
          <w:lang w:val="en-MY" w:eastAsia="zh-CN"/>
        </w:rPr>
        <w:t>By</w:t>
      </w:r>
    </w:p>
    <w:p w14:paraId="4549D2E7" w14:textId="5997CB67" w:rsidR="00BE26A8" w:rsidRPr="00335C63" w:rsidRDefault="00BE26A8" w:rsidP="000F4170">
      <w:pPr>
        <w:spacing w:line="360" w:lineRule="auto"/>
        <w:jc w:val="center"/>
        <w:rPr>
          <w:rFonts w:ascii="Times New Roman" w:eastAsia="DengXian" w:hAnsi="Times New Roman" w:cs="Times New Roman"/>
          <w:b/>
          <w:bCs/>
          <w:kern w:val="20"/>
          <w:sz w:val="24"/>
          <w:szCs w:val="24"/>
          <w:lang w:val="en-MY" w:eastAsia="zh-CN"/>
        </w:rPr>
      </w:pPr>
      <w:r w:rsidRPr="00335C63">
        <w:rPr>
          <w:rFonts w:ascii="Times New Roman" w:eastAsia="DengXian" w:hAnsi="Times New Roman" w:cs="Times New Roman"/>
          <w:b/>
          <w:bCs/>
          <w:kern w:val="20"/>
          <w:sz w:val="24"/>
          <w:szCs w:val="24"/>
          <w:lang w:val="en-MY" w:eastAsia="zh-CN"/>
        </w:rPr>
        <w:t>Thevesh A/L Chandran</w:t>
      </w:r>
    </w:p>
    <w:p w14:paraId="57F865D3" w14:textId="4F2861EE" w:rsidR="00BE26A8" w:rsidRPr="00335C63" w:rsidRDefault="00BE26A8" w:rsidP="000F4170">
      <w:pPr>
        <w:spacing w:line="360" w:lineRule="auto"/>
        <w:jc w:val="center"/>
        <w:rPr>
          <w:rFonts w:ascii="Times New Roman" w:eastAsia="DengXian" w:hAnsi="Times New Roman" w:cs="Times New Roman"/>
          <w:b/>
          <w:bCs/>
          <w:kern w:val="20"/>
          <w:sz w:val="24"/>
          <w:szCs w:val="24"/>
          <w:lang w:val="en-MY" w:eastAsia="zh-CN"/>
        </w:rPr>
      </w:pPr>
      <w:r w:rsidRPr="00335C63">
        <w:rPr>
          <w:rFonts w:ascii="Times New Roman" w:eastAsia="DengXian" w:hAnsi="Times New Roman" w:cs="Times New Roman"/>
          <w:b/>
          <w:bCs/>
          <w:kern w:val="20"/>
          <w:sz w:val="24"/>
          <w:szCs w:val="24"/>
          <w:lang w:val="en-MY" w:eastAsia="zh-CN"/>
        </w:rPr>
        <w:t>24017717</w:t>
      </w:r>
    </w:p>
    <w:p w14:paraId="03893538" w14:textId="77777777" w:rsidR="00BE26A8" w:rsidRPr="00335C63" w:rsidRDefault="00BE26A8" w:rsidP="000F4170">
      <w:pPr>
        <w:spacing w:line="360" w:lineRule="auto"/>
        <w:jc w:val="center"/>
        <w:rPr>
          <w:rFonts w:ascii="Times New Roman" w:eastAsia="DengXian" w:hAnsi="Times New Roman" w:cs="Times New Roman"/>
          <w:b/>
          <w:bCs/>
          <w:kern w:val="20"/>
          <w:sz w:val="24"/>
          <w:szCs w:val="24"/>
          <w:lang w:val="en-MY" w:eastAsia="zh-CN"/>
        </w:rPr>
      </w:pPr>
    </w:p>
    <w:p w14:paraId="6F673674" w14:textId="51793C5C" w:rsidR="00BE26A8" w:rsidRPr="000F4170" w:rsidRDefault="00BE26A8" w:rsidP="000F4170">
      <w:pPr>
        <w:spacing w:line="360" w:lineRule="auto"/>
        <w:jc w:val="center"/>
        <w:rPr>
          <w:rFonts w:ascii="Times New Roman" w:eastAsia="Arial" w:hAnsi="Times New Roman" w:cs="Times New Roman"/>
          <w:b/>
          <w:bCs/>
          <w:sz w:val="24"/>
          <w:szCs w:val="24"/>
          <w:lang w:val="en" w:eastAsia="en-GB"/>
        </w:rPr>
      </w:pPr>
      <w:r w:rsidRPr="000F4170">
        <w:rPr>
          <w:rFonts w:ascii="Times New Roman" w:eastAsia="Arial" w:hAnsi="Times New Roman" w:cs="Times New Roman"/>
          <w:b/>
          <w:bCs/>
          <w:sz w:val="24"/>
          <w:szCs w:val="24"/>
          <w:lang w:val="en" w:eastAsia="en-GB"/>
        </w:rPr>
        <w:t>Program Name</w:t>
      </w:r>
    </w:p>
    <w:p w14:paraId="250D938A" w14:textId="433E0DDA" w:rsidR="00BE26A8" w:rsidRPr="00335C63" w:rsidRDefault="00BE26A8" w:rsidP="000F4170">
      <w:pPr>
        <w:spacing w:line="360" w:lineRule="auto"/>
        <w:jc w:val="center"/>
        <w:rPr>
          <w:rFonts w:ascii="Times New Roman" w:eastAsia="DengXian" w:hAnsi="Times New Roman" w:cs="Times New Roman"/>
          <w:b/>
          <w:bCs/>
          <w:kern w:val="20"/>
          <w:sz w:val="24"/>
          <w:szCs w:val="24"/>
          <w:lang w:val="en-MY" w:eastAsia="zh-CN"/>
        </w:rPr>
      </w:pPr>
      <w:r w:rsidRPr="00335C63">
        <w:rPr>
          <w:rFonts w:ascii="Times New Roman" w:eastAsia="Arial" w:hAnsi="Times New Roman" w:cs="Times New Roman"/>
          <w:b/>
          <w:bCs/>
          <w:sz w:val="24"/>
          <w:szCs w:val="24"/>
          <w:lang w:val="en" w:eastAsia="en-GB"/>
        </w:rPr>
        <w:t>Bachelor of Information Systems Honours (Data Analytics)</w:t>
      </w:r>
    </w:p>
    <w:p w14:paraId="680DB5F6" w14:textId="77777777" w:rsidR="00BE26A8" w:rsidRPr="00335C63" w:rsidRDefault="00BE26A8" w:rsidP="000F4170">
      <w:pPr>
        <w:spacing w:line="360" w:lineRule="auto"/>
        <w:jc w:val="center"/>
        <w:rPr>
          <w:rFonts w:ascii="Times New Roman" w:eastAsia="DengXian" w:hAnsi="Times New Roman" w:cs="Times New Roman"/>
          <w:b/>
          <w:sz w:val="24"/>
          <w:szCs w:val="24"/>
          <w:lang w:val="en-MY" w:eastAsia="zh-CN"/>
        </w:rPr>
      </w:pPr>
    </w:p>
    <w:p w14:paraId="04AC829B" w14:textId="2C65A219" w:rsidR="00BE26A8" w:rsidRPr="000F4170" w:rsidRDefault="00BE26A8" w:rsidP="000F4170">
      <w:pPr>
        <w:spacing w:line="360" w:lineRule="auto"/>
        <w:jc w:val="center"/>
        <w:rPr>
          <w:rFonts w:ascii="Times New Roman" w:eastAsia="Times New Roman" w:hAnsi="Times New Roman" w:cs="Times New Roman"/>
          <w:b/>
          <w:bCs/>
          <w:sz w:val="24"/>
          <w:szCs w:val="24"/>
          <w:lang w:val="en" w:eastAsia="en-GB"/>
        </w:rPr>
      </w:pPr>
      <w:r w:rsidRPr="000F4170">
        <w:rPr>
          <w:rFonts w:ascii="Times New Roman" w:eastAsia="Times New Roman" w:hAnsi="Times New Roman" w:cs="Times New Roman"/>
          <w:b/>
          <w:bCs/>
          <w:sz w:val="24"/>
          <w:szCs w:val="24"/>
          <w:lang w:val="en" w:eastAsia="en-GB"/>
        </w:rPr>
        <w:t>Supervisor</w:t>
      </w:r>
    </w:p>
    <w:p w14:paraId="64616DBE" w14:textId="6961A345" w:rsidR="00BE26A8" w:rsidRPr="00AC6BFC" w:rsidRDefault="00BE26A8" w:rsidP="000F4170">
      <w:pPr>
        <w:spacing w:line="360" w:lineRule="auto"/>
        <w:jc w:val="center"/>
        <w:rPr>
          <w:rFonts w:ascii="Times New Roman" w:eastAsia="Times New Roman" w:hAnsi="Times New Roman" w:cs="Times New Roman"/>
          <w:b/>
          <w:bCs/>
          <w:sz w:val="24"/>
          <w:szCs w:val="24"/>
          <w:lang w:val="en" w:eastAsia="en-GB"/>
        </w:rPr>
      </w:pPr>
      <w:r w:rsidRPr="00335C63">
        <w:rPr>
          <w:rFonts w:ascii="Times New Roman" w:hAnsi="Times New Roman" w:cs="Times New Roman"/>
          <w:b/>
          <w:bCs/>
          <w:sz w:val="24"/>
          <w:szCs w:val="24"/>
        </w:rPr>
        <w:t>FARIS SYAHMI SAMIDI</w:t>
      </w:r>
    </w:p>
    <w:p w14:paraId="71D60B54" w14:textId="77777777" w:rsidR="00BE26A8" w:rsidRDefault="00BE26A8" w:rsidP="000F4170">
      <w:pPr>
        <w:spacing w:line="360" w:lineRule="auto"/>
        <w:jc w:val="center"/>
        <w:rPr>
          <w:rFonts w:ascii="Times New Roman" w:eastAsia="Times New Roman" w:hAnsi="Times New Roman" w:cs="Times New Roman"/>
          <w:sz w:val="24"/>
          <w:szCs w:val="24"/>
          <w:lang w:val="en" w:eastAsia="en-GB"/>
        </w:rPr>
      </w:pPr>
    </w:p>
    <w:p w14:paraId="2EF9EFBE" w14:textId="77777777" w:rsidR="00552BF9" w:rsidRPr="00335C63" w:rsidRDefault="00552BF9" w:rsidP="000F4170">
      <w:pPr>
        <w:spacing w:line="360" w:lineRule="auto"/>
        <w:jc w:val="center"/>
        <w:rPr>
          <w:rFonts w:ascii="Times New Roman" w:eastAsia="Times New Roman" w:hAnsi="Times New Roman" w:cs="Times New Roman"/>
          <w:sz w:val="24"/>
          <w:szCs w:val="24"/>
          <w:lang w:val="en" w:eastAsia="en-GB"/>
        </w:rPr>
      </w:pPr>
    </w:p>
    <w:p w14:paraId="08BC0784" w14:textId="011F8F48" w:rsidR="00BE26A8" w:rsidRPr="00335C63" w:rsidRDefault="00BE26A8" w:rsidP="000F4170">
      <w:pPr>
        <w:spacing w:line="360" w:lineRule="auto"/>
        <w:jc w:val="center"/>
        <w:rPr>
          <w:rFonts w:ascii="Times New Roman" w:eastAsia="Times New Roman" w:hAnsi="Times New Roman" w:cs="Times New Roman"/>
          <w:sz w:val="24"/>
          <w:szCs w:val="24"/>
          <w:lang w:val="en" w:eastAsia="en-GB"/>
        </w:rPr>
      </w:pPr>
      <w:r w:rsidRPr="00335C63">
        <w:rPr>
          <w:rFonts w:ascii="Times New Roman" w:eastAsia="Times New Roman" w:hAnsi="Times New Roman" w:cs="Times New Roman"/>
          <w:sz w:val="24"/>
          <w:szCs w:val="24"/>
          <w:lang w:val="en" w:eastAsia="en-GB"/>
        </w:rPr>
        <w:t>Semester: April 2026</w:t>
      </w:r>
    </w:p>
    <w:p w14:paraId="3078FF3D" w14:textId="2E661E7E" w:rsidR="00BE26A8" w:rsidRPr="00335C63" w:rsidRDefault="00BE26A8" w:rsidP="000F4170">
      <w:pPr>
        <w:spacing w:line="360" w:lineRule="auto"/>
        <w:jc w:val="center"/>
        <w:rPr>
          <w:rFonts w:ascii="Times New Roman" w:eastAsia="Arial" w:hAnsi="Times New Roman" w:cs="Times New Roman"/>
          <w:sz w:val="24"/>
          <w:szCs w:val="24"/>
          <w:lang w:val="en" w:eastAsia="en-GB"/>
        </w:rPr>
      </w:pPr>
      <w:r w:rsidRPr="00335C63">
        <w:rPr>
          <w:rFonts w:ascii="Times New Roman" w:eastAsia="Times New Roman" w:hAnsi="Times New Roman" w:cs="Times New Roman"/>
          <w:sz w:val="24"/>
          <w:szCs w:val="24"/>
          <w:lang w:val="en" w:eastAsia="en-GB"/>
        </w:rPr>
        <w:t xml:space="preserve">Date: </w:t>
      </w:r>
      <w:r w:rsidR="00891518">
        <w:rPr>
          <w:rFonts w:ascii="Times New Roman" w:eastAsia="Times New Roman" w:hAnsi="Times New Roman" w:cs="Times New Roman"/>
          <w:noProof/>
          <w:sz w:val="24"/>
          <w:szCs w:val="24"/>
          <w:lang w:val="en-MY" w:eastAsia="en-GB"/>
        </w:rPr>
        <w:t>23 June, 2026</w:t>
      </w:r>
    </w:p>
    <w:p w14:paraId="031EE0E5" w14:textId="77777777" w:rsidR="00BE26A8" w:rsidRDefault="00BE26A8" w:rsidP="000F4170">
      <w:pPr>
        <w:spacing w:line="360" w:lineRule="auto"/>
        <w:jc w:val="center"/>
        <w:rPr>
          <w:rFonts w:ascii="Times New Roman" w:eastAsia="Times New Roman" w:hAnsi="Times New Roman" w:cs="Times New Roman"/>
          <w:sz w:val="24"/>
          <w:szCs w:val="24"/>
          <w:lang w:val="en" w:eastAsia="en-GB"/>
        </w:rPr>
      </w:pPr>
    </w:p>
    <w:p w14:paraId="1FA2E076" w14:textId="77777777" w:rsidR="00552BF9" w:rsidRPr="00335C63" w:rsidRDefault="00552BF9" w:rsidP="000F4170">
      <w:pPr>
        <w:spacing w:line="360" w:lineRule="auto"/>
        <w:jc w:val="center"/>
        <w:rPr>
          <w:rFonts w:ascii="Times New Roman" w:eastAsia="Times New Roman" w:hAnsi="Times New Roman" w:cs="Times New Roman"/>
          <w:sz w:val="24"/>
          <w:szCs w:val="24"/>
          <w:lang w:val="en" w:eastAsia="en-GB"/>
        </w:rPr>
      </w:pPr>
    </w:p>
    <w:p w14:paraId="0D9C3849" w14:textId="77777777" w:rsidR="00BE26A8" w:rsidRPr="00335C63" w:rsidRDefault="00BE26A8" w:rsidP="000F4170">
      <w:pPr>
        <w:spacing w:line="360" w:lineRule="auto"/>
        <w:jc w:val="center"/>
        <w:rPr>
          <w:rFonts w:ascii="Times New Roman" w:eastAsia="Times New Roman" w:hAnsi="Times New Roman" w:cs="Times New Roman"/>
          <w:sz w:val="24"/>
          <w:szCs w:val="24"/>
          <w:lang w:val="en" w:eastAsia="en-GB"/>
        </w:rPr>
      </w:pPr>
      <w:r w:rsidRPr="00335C63">
        <w:rPr>
          <w:rFonts w:ascii="Times New Roman" w:eastAsia="Times New Roman" w:hAnsi="Times New Roman" w:cs="Times New Roman"/>
          <w:sz w:val="24"/>
          <w:szCs w:val="24"/>
          <w:lang w:val="en" w:eastAsia="en-GB"/>
        </w:rPr>
        <w:t>School of Computing and Artificial Intelligence</w:t>
      </w:r>
    </w:p>
    <w:p w14:paraId="3D280D14" w14:textId="77777777" w:rsidR="00BE26A8" w:rsidRPr="00335C63" w:rsidRDefault="00BE26A8" w:rsidP="000F4170">
      <w:pPr>
        <w:spacing w:line="360" w:lineRule="auto"/>
        <w:jc w:val="center"/>
        <w:rPr>
          <w:rFonts w:ascii="Times New Roman" w:eastAsia="Times New Roman" w:hAnsi="Times New Roman" w:cs="Times New Roman"/>
          <w:sz w:val="24"/>
          <w:szCs w:val="24"/>
          <w:lang w:val="en" w:eastAsia="en-GB"/>
        </w:rPr>
      </w:pPr>
      <w:r w:rsidRPr="00335C63">
        <w:rPr>
          <w:rFonts w:ascii="Times New Roman" w:eastAsia="Times New Roman" w:hAnsi="Times New Roman" w:cs="Times New Roman"/>
          <w:sz w:val="24"/>
          <w:szCs w:val="24"/>
          <w:lang w:val="en" w:eastAsia="en-GB"/>
        </w:rPr>
        <w:t>Faculty of Engineering and Technology</w:t>
      </w:r>
    </w:p>
    <w:p w14:paraId="0B02B0A4" w14:textId="7DEC0122" w:rsidR="00E9478E" w:rsidRPr="00335C63" w:rsidRDefault="00BE26A8" w:rsidP="000F4170">
      <w:pPr>
        <w:spacing w:line="360" w:lineRule="auto"/>
        <w:jc w:val="center"/>
        <w:rPr>
          <w:rFonts w:ascii="Times New Roman" w:eastAsia="Times New Roman" w:hAnsi="Times New Roman" w:cs="Times New Roman"/>
          <w:sz w:val="24"/>
          <w:szCs w:val="24"/>
          <w:lang w:val="en" w:eastAsia="en-GB"/>
        </w:rPr>
        <w:sectPr w:rsidR="00E9478E" w:rsidRPr="00335C63" w:rsidSect="00E9478E">
          <w:footerReference w:type="default" r:id="rId8"/>
          <w:pgSz w:w="11906" w:h="16838" w:code="9"/>
          <w:pgMar w:top="1440" w:right="1440" w:bottom="1440" w:left="1440" w:header="720" w:footer="720" w:gutter="0"/>
          <w:cols w:space="720"/>
          <w:docGrid w:linePitch="360"/>
        </w:sectPr>
      </w:pPr>
      <w:r w:rsidRPr="00335C63">
        <w:rPr>
          <w:rFonts w:ascii="Times New Roman" w:eastAsia="Times New Roman" w:hAnsi="Times New Roman" w:cs="Times New Roman"/>
          <w:sz w:val="24"/>
          <w:szCs w:val="24"/>
          <w:lang w:val="en" w:eastAsia="en-GB"/>
        </w:rPr>
        <w:t>Sunway Universit</w:t>
      </w:r>
      <w:r w:rsidR="00E9478E" w:rsidRPr="00335C63">
        <w:rPr>
          <w:rFonts w:ascii="Times New Roman" w:eastAsia="Times New Roman" w:hAnsi="Times New Roman" w:cs="Times New Roman"/>
          <w:sz w:val="24"/>
          <w:szCs w:val="24"/>
          <w:lang w:val="en" w:eastAsia="en-GB"/>
        </w:rPr>
        <w:t>y</w:t>
      </w:r>
    </w:p>
    <w:p w14:paraId="7A99E0E1" w14:textId="5D957446" w:rsidR="0084730D" w:rsidRPr="000F4170" w:rsidRDefault="00357319" w:rsidP="000F4170">
      <w:pPr>
        <w:pStyle w:val="Heading1"/>
        <w:spacing w:before="0" w:line="360" w:lineRule="auto"/>
        <w:rPr>
          <w:rFonts w:ascii="Times New Roman" w:hAnsi="Times New Roman" w:cs="Times New Roman"/>
          <w:sz w:val="28"/>
        </w:rPr>
      </w:pPr>
      <w:r w:rsidRPr="000F4170">
        <w:rPr>
          <w:rFonts w:ascii="Times New Roman" w:hAnsi="Times New Roman" w:cs="Times New Roman"/>
          <w:sz w:val="28"/>
        </w:rPr>
        <w:lastRenderedPageBreak/>
        <w:t>Abstract</w:t>
      </w:r>
    </w:p>
    <w:p w14:paraId="295C34B1" w14:textId="77777777" w:rsidR="00891518" w:rsidRDefault="00357319" w:rsidP="000F4170">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This Capstone Project 1 (CP1) proposal presents the planning and design phase for </w:t>
      </w:r>
      <w:r w:rsidR="009656FF" w:rsidRPr="00335C63">
        <w:rPr>
          <w:rFonts w:ascii="Times New Roman" w:hAnsi="Times New Roman" w:cs="Times New Roman"/>
          <w:sz w:val="24"/>
          <w:szCs w:val="24"/>
        </w:rPr>
        <w:t xml:space="preserve">the upcoming </w:t>
      </w:r>
      <w:r w:rsidRPr="00335C63">
        <w:rPr>
          <w:rFonts w:ascii="Times New Roman" w:hAnsi="Times New Roman" w:cs="Times New Roman"/>
          <w:sz w:val="24"/>
          <w:szCs w:val="24"/>
        </w:rPr>
        <w:t>Capstone Project 2 (CP2) implementation.</w:t>
      </w:r>
      <w:r w:rsidR="009656FF" w:rsidRPr="00335C63">
        <w:rPr>
          <w:rFonts w:ascii="Times New Roman" w:hAnsi="Times New Roman" w:cs="Times New Roman"/>
          <w:sz w:val="24"/>
          <w:szCs w:val="24"/>
        </w:rPr>
        <w:t xml:space="preserve"> The company that I have chosen to implement this project is </w:t>
      </w:r>
      <w:proofErr w:type="spellStart"/>
      <w:r w:rsidRPr="00335C63">
        <w:rPr>
          <w:rFonts w:ascii="Times New Roman" w:hAnsi="Times New Roman" w:cs="Times New Roman"/>
          <w:sz w:val="24"/>
          <w:szCs w:val="24"/>
        </w:rPr>
        <w:t>Nomobug</w:t>
      </w:r>
      <w:proofErr w:type="spellEnd"/>
      <w:r w:rsidRPr="00335C63">
        <w:rPr>
          <w:rFonts w:ascii="Times New Roman" w:hAnsi="Times New Roman" w:cs="Times New Roman"/>
          <w:sz w:val="24"/>
          <w:szCs w:val="24"/>
        </w:rPr>
        <w:t xml:space="preserve"> Pest Control Services</w:t>
      </w:r>
      <w:r w:rsidR="009656FF" w:rsidRPr="00335C63">
        <w:rPr>
          <w:rFonts w:ascii="Times New Roman" w:hAnsi="Times New Roman" w:cs="Times New Roman"/>
          <w:sz w:val="24"/>
          <w:szCs w:val="24"/>
        </w:rPr>
        <w:t xml:space="preserve"> because I have been working </w:t>
      </w:r>
      <w:r w:rsidR="00106A8F" w:rsidRPr="00335C63">
        <w:rPr>
          <w:rFonts w:ascii="Times New Roman" w:hAnsi="Times New Roman" w:cs="Times New Roman"/>
          <w:sz w:val="24"/>
          <w:szCs w:val="24"/>
        </w:rPr>
        <w:t>with</w:t>
      </w:r>
      <w:r w:rsidR="009656FF" w:rsidRPr="00335C63">
        <w:rPr>
          <w:rFonts w:ascii="Times New Roman" w:hAnsi="Times New Roman" w:cs="Times New Roman"/>
          <w:sz w:val="24"/>
          <w:szCs w:val="24"/>
        </w:rPr>
        <w:t xml:space="preserve"> them as a part-time admin and I have managed to identify many gaps in their current workflow</w:t>
      </w:r>
      <w:r w:rsidR="00106A8F" w:rsidRPr="00335C63">
        <w:rPr>
          <w:rFonts w:ascii="Times New Roman" w:hAnsi="Times New Roman" w:cs="Times New Roman"/>
          <w:sz w:val="24"/>
          <w:szCs w:val="24"/>
        </w:rPr>
        <w:t>. C</w:t>
      </w:r>
      <w:r w:rsidRPr="00335C63">
        <w:rPr>
          <w:rFonts w:ascii="Times New Roman" w:hAnsi="Times New Roman" w:cs="Times New Roman"/>
          <w:sz w:val="24"/>
          <w:szCs w:val="24"/>
        </w:rPr>
        <w:t xml:space="preserve">urrently </w:t>
      </w:r>
      <w:r w:rsidR="00106A8F" w:rsidRPr="00335C63">
        <w:rPr>
          <w:rFonts w:ascii="Times New Roman" w:hAnsi="Times New Roman" w:cs="Times New Roman"/>
          <w:sz w:val="24"/>
          <w:szCs w:val="24"/>
        </w:rPr>
        <w:t xml:space="preserve">the company </w:t>
      </w:r>
      <w:r w:rsidRPr="00335C63">
        <w:rPr>
          <w:rFonts w:ascii="Times New Roman" w:hAnsi="Times New Roman" w:cs="Times New Roman"/>
          <w:sz w:val="24"/>
          <w:szCs w:val="24"/>
        </w:rPr>
        <w:t xml:space="preserve">records valuable operational data in Google Sheets and Google Calendar, including leads, sales, services, warranty claims, refunds, payments, </w:t>
      </w:r>
      <w:proofErr w:type="gramStart"/>
      <w:r w:rsidRPr="00335C63">
        <w:rPr>
          <w:rFonts w:ascii="Times New Roman" w:hAnsi="Times New Roman" w:cs="Times New Roman"/>
          <w:sz w:val="24"/>
          <w:szCs w:val="24"/>
        </w:rPr>
        <w:t>upsell</w:t>
      </w:r>
      <w:proofErr w:type="gramEnd"/>
      <w:r w:rsidRPr="00335C63">
        <w:rPr>
          <w:rFonts w:ascii="Times New Roman" w:hAnsi="Times New Roman" w:cs="Times New Roman"/>
          <w:sz w:val="24"/>
          <w:szCs w:val="24"/>
        </w:rPr>
        <w:t xml:space="preserve"> records, technician assignments, and service scheduling. However, the data is distributed across separate files and is mainly used for recording rather than business intelligence. This limits management's ability to identify high-risk service areas, recurring pest problems, weather-associated service risks, treatment difficulty, technician review indicators, and effective upsell opportunities.</w:t>
      </w:r>
    </w:p>
    <w:p w14:paraId="24FC3232" w14:textId="77777777" w:rsidR="00891518" w:rsidRDefault="00891518" w:rsidP="000F4170">
      <w:pPr>
        <w:spacing w:line="360" w:lineRule="auto"/>
        <w:jc w:val="both"/>
        <w:rPr>
          <w:rFonts w:ascii="Times New Roman" w:hAnsi="Times New Roman" w:cs="Times New Roman"/>
          <w:sz w:val="24"/>
          <w:szCs w:val="24"/>
        </w:rPr>
      </w:pPr>
    </w:p>
    <w:p w14:paraId="0C93D4A0" w14:textId="77777777" w:rsidR="00891518" w:rsidRDefault="00357319" w:rsidP="000F4170">
      <w:pPr>
        <w:spacing w:line="360" w:lineRule="auto"/>
        <w:jc w:val="both"/>
        <w:rPr>
          <w:rFonts w:ascii="Times New Roman" w:hAnsi="Times New Roman" w:cs="Times New Roman"/>
          <w:sz w:val="24"/>
          <w:szCs w:val="24"/>
        </w:rPr>
      </w:pPr>
      <w:r>
        <w:t>This project proposes a web-based decision-support dashboard supported by a data engineering pipeline. The planned CP2 system will extract data from Google Sheets, Google Calendar, CSV/Excel files, and weather APIs; load raw records into BigQuery; transform and test the data using dbt Core; orchestrate scheduled runs through Apache Airflow; and visualise dashboard-ready marts through Apache Superset. This shifts the project from a simple dashboard into an end-to-end analytics engineering workflow.</w:t>
      </w:r>
    </w:p>
    <w:p w14:paraId="16A94A6A" w14:textId="77777777" w:rsidR="00891518" w:rsidRDefault="00891518" w:rsidP="000F4170">
      <w:pPr>
        <w:spacing w:line="360" w:lineRule="auto"/>
        <w:jc w:val="both"/>
        <w:rPr>
          <w:rFonts w:ascii="Times New Roman" w:hAnsi="Times New Roman" w:cs="Times New Roman"/>
          <w:sz w:val="24"/>
          <w:szCs w:val="24"/>
        </w:rPr>
      </w:pPr>
    </w:p>
    <w:p w14:paraId="2FDF1066" w14:textId="1E50A3D1" w:rsidR="0084730D" w:rsidRPr="00335C63" w:rsidRDefault="00357319" w:rsidP="000F4170">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The project deliberately avoids over-complex machine learning because the available warranty dataset is expected to contain approximately 200+ records. Instead, it prioritizes explainable spatial-temporal analytics, careful weather association analysis, privacy-conscious reporting, recommendation logging, and prescriptive business rules that are suitable for a real SME environment. Future enhancement can add a local Ollama-based AI recommendation service to generate plain-language suggestions without external API cost. The expected CP2 outcome is a company-usable analytics system that helps management improve service planning, reduce repeat-problem blind spots, monitor warranty and refund patterns, and make more data-driven upsell and operational decisions.</w:t>
      </w:r>
    </w:p>
    <w:p w14:paraId="1B84D6A6" w14:textId="77777777" w:rsidR="0084730D" w:rsidRPr="00335C63" w:rsidRDefault="00357319" w:rsidP="000F4170">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Contents</w:t>
      </w:r>
    </w:p>
    <w:p w14:paraId="522B5D9E"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Abstract</w:t>
      </w:r>
    </w:p>
    <w:p w14:paraId="64B362E5"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Chapter 1: Introduction</w:t>
      </w:r>
    </w:p>
    <w:p w14:paraId="50E5C5A1"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Chapter 2: Literature Review</w:t>
      </w:r>
    </w:p>
    <w:p w14:paraId="19DB948C"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Chapter 3: Methodology</w:t>
      </w:r>
    </w:p>
    <w:p w14:paraId="17DE7748"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Chapter 4: Work Plan and Timeline</w:t>
      </w:r>
    </w:p>
    <w:p w14:paraId="4C92D661"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References</w:t>
      </w:r>
    </w:p>
    <w:p w14:paraId="38371D2F"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Appendix A: Proposed Dashboard Modules</w:t>
      </w:r>
    </w:p>
    <w:p w14:paraId="356754AA"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Appendix B: Proposed Data Warehouse Tables</w:t>
      </w:r>
    </w:p>
    <w:p w14:paraId="5827C743" w14:textId="77777777" w:rsidR="0084730D" w:rsidRPr="00335C63" w:rsidRDefault="0084730D" w:rsidP="000F4170">
      <w:pPr>
        <w:spacing w:line="360" w:lineRule="auto"/>
        <w:rPr>
          <w:rFonts w:ascii="Times New Roman" w:hAnsi="Times New Roman" w:cs="Times New Roman"/>
          <w:sz w:val="24"/>
          <w:szCs w:val="24"/>
        </w:rPr>
      </w:pPr>
    </w:p>
    <w:p w14:paraId="13427B2C" w14:textId="6D95187C" w:rsidR="0084730D" w:rsidRPr="00335C63" w:rsidRDefault="00357319" w:rsidP="00A017C9">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t>Chapter 1: Introduction</w:t>
      </w:r>
    </w:p>
    <w:p w14:paraId="787BF00B"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1.1 Background Study</w:t>
      </w:r>
    </w:p>
    <w:p w14:paraId="40117C15" w14:textId="77777777" w:rsidR="008D6A1A"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Pest control service companies depend heavily on operational data: customer enquiries, confirmed bookings, pest type, premise type, service date, technician or team assignment, payment status, warranty claims, refund records, and follow-up actions. For small and medium-sized enterprises (SMEs), these records are often maintained in spreadsheets because spreadsheets are flexible, familiar, and low-cost. However, as data volume grows, spreadsheet-based workflows become difficult to </w:t>
      </w:r>
      <w:proofErr w:type="spellStart"/>
      <w:r w:rsidRPr="00335C63">
        <w:rPr>
          <w:rFonts w:ascii="Times New Roman" w:hAnsi="Times New Roman" w:cs="Times New Roman"/>
          <w:sz w:val="24"/>
          <w:szCs w:val="24"/>
        </w:rPr>
        <w:t>analyse</w:t>
      </w:r>
      <w:proofErr w:type="spellEnd"/>
      <w:r w:rsidRPr="00335C63">
        <w:rPr>
          <w:rFonts w:ascii="Times New Roman" w:hAnsi="Times New Roman" w:cs="Times New Roman"/>
          <w:sz w:val="24"/>
          <w:szCs w:val="24"/>
        </w:rPr>
        <w:t xml:space="preserve"> across business functions.</w:t>
      </w:r>
    </w:p>
    <w:p w14:paraId="07098F0F" w14:textId="77777777" w:rsidR="008D6A1A" w:rsidRDefault="008D6A1A" w:rsidP="008D6A1A">
      <w:pPr>
        <w:spacing w:line="360" w:lineRule="auto"/>
        <w:jc w:val="both"/>
        <w:rPr>
          <w:rFonts w:ascii="Times New Roman" w:hAnsi="Times New Roman" w:cs="Times New Roman"/>
          <w:sz w:val="24"/>
          <w:szCs w:val="24"/>
        </w:rPr>
      </w:pPr>
    </w:p>
    <w:p w14:paraId="42E3D2CC" w14:textId="79D1F74F" w:rsidR="0084730D" w:rsidRDefault="00357319" w:rsidP="008D6A1A">
      <w:pPr>
        <w:spacing w:line="360" w:lineRule="auto"/>
        <w:jc w:val="both"/>
        <w:rPr>
          <w:rFonts w:ascii="Times New Roman" w:hAnsi="Times New Roman" w:cs="Times New Roman"/>
          <w:sz w:val="24"/>
          <w:szCs w:val="24"/>
        </w:rPr>
      </w:pPr>
      <w:proofErr w:type="spellStart"/>
      <w:r w:rsidRPr="00335C63">
        <w:rPr>
          <w:rFonts w:ascii="Times New Roman" w:hAnsi="Times New Roman" w:cs="Times New Roman"/>
          <w:sz w:val="24"/>
          <w:szCs w:val="24"/>
        </w:rPr>
        <w:t>Nomobug</w:t>
      </w:r>
      <w:proofErr w:type="spellEnd"/>
      <w:r w:rsidRPr="00335C63">
        <w:rPr>
          <w:rFonts w:ascii="Times New Roman" w:hAnsi="Times New Roman" w:cs="Times New Roman"/>
          <w:sz w:val="24"/>
          <w:szCs w:val="24"/>
        </w:rPr>
        <w:t xml:space="preserve"> Pest Control Services is a pest control SME serving residential and commercial customers across Klang Valley and surrounding areas. The company already has multiple operational data sources, including prospect tracking, sales records, payment received records, payment links, warranty claims, refunds, upsell records, and Google Calendar scheduling. These sources contain enough information to support better management decisions, but they are not currently integrated into a structured analytics platform.</w:t>
      </w:r>
    </w:p>
    <w:p w14:paraId="6CF7CE45" w14:textId="77777777" w:rsidR="008D6A1A" w:rsidRPr="00335C63" w:rsidRDefault="008D6A1A" w:rsidP="008D6A1A">
      <w:pPr>
        <w:spacing w:line="360" w:lineRule="auto"/>
        <w:jc w:val="both"/>
        <w:rPr>
          <w:rFonts w:ascii="Times New Roman" w:hAnsi="Times New Roman" w:cs="Times New Roman"/>
          <w:sz w:val="24"/>
          <w:szCs w:val="24"/>
        </w:rPr>
      </w:pPr>
    </w:p>
    <w:p w14:paraId="391AA397"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Weather and environmental context are also relevant to the pest control domain. Heavy rainfall, humidity, flooding, and temperature variation may be associated with pest movement, </w:t>
      </w:r>
      <w:r w:rsidRPr="00335C63">
        <w:rPr>
          <w:rFonts w:ascii="Times New Roman" w:hAnsi="Times New Roman" w:cs="Times New Roman"/>
          <w:sz w:val="24"/>
          <w:szCs w:val="24"/>
        </w:rPr>
        <w:lastRenderedPageBreak/>
        <w:t xml:space="preserve">customer complaints, or service difficulty. This project will not claim that weather directly causes </w:t>
      </w:r>
      <w:proofErr w:type="gramStart"/>
      <w:r w:rsidRPr="00335C63">
        <w:rPr>
          <w:rFonts w:ascii="Times New Roman" w:hAnsi="Times New Roman" w:cs="Times New Roman"/>
          <w:sz w:val="24"/>
          <w:szCs w:val="24"/>
        </w:rPr>
        <w:t>pest activity</w:t>
      </w:r>
      <w:proofErr w:type="gramEnd"/>
      <w:r w:rsidRPr="00335C63">
        <w:rPr>
          <w:rFonts w:ascii="Times New Roman" w:hAnsi="Times New Roman" w:cs="Times New Roman"/>
          <w:sz w:val="24"/>
          <w:szCs w:val="24"/>
        </w:rPr>
        <w:t xml:space="preserve"> or warranty claims. Instead, it will treat weather data as an associated risk indicator that can help management identify areas requiring closer monitoring.</w:t>
      </w:r>
    </w:p>
    <w:p w14:paraId="18A4B58C" w14:textId="77777777" w:rsidR="008D6A1A" w:rsidRPr="00335C63" w:rsidRDefault="008D6A1A" w:rsidP="008D6A1A">
      <w:pPr>
        <w:spacing w:line="360" w:lineRule="auto"/>
        <w:jc w:val="both"/>
        <w:rPr>
          <w:rFonts w:ascii="Times New Roman" w:hAnsi="Times New Roman" w:cs="Times New Roman"/>
          <w:sz w:val="24"/>
          <w:szCs w:val="24"/>
        </w:rPr>
      </w:pPr>
    </w:p>
    <w:p w14:paraId="4E02BCA2" w14:textId="77777777" w:rsidR="0084730D" w:rsidRPr="00335C63" w:rsidRDefault="00357319" w:rsidP="008D6A1A">
      <w:pPr>
        <w:spacing w:line="360" w:lineRule="auto"/>
        <w:jc w:val="both"/>
        <w:rPr>
          <w:rFonts w:ascii="Times New Roman" w:hAnsi="Times New Roman" w:cs="Times New Roman"/>
          <w:sz w:val="24"/>
          <w:szCs w:val="24"/>
        </w:rPr>
      </w:pPr>
      <w:r>
        <w:t>The proposed system is therefore a web-based analytics and decision-support dashboard built on a governed data engineering pipeline. During CP2, the system will process operational data from Google Sheets and Google Calendar, enrich service records with weather and location features, store raw and transformed outputs in BigQuery, use dbt Core for warehouse transformations and data tests, use Apache Airflow for orchestration, and present insights through Apache Superset dashboards. The system is intended to support management decision-making, not replace the company's existing workflow.</w:t>
      </w:r>
    </w:p>
    <w:p w14:paraId="5A0B7874"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1.2 Problem Statement</w:t>
      </w:r>
    </w:p>
    <w:p w14:paraId="0518DFAC"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Nomobug has useful data, but the data is fragmented and not fully used for decision-making. Management must manually compare separate sheets to understand warranty trends, refund causes, technician review signals, </w:t>
      </w:r>
      <w:proofErr w:type="gramStart"/>
      <w:r w:rsidRPr="00335C63">
        <w:rPr>
          <w:rFonts w:ascii="Times New Roman" w:hAnsi="Times New Roman" w:cs="Times New Roman"/>
          <w:sz w:val="24"/>
          <w:szCs w:val="24"/>
        </w:rPr>
        <w:t>upsell</w:t>
      </w:r>
      <w:proofErr w:type="gramEnd"/>
      <w:r w:rsidRPr="00335C63">
        <w:rPr>
          <w:rFonts w:ascii="Times New Roman" w:hAnsi="Times New Roman" w:cs="Times New Roman"/>
          <w:sz w:val="24"/>
          <w:szCs w:val="24"/>
        </w:rPr>
        <w:t xml:space="preserve"> outcomes, and area-based repeat problems. This makes it difficult to answer operational questions quickly and consistently.</w:t>
      </w:r>
    </w:p>
    <w:p w14:paraId="264981AF"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Marketing performance is measured mainly by lead source or campaign volume, not by customer quality, payment completion, refund risk, or repeat purchase behaviour.</w:t>
      </w:r>
    </w:p>
    <w:p w14:paraId="6D00D2E4"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Warranty claims, refunds, and complimentary service records are not consistently linked with original service data, pest type, technician, area, and weather context.</w:t>
      </w:r>
    </w:p>
    <w:p w14:paraId="53A75722"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Treatment difficulty is not measured systematically, so areas with high repeat-problem rate, refund rate, or extra-session demand are not visible in one dashboard.</w:t>
      </w:r>
    </w:p>
    <w:p w14:paraId="55C6992E"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Pest recurrence timing is not analysed, making it difficult to know when follow-up should happen after treatment.</w:t>
      </w:r>
    </w:p>
    <w:p w14:paraId="3EEF4DC8"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Weather and flood indicators are not connected to service dates, even though rainfall and humidity may be useful risk indicators for planning.</w:t>
      </w:r>
    </w:p>
    <w:p w14:paraId="7D87C3D9"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Upsell performance is difficult to evaluate because some records show package uptake but not rejected or no-response offers.</w:t>
      </w:r>
    </w:p>
    <w:p w14:paraId="5C716600"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Management lacks a single browser-based dashboard that summarises service quality, scheduling, financial, warranty, and </w:t>
      </w:r>
      <w:proofErr w:type="gramStart"/>
      <w:r w:rsidRPr="00335C63">
        <w:rPr>
          <w:rFonts w:ascii="Times New Roman" w:hAnsi="Times New Roman" w:cs="Times New Roman"/>
          <w:sz w:val="24"/>
          <w:szCs w:val="24"/>
        </w:rPr>
        <w:t>upsell</w:t>
      </w:r>
      <w:proofErr w:type="gramEnd"/>
      <w:r w:rsidRPr="00335C63">
        <w:rPr>
          <w:rFonts w:ascii="Times New Roman" w:hAnsi="Times New Roman" w:cs="Times New Roman"/>
          <w:sz w:val="24"/>
          <w:szCs w:val="24"/>
        </w:rPr>
        <w:t xml:space="preserve"> patterns by day, week, and month.</w:t>
      </w:r>
    </w:p>
    <w:p>
      <w:pPr>
        <w:pStyle w:val="ListBullet"/>
      </w:pPr>
      <w:r>
        <w:t>There is no automated and monitored data pipeline that can extract, validate, transform, test, and refresh these records into trusted dashboard-ready tables.</w:t>
      </w:r>
    </w:p>
    <w:p w14:paraId="0562E5BF"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1.3 Project Aim</w:t>
      </w:r>
    </w:p>
    <w:p w14:paraId="3E147866" w14:textId="46DE945D"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The aim of this CP1 proposal is to design a weather-aware pest control decision-support dashboard that will be developed in CP2. The planned system will transform Nomobug's </w:t>
      </w:r>
      <w:r w:rsidRPr="00335C63">
        <w:rPr>
          <w:rFonts w:ascii="Times New Roman" w:hAnsi="Times New Roman" w:cs="Times New Roman"/>
          <w:sz w:val="24"/>
          <w:szCs w:val="24"/>
        </w:rPr>
        <w:lastRenderedPageBreak/>
        <w:t xml:space="preserve">Google Sheets, Google Calendar, service, warranty, refund, payment, and upsell records into actionable business intelligence for service quality, treatment difficulty, recurrence monitoring, </w:t>
      </w:r>
      <w:r w:rsidR="0019763A">
        <w:rPr>
          <w:rFonts w:ascii="Times New Roman" w:hAnsi="Times New Roman" w:cs="Times New Roman"/>
          <w:sz w:val="24"/>
          <w:szCs w:val="24"/>
        </w:rPr>
        <w:tab/>
      </w:r>
      <w:r w:rsidRPr="00335C63">
        <w:rPr>
          <w:rFonts w:ascii="Times New Roman" w:hAnsi="Times New Roman" w:cs="Times New Roman"/>
          <w:sz w:val="24"/>
          <w:szCs w:val="24"/>
        </w:rPr>
        <w:t xml:space="preserve"> planning, and upsell strategy.</w:t>
      </w:r>
    </w:p>
    <w:p w14:paraId="325BBABF"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1.4 Project Objectives</w:t>
      </w:r>
    </w:p>
    <w:p w14:paraId="7C0C6824" w14:textId="77777777" w:rsidR="00984EB3" w:rsidRPr="008D6A1A" w:rsidRDefault="003C0C08" w:rsidP="008D6A1A">
      <w:pPr>
        <w:pStyle w:val="ListNumbe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To review existing business intelligence, pest decision-support, weather-risk, spatial hotspot, and explainable analytics methods relevant to pest-control SME operations.</w:t>
      </w:r>
    </w:p>
    <w:p w14:paraId="03043993" w14:textId="77777777" w:rsidR="00984EB3" w:rsidRPr="008D6A1A" w:rsidRDefault="003C0C08" w:rsidP="008D6A1A">
      <w:pPr>
        <w:pStyle w:val="ListNumbe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To design a weather-aware analytics architecture that integrates Nomobug Google Sheets, Google Calendar, service records, warranty claims, refunds, payments, upsell records, and external weather data.</w:t>
      </w:r>
    </w:p>
    <w:p w14:paraId="54215FB1" w14:textId="77777777" w:rsidR="00984EB3" w:rsidRPr="008D6A1A" w:rsidRDefault="003C0C08" w:rsidP="008D6A1A">
      <w:pPr>
        <w:pStyle w:val="ListNumber"/>
        <w:spacing w:line="360" w:lineRule="auto"/>
        <w:jc w:val="both"/>
        <w:rPr>
          <w:rFonts w:ascii="Times New Roman" w:hAnsi="Times New Roman" w:cs="Times New Roman"/>
          <w:sz w:val="24"/>
          <w:szCs w:val="24"/>
        </w:rPr>
      </w:pPr>
      <w:r>
        <w:t>To develop, in CP2, an Airflow-orchestrated ELT workflow using Python, BigQuery, dbt Core, flexible data contracts, and data quality checks to produce trusted analytics tables for Apache Superset dashboards.</w:t>
      </w:r>
    </w:p>
    <w:p w14:paraId="1F60F859" w14:textId="77777777" w:rsidR="00984EB3" w:rsidRPr="008D6A1A" w:rsidRDefault="003C0C08" w:rsidP="008D6A1A">
      <w:pPr>
        <w:pStyle w:val="ListNumbe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 xml:space="preserve">To implement descriptive, predictive, and prescriptive analytics modules for customer segmentation, treatment difficulty, warranty and repeat analysis, recurrence windows, hotspot detection, scheduling capacity, and </w:t>
      </w:r>
      <w:proofErr w:type="gramStart"/>
      <w:r w:rsidRPr="008D6A1A">
        <w:rPr>
          <w:rFonts w:ascii="Times New Roman" w:hAnsi="Times New Roman" w:cs="Times New Roman"/>
          <w:sz w:val="24"/>
          <w:szCs w:val="24"/>
        </w:rPr>
        <w:t>upsell</w:t>
      </w:r>
      <w:proofErr w:type="gramEnd"/>
      <w:r w:rsidRPr="008D6A1A">
        <w:rPr>
          <w:rFonts w:ascii="Times New Roman" w:hAnsi="Times New Roman" w:cs="Times New Roman"/>
          <w:sz w:val="24"/>
          <w:szCs w:val="24"/>
        </w:rPr>
        <w:t xml:space="preserve"> intelligence.</w:t>
      </w:r>
    </w:p>
    <w:p w14:paraId="66244027" w14:textId="77777777" w:rsidR="00984EB3" w:rsidRPr="008D6A1A" w:rsidRDefault="003C0C08" w:rsidP="008D6A1A">
      <w:pPr>
        <w:pStyle w:val="ListNumbe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To evaluate the proposed dashboard in CP2 using data quality checks, dashboard usability feedback, insight usefulness, and the reliability of selected analytics outputs.</w:t>
      </w:r>
    </w:p>
    <w:p w14:paraId="4EBF2A6F"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1.5 Scope and Limitations</w:t>
      </w:r>
    </w:p>
    <w:tbl>
      <w:tblPr>
        <w:tblStyle w:val="TableGrid"/>
        <w:tblW w:w="0" w:type="auto"/>
        <w:jc w:val="center"/>
        <w:tblLook w:val="04A0" w:firstRow="1" w:lastRow="0" w:firstColumn="1" w:lastColumn="0" w:noHBand="0" w:noVBand="1"/>
      </w:tblPr>
      <w:tblGrid>
        <w:gridCol w:w="4710"/>
        <w:gridCol w:w="4306"/>
      </w:tblGrid>
      <w:tr w:rsidR="0084730D" w:rsidRPr="00335C63" w14:paraId="0DAE9F03" w14:textId="77777777" w:rsidTr="00CD7B49">
        <w:trPr>
          <w:cantSplit/>
          <w:tblHeader/>
          <w:jc w:val="center"/>
        </w:trPr>
        <w:tc>
          <w:tcPr>
            <w:tcW w:w="0" w:type="auto"/>
            <w:shd w:val="clear" w:color="auto" w:fill="E8F1FA"/>
            <w:tcMar>
              <w:top w:w="90" w:type="dxa"/>
              <w:left w:w="90" w:type="dxa"/>
              <w:bottom w:w="90" w:type="dxa"/>
              <w:right w:w="90" w:type="dxa"/>
            </w:tcMar>
            <w:vAlign w:val="center"/>
          </w:tcPr>
          <w:p w14:paraId="16CBC01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In Scope</w:t>
            </w:r>
          </w:p>
        </w:tc>
        <w:tc>
          <w:tcPr>
            <w:tcW w:w="0" w:type="auto"/>
            <w:shd w:val="clear" w:color="auto" w:fill="E8F1FA"/>
            <w:tcMar>
              <w:top w:w="90" w:type="dxa"/>
              <w:left w:w="90" w:type="dxa"/>
              <w:bottom w:w="90" w:type="dxa"/>
              <w:right w:w="90" w:type="dxa"/>
            </w:tcMar>
            <w:vAlign w:val="center"/>
          </w:tcPr>
          <w:p w14:paraId="2195DF9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Out of Scope / Limitation</w:t>
            </w:r>
          </w:p>
        </w:tc>
      </w:tr>
      <w:tr w:rsidR="0084730D" w:rsidRPr="00335C63" w14:paraId="5C90A587" w14:textId="77777777" w:rsidTr="00CD7B49">
        <w:trPr>
          <w:cantSplit/>
          <w:jc w:val="center"/>
        </w:trPr>
        <w:tc>
          <w:tcPr>
            <w:tcW w:w="0" w:type="auto"/>
            <w:tcMar>
              <w:top w:w="90" w:type="dxa"/>
              <w:left w:w="90" w:type="dxa"/>
              <w:bottom w:w="90" w:type="dxa"/>
              <w:right w:w="90" w:type="dxa"/>
            </w:tcMar>
            <w:vAlign w:val="center"/>
          </w:tcPr>
          <w:p w14:paraId="7F16E7B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Data integration from company sheets, calendar, and uploaded files</w:t>
            </w:r>
          </w:p>
        </w:tc>
        <w:tc>
          <w:tcPr>
            <w:tcW w:w="0" w:type="auto"/>
            <w:tcMar>
              <w:top w:w="90" w:type="dxa"/>
              <w:left w:w="90" w:type="dxa"/>
              <w:bottom w:w="90" w:type="dxa"/>
              <w:right w:w="90" w:type="dxa"/>
            </w:tcMar>
            <w:vAlign w:val="center"/>
          </w:tcPr>
          <w:p w14:paraId="2CC3549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 xml:space="preserve">Not </w:t>
            </w:r>
            <w:proofErr w:type="gramStart"/>
            <w:r w:rsidRPr="00335C63">
              <w:rPr>
                <w:rFonts w:ascii="Times New Roman" w:hAnsi="Times New Roman" w:cs="Times New Roman"/>
                <w:sz w:val="24"/>
                <w:szCs w:val="24"/>
              </w:rPr>
              <w:t>a full</w:t>
            </w:r>
            <w:proofErr w:type="gramEnd"/>
            <w:r w:rsidRPr="00335C63">
              <w:rPr>
                <w:rFonts w:ascii="Times New Roman" w:hAnsi="Times New Roman" w:cs="Times New Roman"/>
                <w:sz w:val="24"/>
                <w:szCs w:val="24"/>
              </w:rPr>
              <w:t xml:space="preserve"> CRM, job dispatch system, WhatsApp automation, or payment gateway</w:t>
            </w:r>
          </w:p>
        </w:tc>
      </w:tr>
      <w:tr w:rsidR="0084730D" w:rsidRPr="00335C63" w14:paraId="5BF673C9" w14:textId="77777777" w:rsidTr="00CD7B49">
        <w:trPr>
          <w:cantSplit/>
          <w:jc w:val="center"/>
        </w:trPr>
        <w:tc>
          <w:tcPr>
            <w:tcW w:w="0" w:type="auto"/>
            <w:tcMar>
              <w:top w:w="90" w:type="dxa"/>
              <w:left w:w="90" w:type="dxa"/>
              <w:bottom w:w="90" w:type="dxa"/>
              <w:right w:w="90" w:type="dxa"/>
            </w:tcMar>
            <w:vAlign w:val="center"/>
          </w:tcPr>
          <w:p w14:paraId="342B1E3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Descriptive analytics by day, week, month, area, pest, package, team, and technician</w:t>
            </w:r>
          </w:p>
        </w:tc>
        <w:tc>
          <w:tcPr>
            <w:tcW w:w="0" w:type="auto"/>
            <w:tcMar>
              <w:top w:w="90" w:type="dxa"/>
              <w:left w:w="90" w:type="dxa"/>
              <w:bottom w:w="90" w:type="dxa"/>
              <w:right w:w="90" w:type="dxa"/>
            </w:tcMar>
            <w:vAlign w:val="center"/>
          </w:tcPr>
          <w:p w14:paraId="7533B6B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Results depend on the quality and consistency of existing company records</w:t>
            </w:r>
          </w:p>
        </w:tc>
      </w:tr>
      <w:tr w:rsidR="0084730D" w:rsidRPr="00335C63" w14:paraId="697E239B" w14:textId="77777777" w:rsidTr="00CD7B49">
        <w:trPr>
          <w:cantSplit/>
          <w:jc w:val="center"/>
        </w:trPr>
        <w:tc>
          <w:tcPr>
            <w:tcW w:w="0" w:type="auto"/>
            <w:tcMar>
              <w:top w:w="90" w:type="dxa"/>
              <w:left w:w="90" w:type="dxa"/>
              <w:bottom w:w="90" w:type="dxa"/>
              <w:right w:w="90" w:type="dxa"/>
            </w:tcMar>
            <w:vAlign w:val="center"/>
          </w:tcPr>
          <w:p w14:paraId="18C4BB1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Weather-associated risk indicators using historical rainfall and humidity features</w:t>
            </w:r>
          </w:p>
        </w:tc>
        <w:tc>
          <w:tcPr>
            <w:tcW w:w="0" w:type="auto"/>
            <w:tcMar>
              <w:top w:w="90" w:type="dxa"/>
              <w:left w:w="90" w:type="dxa"/>
              <w:bottom w:w="90" w:type="dxa"/>
              <w:right w:w="90" w:type="dxa"/>
            </w:tcMar>
            <w:vAlign w:val="center"/>
          </w:tcPr>
          <w:p w14:paraId="4E4934D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 will be treated as association/risk indicator, not proof of causation</w:t>
            </w:r>
          </w:p>
        </w:tc>
      </w:tr>
      <w:tr w:rsidR="0084730D" w:rsidRPr="00335C63" w14:paraId="725E69A9" w14:textId="77777777" w:rsidTr="00CD7B49">
        <w:trPr>
          <w:cantSplit/>
          <w:jc w:val="center"/>
        </w:trPr>
        <w:tc>
          <w:tcPr>
            <w:tcW w:w="0" w:type="auto"/>
            <w:tcMar>
              <w:top w:w="90" w:type="dxa"/>
              <w:left w:w="90" w:type="dxa"/>
              <w:bottom w:w="90" w:type="dxa"/>
              <w:right w:w="90" w:type="dxa"/>
            </w:tcMar>
            <w:vAlign w:val="center"/>
          </w:tcPr>
          <w:p w14:paraId="2728CDE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DBSCAN/KDE hotspot analysis using coordinates or postcode centroids</w:t>
            </w:r>
          </w:p>
        </w:tc>
        <w:tc>
          <w:tcPr>
            <w:tcW w:w="0" w:type="auto"/>
            <w:tcMar>
              <w:top w:w="90" w:type="dxa"/>
              <w:left w:w="90" w:type="dxa"/>
              <w:bottom w:w="90" w:type="dxa"/>
              <w:right w:w="90" w:type="dxa"/>
            </w:tcMar>
            <w:vAlign w:val="center"/>
          </w:tcPr>
          <w:p w14:paraId="63709DB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Exact customer addresses are not required in the academic report</w:t>
            </w:r>
          </w:p>
        </w:tc>
      </w:tr>
      <w:tr w:rsidR="0084730D" w:rsidRPr="00335C63" w14:paraId="43EE7A98" w14:textId="77777777" w:rsidTr="00CD7B49">
        <w:trPr>
          <w:cantSplit/>
          <w:jc w:val="center"/>
        </w:trPr>
        <w:tc>
          <w:tcPr>
            <w:tcW w:w="0" w:type="auto"/>
            <w:tcMar>
              <w:top w:w="90" w:type="dxa"/>
              <w:left w:w="90" w:type="dxa"/>
              <w:bottom w:w="90" w:type="dxa"/>
              <w:right w:w="90" w:type="dxa"/>
            </w:tcMar>
            <w:vAlign w:val="center"/>
          </w:tcPr>
          <w:p w14:paraId="2B087AD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Treatment difficulty, recurrence window, warranty factor, refund root cause, and upsell package-fit analysis</w:t>
            </w:r>
          </w:p>
        </w:tc>
        <w:tc>
          <w:tcPr>
            <w:tcW w:w="0" w:type="auto"/>
            <w:tcMar>
              <w:top w:w="90" w:type="dxa"/>
              <w:left w:w="90" w:type="dxa"/>
              <w:bottom w:w="90" w:type="dxa"/>
              <w:right w:w="90" w:type="dxa"/>
            </w:tcMar>
            <w:vAlign w:val="center"/>
          </w:tcPr>
          <w:p w14:paraId="7F5D937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Upsell prediction is limited until rejected/no-response offers are recorded</w:t>
            </w:r>
          </w:p>
        </w:tc>
      </w:tr>
      <w:tr w:rsidR="0084730D" w:rsidRPr="00335C63" w14:paraId="405EA536" w14:textId="77777777" w:rsidTr="00CD7B49">
        <w:trPr>
          <w:cantSplit/>
          <w:jc w:val="center"/>
        </w:trPr>
        <w:tc>
          <w:tcPr>
            <w:tcW w:w="0" w:type="auto"/>
            <w:tcMar>
              <w:top w:w="90" w:type="dxa"/>
              <w:left w:w="90" w:type="dxa"/>
              <w:bottom w:w="90" w:type="dxa"/>
              <w:right w:w="90" w:type="dxa"/>
            </w:tcMar>
            <w:vAlign w:val="center"/>
          </w:tcPr>
          <w:p>
            <w:r>
              <w:t>Data quality reporting, flexible data contracts, Airflow scheduled refresh, dbt transformations/tests, anonymised reporting views, and recommendation logging</w:t>
            </w:r>
          </w:p>
        </w:tc>
        <w:tc>
          <w:tcPr>
            <w:tcW w:w="0" w:type="auto"/>
            <w:tcMar>
              <w:top w:w="90" w:type="dxa"/>
              <w:left w:w="90" w:type="dxa"/>
              <w:bottom w:w="90" w:type="dxa"/>
              <w:right w:w="90" w:type="dxa"/>
            </w:tcMar>
            <w:vAlign w:val="center"/>
          </w:tcPr>
          <w:p>
            <w:r>
              <w:t>Near-real-time refresh is scheduled batch processing, not streaming real-time, and depends on Google Sheets/API access</w:t>
            </w:r>
          </w:p>
        </w:tc>
      </w:tr>
      <w:tr w:rsidR="0084730D" w:rsidRPr="00335C63" w14:paraId="3E434F81" w14:textId="77777777" w:rsidTr="00CD7B49">
        <w:trPr>
          <w:cantSplit/>
          <w:jc w:val="center"/>
        </w:trPr>
        <w:tc>
          <w:tcPr>
            <w:tcW w:w="0" w:type="auto"/>
            <w:tcMar>
              <w:top w:w="90" w:type="dxa"/>
              <w:left w:w="90" w:type="dxa"/>
              <w:bottom w:w="90" w:type="dxa"/>
              <w:right w:w="90" w:type="dxa"/>
            </w:tcMar>
            <w:vAlign w:val="center"/>
          </w:tcPr>
          <w:p w14:paraId="09F4E6B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Optional future local Ollama AI explanation layer</w:t>
            </w:r>
          </w:p>
        </w:tc>
        <w:tc>
          <w:tcPr>
            <w:tcW w:w="0" w:type="auto"/>
            <w:tcMar>
              <w:top w:w="90" w:type="dxa"/>
              <w:left w:w="90" w:type="dxa"/>
              <w:bottom w:w="90" w:type="dxa"/>
              <w:right w:w="90" w:type="dxa"/>
            </w:tcMar>
            <w:vAlign w:val="center"/>
          </w:tcPr>
          <w:p w14:paraId="13444CC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The AI layer will not make final decisions; it will explain analytics-backed recommendations</w:t>
            </w:r>
          </w:p>
        </w:tc>
      </w:tr>
      <w:tr>
        <w:tc>
          <w:tcPr>
            <w:tcW w:type="dxa" w:w="4710"/>
          </w:tcPr>
          <w:p>
            <w:r>
              <w:t>Bronze/Silver/Gold BigQuery warehouse layers, pipeline logs, lineage documentation, and dashboard-ready marts</w:t>
            </w:r>
          </w:p>
        </w:tc>
        <w:tc>
          <w:tcPr>
            <w:tcW w:type="dxa" w:w="4306"/>
          </w:tcPr>
          <w:p>
            <w:r>
              <w:t>The project will not attempt enterprise-scale streaming, complex MLOps, or production-grade multi-user access control</w:t>
            </w:r>
          </w:p>
        </w:tc>
      </w:tr>
    </w:tbl>
    <w:p w14:paraId="374DEB72" w14:textId="77777777" w:rsidR="0084730D" w:rsidRPr="00335C63" w:rsidRDefault="0084730D" w:rsidP="000F4170">
      <w:pPr>
        <w:spacing w:line="360" w:lineRule="auto"/>
        <w:rPr>
          <w:rFonts w:ascii="Times New Roman" w:hAnsi="Times New Roman" w:cs="Times New Roman"/>
          <w:sz w:val="24"/>
          <w:szCs w:val="24"/>
        </w:rPr>
      </w:pPr>
    </w:p>
    <w:p w14:paraId="434E3740"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1.6 Research Significance</w:t>
      </w:r>
    </w:p>
    <w:p w14:paraId="21618833" w14:textId="77777777" w:rsidR="008D6A1A"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The project is significant because it addresses a real computing and business problem faced by an SME: turning fragmented operational records into reliable decision support. It contributes to the company by reducing manual cross-checking, improving visibility </w:t>
      </w:r>
      <w:proofErr w:type="gramStart"/>
      <w:r w:rsidRPr="00335C63">
        <w:rPr>
          <w:rFonts w:ascii="Times New Roman" w:hAnsi="Times New Roman" w:cs="Times New Roman"/>
          <w:sz w:val="24"/>
          <w:szCs w:val="24"/>
        </w:rPr>
        <w:t>into</w:t>
      </w:r>
      <w:proofErr w:type="gramEnd"/>
      <w:r w:rsidRPr="00335C63">
        <w:rPr>
          <w:rFonts w:ascii="Times New Roman" w:hAnsi="Times New Roman" w:cs="Times New Roman"/>
          <w:sz w:val="24"/>
          <w:szCs w:val="24"/>
        </w:rPr>
        <w:t xml:space="preserve"> service quality, and supporting better area planning. It contributes academically by combining data warehousing, business intelligence, spatial analysis, weather-associated risk modelling, and prescriptive analytics in a practical SME setting.</w:t>
      </w:r>
    </w:p>
    <w:p w14:paraId="29006F8F" w14:textId="77777777" w:rsidR="008D6A1A" w:rsidRDefault="008D6A1A" w:rsidP="008D6A1A">
      <w:pPr>
        <w:spacing w:line="360" w:lineRule="auto"/>
        <w:jc w:val="both"/>
        <w:rPr>
          <w:rFonts w:ascii="Times New Roman" w:hAnsi="Times New Roman" w:cs="Times New Roman"/>
          <w:sz w:val="24"/>
          <w:szCs w:val="24"/>
        </w:rPr>
      </w:pPr>
    </w:p>
    <w:p w14:paraId="6723FE79" w14:textId="35B2D775"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The sustainability value is also relevant. Better area planning and recurrence monitoring can reduce unnecessary repeat visits, wasted travel, and unplanned service costs. A local or low-cost analytics stack also supports SME adoption by reducing dependence on expensive enterprise software. Privacy is considered through anonymised academic and reporting views, customer IDs, area/postcode-level location, controlled access, and careful wording for technician-related review indicators.</w:t>
      </w:r>
    </w:p>
    <w:p w14:paraId="6AE65C9E" w14:textId="77777777" w:rsidR="0084730D" w:rsidRPr="00335C63" w:rsidRDefault="00357319" w:rsidP="000F4170">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t>Chapter 2: Literature Review</w:t>
      </w:r>
    </w:p>
    <w:p w14:paraId="227C127C" w14:textId="77777777" w:rsidR="0084730D" w:rsidRPr="008D6A1A" w:rsidRDefault="00357319" w:rsidP="008D6A1A">
      <w:pPr>
        <w:spacing w:line="360" w:lineRule="auto"/>
        <w:jc w:val="both"/>
        <w:rPr>
          <w:rFonts w:ascii="Times New Roman" w:hAnsi="Times New Roman" w:cs="Times New Roman"/>
          <w:sz w:val="24"/>
          <w:szCs w:val="24"/>
        </w:rPr>
      </w:pPr>
      <w:r>
        <w:t xml:space="preserve">This literature review reviews recent academic papers, technical documentation, and decision-support references related to the proposed system. In line with supervisor feedback, the cited literature focuses on 2020 onwards and expands the review to cover approximately 25 academic or </w:t>
      </w:r>
      <w:r>
        <w:lastRenderedPageBreak/>
        <w:t>research-based sources, with separate technical references for APIs and tools. Older foundation methods such as DBSCAN, logistic regression, KDE, and SHAP are discussed only as methodological concepts, while the cited support is drawn from recent studies and documentation. The chapter is organised around business intelligence for SMEs, weather-aware pest management, digital pest decision-support systems, spatial-temporal hotspot detection, weather-based prediction, explainable modelling, and AI-assisted recommendations.</w:t>
      </w:r>
    </w:p>
    <w:p w14:paraId="0CDDE6E8"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2.1 Business Intelligence and SME Decision Support</w:t>
      </w:r>
    </w:p>
    <w:p w14:paraId="0AB2F870" w14:textId="77777777" w:rsidR="008D6A1A"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Ragazou et al. (2023) argue that SMEs can benefit from business intelligence because BI converts scattered operational data into information that supports faster and more competitive decision-making. Their work is relevant to Nomobug because the company already collects operational data but lacks a structured analytics model. Gurcan et al. (2023) further show that modern BI research increasingly emphasises data mining, big data analytics, visualization, and AI applications, which supports the proposed combination of descriptive, predictive, and prescriptive dashboard modules.</w:t>
      </w:r>
    </w:p>
    <w:p w14:paraId="650A3E36" w14:textId="77777777" w:rsidR="008D6A1A" w:rsidRDefault="008D6A1A" w:rsidP="008D6A1A">
      <w:pPr>
        <w:spacing w:line="360" w:lineRule="auto"/>
        <w:jc w:val="both"/>
        <w:rPr>
          <w:rFonts w:ascii="Times New Roman" w:hAnsi="Times New Roman" w:cs="Times New Roman"/>
          <w:sz w:val="24"/>
          <w:szCs w:val="24"/>
        </w:rPr>
      </w:pPr>
    </w:p>
    <w:p w14:paraId="0F364859" w14:textId="0EF195BD"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For this project, the literature supports treating BI as more than simple reporting. The dashboard should not only show </w:t>
      </w:r>
      <w:proofErr w:type="gramStart"/>
      <w:r w:rsidRPr="00335C63">
        <w:rPr>
          <w:rFonts w:ascii="Times New Roman" w:hAnsi="Times New Roman" w:cs="Times New Roman"/>
          <w:sz w:val="24"/>
          <w:szCs w:val="24"/>
        </w:rPr>
        <w:t>totals, but</w:t>
      </w:r>
      <w:proofErr w:type="gramEnd"/>
      <w:r w:rsidRPr="00335C63">
        <w:rPr>
          <w:rFonts w:ascii="Times New Roman" w:hAnsi="Times New Roman" w:cs="Times New Roman"/>
          <w:sz w:val="24"/>
          <w:szCs w:val="24"/>
        </w:rPr>
        <w:t xml:space="preserve"> also connect business questions across sources: which ad sources produce better customers, which areas generate repeat problems, which service types cause higher refunds, and which package-fit recommendations are supported by historical patterns.</w:t>
      </w:r>
    </w:p>
    <w:p w14:paraId="4934F5C4" w14:textId="77777777" w:rsidR="00BF3F6C"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 xml:space="preserve">Schulze et al. (2023) </w:t>
      </w:r>
      <w:proofErr w:type="gramStart"/>
      <w:r w:rsidRPr="00EF6C0D">
        <w:rPr>
          <w:rFonts w:ascii="Times New Roman" w:hAnsi="Times New Roman" w:cs="Times New Roman"/>
          <w:sz w:val="24"/>
          <w:szCs w:val="24"/>
        </w:rPr>
        <w:t>provide</w:t>
      </w:r>
      <w:proofErr w:type="gramEnd"/>
      <w:r w:rsidRPr="00EF6C0D">
        <w:rPr>
          <w:rFonts w:ascii="Times New Roman" w:hAnsi="Times New Roman" w:cs="Times New Roman"/>
          <w:sz w:val="24"/>
          <w:szCs w:val="24"/>
        </w:rPr>
        <w:t xml:space="preserve"> a systematic review of digital dashboards and </w:t>
      </w:r>
      <w:proofErr w:type="gramStart"/>
      <w:r w:rsidRPr="00EF6C0D">
        <w:rPr>
          <w:rFonts w:ascii="Times New Roman" w:hAnsi="Times New Roman" w:cs="Times New Roman"/>
          <w:sz w:val="24"/>
          <w:szCs w:val="24"/>
        </w:rPr>
        <w:t>show</w:t>
      </w:r>
      <w:proofErr w:type="gramEnd"/>
      <w:r w:rsidRPr="00EF6C0D">
        <w:rPr>
          <w:rFonts w:ascii="Times New Roman" w:hAnsi="Times New Roman" w:cs="Times New Roman"/>
          <w:sz w:val="24"/>
          <w:szCs w:val="24"/>
        </w:rPr>
        <w:t xml:space="preserve"> that dashboards are most useful when they combine clear visual design, reliable data, and action-oriented communication. This supports the proposed use of Apache Superset dashboards for management users who need to scan key service, warranty, payment, and scheduling indicators quickly. Blacketer et al. (2021) further demonstrate the value of a dedicated data quality dashboard, showing that decision-makers need visibility into completeness, conformance, and data reliability before trusting analytical outputs. For Nomobug, this </w:t>
      </w:r>
      <w:proofErr w:type="gramStart"/>
      <w:r w:rsidRPr="00EF6C0D">
        <w:rPr>
          <w:rFonts w:ascii="Times New Roman" w:hAnsi="Times New Roman" w:cs="Times New Roman"/>
          <w:sz w:val="24"/>
          <w:szCs w:val="24"/>
        </w:rPr>
        <w:t>supports including</w:t>
      </w:r>
      <w:proofErr w:type="gramEnd"/>
      <w:r w:rsidRPr="00EF6C0D">
        <w:rPr>
          <w:rFonts w:ascii="Times New Roman" w:hAnsi="Times New Roman" w:cs="Times New Roman"/>
          <w:sz w:val="24"/>
          <w:szCs w:val="24"/>
        </w:rPr>
        <w:t xml:space="preserve"> a Data Quality and Refresh module rather than treating cleaning as a hidden technical step.</w:t>
      </w:r>
    </w:p>
    <w:p w14:paraId="3328D504" w14:textId="77777777" w:rsidR="00EF6C0D" w:rsidRPr="00EF6C0D" w:rsidRDefault="00EF6C0D" w:rsidP="00EF6C0D">
      <w:pPr>
        <w:spacing w:line="360" w:lineRule="auto"/>
        <w:jc w:val="both"/>
        <w:rPr>
          <w:rFonts w:ascii="Times New Roman" w:hAnsi="Times New Roman" w:cs="Times New Roman"/>
          <w:sz w:val="24"/>
          <w:szCs w:val="24"/>
        </w:rPr>
      </w:pPr>
    </w:p>
    <w:p w14:paraId="0FC54476" w14:textId="77777777" w:rsidR="00BF3F6C" w:rsidRPr="00EF6C0D"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 xml:space="preserve">Fu et al. (2024) argue that data quality in industry should be understood as part of a wider data-driven workflow, not only as a technical database issue. Their review is relevant because </w:t>
      </w:r>
      <w:r w:rsidRPr="00EF6C0D">
        <w:rPr>
          <w:rFonts w:ascii="Times New Roman" w:hAnsi="Times New Roman" w:cs="Times New Roman"/>
          <w:sz w:val="24"/>
          <w:szCs w:val="24"/>
        </w:rPr>
        <w:lastRenderedPageBreak/>
        <w:t>Nomobug's raw data comes from practical operational sources such as Google Sheets and Google Calendar, where inconsistent labels, missing identifiers, and unmatched records are expected. This reinforces the project's decision to preserve raw staging data, create cleaning flags, and show data-quality coverage before interpreting risk or performance results.</w:t>
      </w:r>
    </w:p>
    <w:p w14:paraId="30823F5F"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2.2 Weather-Aware Pest Management and Urban Pest Data</w:t>
      </w:r>
    </w:p>
    <w:p w14:paraId="74526396" w14:textId="77777777" w:rsidR="008D6A1A"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Hiscox et al. (2025) </w:t>
      </w:r>
      <w:proofErr w:type="gramStart"/>
      <w:r w:rsidRPr="00335C63">
        <w:rPr>
          <w:rFonts w:ascii="Times New Roman" w:hAnsi="Times New Roman" w:cs="Times New Roman"/>
          <w:sz w:val="24"/>
          <w:szCs w:val="24"/>
        </w:rPr>
        <w:t>review</w:t>
      </w:r>
      <w:proofErr w:type="gramEnd"/>
      <w:r w:rsidRPr="00335C63">
        <w:rPr>
          <w:rFonts w:ascii="Times New Roman" w:hAnsi="Times New Roman" w:cs="Times New Roman"/>
          <w:sz w:val="24"/>
          <w:szCs w:val="24"/>
        </w:rPr>
        <w:t xml:space="preserve"> the impact of adverse weather events on cockroaches and flies and </w:t>
      </w:r>
      <w:proofErr w:type="gramStart"/>
      <w:r w:rsidRPr="00335C63">
        <w:rPr>
          <w:rFonts w:ascii="Times New Roman" w:hAnsi="Times New Roman" w:cs="Times New Roman"/>
          <w:sz w:val="24"/>
          <w:szCs w:val="24"/>
        </w:rPr>
        <w:t>report</w:t>
      </w:r>
      <w:proofErr w:type="gramEnd"/>
      <w:r w:rsidRPr="00335C63">
        <w:rPr>
          <w:rFonts w:ascii="Times New Roman" w:hAnsi="Times New Roman" w:cs="Times New Roman"/>
          <w:sz w:val="24"/>
          <w:szCs w:val="24"/>
        </w:rPr>
        <w:t xml:space="preserve"> that increased temperature, extreme rainfall, and flooding can be associated with changes in pest population behaviour and human-pest interaction. This supports the need for weather-aware risk indicators in pest control planning. However, the same literature also shows that causal claims are difficult because pest behaviour depends on many confounding factors such as sanitation, habitat disruption, infrastructure condition, and pesticide use.</w:t>
      </w:r>
    </w:p>
    <w:p w14:paraId="41353CAB" w14:textId="77777777" w:rsidR="008D6A1A" w:rsidRDefault="008D6A1A" w:rsidP="008D6A1A">
      <w:pPr>
        <w:spacing w:line="360" w:lineRule="auto"/>
        <w:jc w:val="both"/>
        <w:rPr>
          <w:rFonts w:ascii="Times New Roman" w:hAnsi="Times New Roman" w:cs="Times New Roman"/>
          <w:sz w:val="24"/>
          <w:szCs w:val="24"/>
        </w:rPr>
      </w:pPr>
    </w:p>
    <w:p w14:paraId="370D599D" w14:textId="17C37A3D"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Richardson et al. (2025) analyse urban rat reports across multiple cities and </w:t>
      </w:r>
      <w:proofErr w:type="gramStart"/>
      <w:r w:rsidRPr="00335C63">
        <w:rPr>
          <w:rFonts w:ascii="Times New Roman" w:hAnsi="Times New Roman" w:cs="Times New Roman"/>
          <w:sz w:val="24"/>
          <w:szCs w:val="24"/>
        </w:rPr>
        <w:t>find</w:t>
      </w:r>
      <w:proofErr w:type="gramEnd"/>
      <w:r w:rsidRPr="00335C63">
        <w:rPr>
          <w:rFonts w:ascii="Times New Roman" w:hAnsi="Times New Roman" w:cs="Times New Roman"/>
          <w:sz w:val="24"/>
          <w:szCs w:val="24"/>
        </w:rPr>
        <w:t xml:space="preserve"> that rat numbers are linked with climate warming, urbanization, and population density. While the study is not specific to Malaysian pest control service records, it demonstrates the importance of combining pest reports with environmental and urban context. Brimblecombe et al. (2023) also show that urban pest enquiry databases can reveal long-term patterns, but such records are heterogeneous and may be affected by reporting bias. These studies justify using Nomobug's internal service outcomes carefully as business evidence rather than as universal ecological proof.</w:t>
      </w:r>
    </w:p>
    <w:p w14:paraId="1633A159"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2.3 Digital Pest Decision Support Systems</w:t>
      </w:r>
    </w:p>
    <w:p w14:paraId="4B6D56E2" w14:textId="77777777" w:rsidR="008D6A1A"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Pinto et al. (2025) </w:t>
      </w:r>
      <w:proofErr w:type="gramStart"/>
      <w:r w:rsidRPr="00335C63">
        <w:rPr>
          <w:rFonts w:ascii="Times New Roman" w:hAnsi="Times New Roman" w:cs="Times New Roman"/>
          <w:sz w:val="24"/>
          <w:szCs w:val="24"/>
        </w:rPr>
        <w:t>describe</w:t>
      </w:r>
      <w:proofErr w:type="gramEnd"/>
      <w:r w:rsidRPr="00335C63">
        <w:rPr>
          <w:rFonts w:ascii="Times New Roman" w:hAnsi="Times New Roman" w:cs="Times New Roman"/>
          <w:sz w:val="24"/>
          <w:szCs w:val="24"/>
        </w:rPr>
        <w:t xml:space="preserve"> the Network for Environment and Weather Applications (NEWA), a weather-based pest and disease decision support platform that integrates historical and forecast weather data with risk models. Although NEWA focuses on agricultural integrated pest management, it demonstrates the value of combining weather data, dashboards, alerts, and decision-support outputs. The proposed Nomobug system adapts this idea to an urban pest-control SME context by combining service outcomes, warranty records, recurrence windows, and local weather indicators.</w:t>
      </w:r>
    </w:p>
    <w:p w14:paraId="07CC17A8" w14:textId="77777777" w:rsidR="008D6A1A" w:rsidRDefault="008D6A1A" w:rsidP="008D6A1A">
      <w:pPr>
        <w:spacing w:line="360" w:lineRule="auto"/>
        <w:jc w:val="both"/>
        <w:rPr>
          <w:rFonts w:ascii="Times New Roman" w:hAnsi="Times New Roman" w:cs="Times New Roman"/>
          <w:sz w:val="24"/>
          <w:szCs w:val="24"/>
        </w:rPr>
      </w:pPr>
    </w:p>
    <w:p w14:paraId="7C7763B4" w14:textId="3CAB042D"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The research gap is that most pest decision-support examples focus on agriculture or public-sector surveillance, while SME pest control operations need analytics around customer service </w:t>
      </w:r>
      <w:r w:rsidRPr="00335C63">
        <w:rPr>
          <w:rFonts w:ascii="Times New Roman" w:hAnsi="Times New Roman" w:cs="Times New Roman"/>
          <w:sz w:val="24"/>
          <w:szCs w:val="24"/>
        </w:rPr>
        <w:lastRenderedPageBreak/>
        <w:t>outcomes, warranty costs, technician review indicators, and upsell planning. This project therefore contributes by applying weather-aware decision support to a real commercial service dataset rather than only biological pest observations.</w:t>
      </w:r>
    </w:p>
    <w:p w14:paraId="1DE017B2" w14:textId="77777777" w:rsidR="00BF3F6C"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 xml:space="preserve">Tonle et al. (2024) </w:t>
      </w:r>
      <w:proofErr w:type="gramStart"/>
      <w:r w:rsidRPr="00EF6C0D">
        <w:rPr>
          <w:rFonts w:ascii="Times New Roman" w:hAnsi="Times New Roman" w:cs="Times New Roman"/>
          <w:sz w:val="24"/>
          <w:szCs w:val="24"/>
        </w:rPr>
        <w:t>propose</w:t>
      </w:r>
      <w:proofErr w:type="gramEnd"/>
      <w:r w:rsidRPr="00EF6C0D">
        <w:rPr>
          <w:rFonts w:ascii="Times New Roman" w:hAnsi="Times New Roman" w:cs="Times New Roman"/>
          <w:sz w:val="24"/>
          <w:szCs w:val="24"/>
        </w:rPr>
        <w:t xml:space="preserve"> a roadmap for developing decision support systems for integrated pest management and </w:t>
      </w:r>
      <w:proofErr w:type="gramStart"/>
      <w:r w:rsidRPr="00EF6C0D">
        <w:rPr>
          <w:rFonts w:ascii="Times New Roman" w:hAnsi="Times New Roman" w:cs="Times New Roman"/>
          <w:sz w:val="24"/>
          <w:szCs w:val="24"/>
        </w:rPr>
        <w:t>highlight</w:t>
      </w:r>
      <w:proofErr w:type="gramEnd"/>
      <w:r w:rsidRPr="00EF6C0D">
        <w:rPr>
          <w:rFonts w:ascii="Times New Roman" w:hAnsi="Times New Roman" w:cs="Times New Roman"/>
          <w:sz w:val="24"/>
          <w:szCs w:val="24"/>
        </w:rPr>
        <w:t xml:space="preserve"> the need for practical architectures that connect data sources, models, and user-facing decision outputs. Although their focus is agricultural IPM, the architecture principle is highly relevant to this project because the Nomobug system will connect operational data, weather enrichment, analytics marts, and dashboard recommendations. Marinko et al. (2024) also develop a typology for IPM decision support systems and implement it as a web application, showing that DSS features must be classified clearly so users understand whether the system provides monitoring, prediction, recommendation, or advisory support.</w:t>
      </w:r>
    </w:p>
    <w:p w14:paraId="3F4E8F61" w14:textId="77777777" w:rsidR="00EF6C0D" w:rsidRPr="00EF6C0D" w:rsidRDefault="00EF6C0D" w:rsidP="00EF6C0D">
      <w:pPr>
        <w:spacing w:line="360" w:lineRule="auto"/>
        <w:rPr>
          <w:rFonts w:ascii="Times New Roman" w:hAnsi="Times New Roman" w:cs="Times New Roman"/>
          <w:sz w:val="24"/>
          <w:szCs w:val="24"/>
        </w:rPr>
      </w:pPr>
    </w:p>
    <w:p w14:paraId="38F9BD50" w14:textId="77777777" w:rsidR="00BF3F6C" w:rsidRPr="00EF6C0D"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 xml:space="preserve">Fiori et al. (2024) present SMARTerra, a high-resolution DSS for monitoring plant pests and diseases through risk maps and timely intervention support. This strengthens the justification for using weather-associated risk maps and area-level planning views in Nomobug. Marinko et al. (2025) examine barriers to DSS adoption in integrated pest management and show that practical uptake depends on trust, usability, data availability, and perceived usefulness. This is important for the capstone because the dashboard must be understandable to company users, </w:t>
      </w:r>
      <w:proofErr w:type="gramStart"/>
      <w:r w:rsidRPr="00EF6C0D">
        <w:rPr>
          <w:rFonts w:ascii="Times New Roman" w:hAnsi="Times New Roman" w:cs="Times New Roman"/>
          <w:sz w:val="24"/>
          <w:szCs w:val="24"/>
        </w:rPr>
        <w:t>not only technically</w:t>
      </w:r>
      <w:proofErr w:type="gramEnd"/>
      <w:r w:rsidRPr="00EF6C0D">
        <w:rPr>
          <w:rFonts w:ascii="Times New Roman" w:hAnsi="Times New Roman" w:cs="Times New Roman"/>
          <w:sz w:val="24"/>
          <w:szCs w:val="24"/>
        </w:rPr>
        <w:t xml:space="preserve"> impressive.</w:t>
      </w:r>
    </w:p>
    <w:p w14:paraId="0B38F16C"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2.4 Spatial-Temporal Hotspot Detection</w:t>
      </w:r>
    </w:p>
    <w:p w14:paraId="2292679F"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Spatial-temporal analytics are useful when the location and timing of events matter. Li et al. (2023) propose a spatiotemporal clustering algorithm for satellite hotspot data and discuss the importance of density-based clustering, arbitrary cluster shapes, noise handling, and parameter selection. Their work supports the use of DBSCAN-style clustering for Nomobug's repeat-problem data because warranty cases may form irregular clusters and random isolated claims should not automatically become hotspots.</w:t>
      </w:r>
    </w:p>
    <w:p w14:paraId="09EED7D6" w14:textId="77777777" w:rsidR="008D6A1A" w:rsidRPr="00335C63" w:rsidRDefault="008D6A1A" w:rsidP="008D6A1A">
      <w:pPr>
        <w:spacing w:line="360" w:lineRule="auto"/>
        <w:jc w:val="both"/>
        <w:rPr>
          <w:rFonts w:ascii="Times New Roman" w:hAnsi="Times New Roman" w:cs="Times New Roman"/>
          <w:sz w:val="24"/>
          <w:szCs w:val="24"/>
        </w:rPr>
      </w:pPr>
    </w:p>
    <w:p w14:paraId="659DF8C1"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KDE heatmaps complement clustering because they provide a smoother visual layer for dashboard users. In this project, DBSCAN will be used as the main clustering method for detecting candidate repeat-problem hotspots, while KDE-style heatmaps will be used mainly </w:t>
      </w:r>
      <w:r w:rsidRPr="00335C63">
        <w:rPr>
          <w:rFonts w:ascii="Times New Roman" w:hAnsi="Times New Roman" w:cs="Times New Roman"/>
          <w:sz w:val="24"/>
          <w:szCs w:val="24"/>
        </w:rPr>
        <w:lastRenderedPageBreak/>
        <w:t>for visual interpretation. This keeps the method understandable for management while still providing a stronger spatial analysis contribution than a simple area-count table.</w:t>
      </w:r>
    </w:p>
    <w:p w14:paraId="79A82EE6" w14:textId="77777777" w:rsidR="00EF6C0D" w:rsidRPr="00335C63" w:rsidRDefault="00EF6C0D" w:rsidP="008D6A1A">
      <w:pPr>
        <w:spacing w:line="360" w:lineRule="auto"/>
        <w:jc w:val="both"/>
        <w:rPr>
          <w:rFonts w:ascii="Times New Roman" w:hAnsi="Times New Roman" w:cs="Times New Roman"/>
          <w:sz w:val="24"/>
          <w:szCs w:val="24"/>
        </w:rPr>
      </w:pPr>
    </w:p>
    <w:p w14:paraId="5FE081FF" w14:textId="77777777" w:rsidR="00BF3F6C" w:rsidRPr="00EF6C0D"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Choi and Hong (2021) propose MDST-DBSCAN for multidimensional spatiotemporal data and show that density-based methods can identify clusters while supporting irregular cluster shapes and noise separation. This supports the choice of DBSCAN-style hotspot detection for repeat-problem and warranty records, because pest service outcomes may cluster around small local areas rather than fixed administrative boundaries. The proposed project will keep the method simpler than MDST-DBSCAN for implementation, but the study supports the suitability of density-based clustering for spatiotemporal analysis.</w:t>
      </w:r>
    </w:p>
    <w:p w14:paraId="785CF494"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2.5 Weather-Based Prediction and Explainable Modelling</w:t>
      </w:r>
    </w:p>
    <w:p w14:paraId="211FC442"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Sumido et al. (2023) demonstrate that pest occurrence can be modelled using weather variables and machine learning techniques, showing that weather can be a meaningful input for pest prediction. However, Nomobug's warranty dataset is expected to contain approximately 200+ warranty records, which is small for complex machine learning. Therefore, this project will use lightweight and explainable methods first, such as time-lag rainfall analysis, simple comparative recurrence rates, and logistic regression only if the feature set and target variable are sufficiently stable.</w:t>
      </w:r>
    </w:p>
    <w:p w14:paraId="2AF24958" w14:textId="77777777" w:rsidR="008D6A1A" w:rsidRPr="00335C63" w:rsidRDefault="008D6A1A" w:rsidP="008D6A1A">
      <w:pPr>
        <w:spacing w:line="360" w:lineRule="auto"/>
        <w:jc w:val="both"/>
        <w:rPr>
          <w:rFonts w:ascii="Times New Roman" w:hAnsi="Times New Roman" w:cs="Times New Roman"/>
          <w:sz w:val="24"/>
          <w:szCs w:val="24"/>
        </w:rPr>
      </w:pPr>
    </w:p>
    <w:p w14:paraId="5AB8E06E" w14:textId="77777777" w:rsidR="0084730D" w:rsidRDefault="00357319"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This choice is methodologically important. Complex models such as random forests, XGBoost, or deep learning may appear advanced, but they can overfit small datasets and reduce explainability. Because the expected warranty data volume is modest, the project will position complex ML as optional or future work and will focus first on defensible analytics: day/week/month descriptive trends, recurrence windows, DBSCAN/KDE hotspots, weather lag indicators, and simple logistic regression only where the data is sufficient.</w:t>
      </w:r>
    </w:p>
    <w:p w14:paraId="73DE527B" w14:textId="77777777" w:rsidR="00EF6C0D" w:rsidRPr="00EF6C0D" w:rsidRDefault="00EF6C0D" w:rsidP="00EF6C0D">
      <w:pPr>
        <w:spacing w:line="360" w:lineRule="auto"/>
        <w:jc w:val="both"/>
        <w:rPr>
          <w:rFonts w:ascii="Times New Roman" w:hAnsi="Times New Roman" w:cs="Times New Roman"/>
          <w:sz w:val="28"/>
          <w:szCs w:val="28"/>
        </w:rPr>
      </w:pPr>
    </w:p>
    <w:p w14:paraId="42E80EF8" w14:textId="77777777" w:rsidR="00BF3F6C" w:rsidRPr="00EF6C0D"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 xml:space="preserve">Ejike et al. (2025) compare logistic regression and random forest models for rainfall prediction in tropical and temperate climates, including Alor Setar as a tropical site. Their study supports the use of weather variables such as humidity, pressure, temperature, and rainfall in predictive modelling, but it also shows why model choice should match the problem and data size. For </w:t>
      </w:r>
      <w:r w:rsidRPr="00EF6C0D">
        <w:rPr>
          <w:rFonts w:ascii="Times New Roman" w:hAnsi="Times New Roman" w:cs="Times New Roman"/>
          <w:sz w:val="24"/>
          <w:szCs w:val="24"/>
        </w:rPr>
        <w:lastRenderedPageBreak/>
        <w:t>Nomobug, logistic regression and lag-based weather features are more defensible than heavier models because the warranty dataset is expected to contain only around 200+ records.</w:t>
      </w:r>
    </w:p>
    <w:p w14:paraId="5B93192F" w14:textId="77777777" w:rsidR="00BF3F6C" w:rsidRPr="00EF6C0D"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Yao et al. (2026) use XGBoost and SHAP to analyse environmental, demographic, and socio-economic factors associated with mosquito density. This demonstrates the value of explainability when environmental factors are used in pest-related modelling. However, the proposed Nomobug system will treat SHAP-style explanations as future work or optional model interpretation, because the first implementation should prioritise robust descriptive, spatial, and recurrence analytics over complex models that may overfit limited warranty data.</w:t>
      </w:r>
    </w:p>
    <w:p w14:paraId="0186CE9B"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2.6 AI-Assisted Recommendations for SMEs</w:t>
      </w:r>
    </w:p>
    <w:p w14:paraId="2BB0C057"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Lu et al. (2022) review AI-enabled opportunities and transformation challenges for SMEs, showing that AI can support SME resilience and performance but must be adopted with attention to resource constraints, organizational readiness, and practical value. This directly supports the proposed future use of local Ollama-based recommendations. Rather than making AI the source of truth, the proposed system will calculate analytics-backed scores first and then use local AI to generate plain-language suggestions for management.</w:t>
      </w:r>
    </w:p>
    <w:p w14:paraId="5CFE1090" w14:textId="77777777" w:rsidR="008D6A1A" w:rsidRPr="00335C63" w:rsidRDefault="008D6A1A" w:rsidP="008D6A1A">
      <w:pPr>
        <w:spacing w:line="360" w:lineRule="auto"/>
        <w:jc w:val="both"/>
        <w:rPr>
          <w:rFonts w:ascii="Times New Roman" w:hAnsi="Times New Roman" w:cs="Times New Roman"/>
          <w:sz w:val="24"/>
          <w:szCs w:val="24"/>
        </w:rPr>
      </w:pPr>
    </w:p>
    <w:p w14:paraId="36CF8DA4"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This approach keeps the AI layer low-cost and </w:t>
      </w:r>
      <w:proofErr w:type="gramStart"/>
      <w:r w:rsidRPr="00335C63">
        <w:rPr>
          <w:rFonts w:ascii="Times New Roman" w:hAnsi="Times New Roman" w:cs="Times New Roman"/>
          <w:sz w:val="24"/>
          <w:szCs w:val="24"/>
        </w:rPr>
        <w:t>privacy-conscious</w:t>
      </w:r>
      <w:proofErr w:type="gramEnd"/>
      <w:r w:rsidRPr="00335C63">
        <w:rPr>
          <w:rFonts w:ascii="Times New Roman" w:hAnsi="Times New Roman" w:cs="Times New Roman"/>
          <w:sz w:val="24"/>
          <w:szCs w:val="24"/>
        </w:rPr>
        <w:t>. The company can run Ollama locally in the future to explain why a case is high risk, why an area needs closer monitoring, or which action may reduce repeat visits. This is aligned with prescriptive analytics while avoiding external AI API cost.</w:t>
      </w:r>
    </w:p>
    <w:p w14:paraId="4F2C44E9" w14:textId="77777777" w:rsidR="00EF6C0D" w:rsidRPr="00335C63" w:rsidRDefault="00EF6C0D" w:rsidP="008D6A1A">
      <w:pPr>
        <w:spacing w:line="360" w:lineRule="auto"/>
        <w:jc w:val="both"/>
        <w:rPr>
          <w:rFonts w:ascii="Times New Roman" w:hAnsi="Times New Roman" w:cs="Times New Roman"/>
          <w:sz w:val="24"/>
          <w:szCs w:val="24"/>
        </w:rPr>
      </w:pPr>
    </w:p>
    <w:p w14:paraId="3539F8CA" w14:textId="77777777" w:rsidR="00BF3F6C" w:rsidRPr="00EF6C0D" w:rsidRDefault="003C0C08" w:rsidP="00EF6C0D">
      <w:pPr>
        <w:spacing w:line="360" w:lineRule="auto"/>
        <w:jc w:val="both"/>
        <w:rPr>
          <w:rFonts w:ascii="Times New Roman" w:hAnsi="Times New Roman" w:cs="Times New Roman"/>
          <w:sz w:val="24"/>
          <w:szCs w:val="24"/>
        </w:rPr>
      </w:pPr>
      <w:r w:rsidRPr="00EF6C0D">
        <w:rPr>
          <w:rFonts w:ascii="Times New Roman" w:hAnsi="Times New Roman" w:cs="Times New Roman"/>
          <w:sz w:val="24"/>
          <w:szCs w:val="24"/>
        </w:rPr>
        <w:t>Leybourne et al. (2025) discuss whether AI can be integrated into pest monitoring schemes and emphasise that successful AI use requires both computational capability and practical acceptance by domain users. This supports the project's decision to keep Ollama as a future local explanation layer rather than making generative AI the main decision engine. Recommendations should first be produced by transparent analytics rules and stored in a recommendation log; local AI can later translate those results into clearer management-facing explanations.</w:t>
      </w:r>
    </w:p>
    <w:p w14:paraId="5379AF38" w14:textId="77777777" w:rsidR="0084730D" w:rsidRPr="00335C63" w:rsidRDefault="00357319" w:rsidP="000F4170">
      <w:pPr>
        <w:pStyle w:val="Heading2"/>
        <w:spacing w:line="360" w:lineRule="auto"/>
        <w:rPr>
          <w:rFonts w:ascii="Times New Roman" w:hAnsi="Times New Roman" w:cs="Times New Roman"/>
          <w:sz w:val="24"/>
          <w:szCs w:val="24"/>
        </w:rPr>
      </w:pPr>
      <w:r>
        <w:lastRenderedPageBreak/>
        <w:t>2.7 Comparative Review of Selected Studies</w:t>
      </w:r>
    </w:p>
    <w:p w14:paraId="17BDFF7F"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 xml:space="preserve">Ragazou et al. (2023) proposed a business intelligence model for empowering SMEs to make better decisions and improve competitive advantage. Their work supports the idea that scattered operational data can become useful management information when it is organised into a structured analytics model. This is relevant to Nomobug because the company already records leads, services, payments, warranty claims, refunds, calendar events, and </w:t>
      </w:r>
      <w:proofErr w:type="gramStart"/>
      <w:r w:rsidRPr="008D6A1A">
        <w:rPr>
          <w:rFonts w:ascii="Times New Roman" w:hAnsi="Times New Roman" w:cs="Times New Roman"/>
          <w:sz w:val="24"/>
          <w:szCs w:val="24"/>
        </w:rPr>
        <w:t>upsell</w:t>
      </w:r>
      <w:proofErr w:type="gramEnd"/>
      <w:r w:rsidRPr="008D6A1A">
        <w:rPr>
          <w:rFonts w:ascii="Times New Roman" w:hAnsi="Times New Roman" w:cs="Times New Roman"/>
          <w:sz w:val="24"/>
          <w:szCs w:val="24"/>
        </w:rPr>
        <w:t xml:space="preserve"> activity, but these records are not yet integrated for decision-making.</w:t>
      </w:r>
    </w:p>
    <w:p w14:paraId="4F6371F6" w14:textId="77777777" w:rsidR="008D6A1A" w:rsidRPr="008D6A1A" w:rsidRDefault="008D6A1A" w:rsidP="008D6A1A">
      <w:pPr>
        <w:spacing w:line="360" w:lineRule="auto"/>
        <w:jc w:val="both"/>
        <w:rPr>
          <w:rFonts w:ascii="Times New Roman" w:hAnsi="Times New Roman" w:cs="Times New Roman"/>
          <w:sz w:val="24"/>
          <w:szCs w:val="24"/>
        </w:rPr>
      </w:pPr>
    </w:p>
    <w:p w14:paraId="6EFF711E"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 xml:space="preserve">Gurcan et al. (2023) analysed business intelligence trends and showed that recent BI work increasingly combines visualisation, data mining, big data analytics, and AI. This supports the proposed layered dashboard design, where descriptive analytics will be combined with predictive indicators and prescriptive recommendations. It also supports the decision to use Apache Superset and BigQuery as </w:t>
      </w:r>
      <w:proofErr w:type="gramStart"/>
      <w:r w:rsidRPr="008D6A1A">
        <w:rPr>
          <w:rFonts w:ascii="Times New Roman" w:hAnsi="Times New Roman" w:cs="Times New Roman"/>
          <w:sz w:val="24"/>
          <w:szCs w:val="24"/>
        </w:rPr>
        <w:t>a practical</w:t>
      </w:r>
      <w:proofErr w:type="gramEnd"/>
      <w:r w:rsidRPr="008D6A1A">
        <w:rPr>
          <w:rFonts w:ascii="Times New Roman" w:hAnsi="Times New Roman" w:cs="Times New Roman"/>
          <w:sz w:val="24"/>
          <w:szCs w:val="24"/>
        </w:rPr>
        <w:t xml:space="preserve"> analytics architecture rather than building a full CRM system.</w:t>
      </w:r>
    </w:p>
    <w:p w14:paraId="6D8C82E1" w14:textId="77777777" w:rsidR="008D6A1A" w:rsidRPr="008D6A1A" w:rsidRDefault="008D6A1A" w:rsidP="008D6A1A">
      <w:pPr>
        <w:spacing w:line="360" w:lineRule="auto"/>
        <w:jc w:val="both"/>
        <w:rPr>
          <w:rFonts w:ascii="Times New Roman" w:hAnsi="Times New Roman" w:cs="Times New Roman"/>
          <w:sz w:val="24"/>
          <w:szCs w:val="24"/>
        </w:rPr>
      </w:pPr>
    </w:p>
    <w:p w14:paraId="58A37EC3"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Cordon (2026) presented predictive heat maps for Periplaneta americana infestation in urban sanitation networks. This source is directly relevant because it demonstrates how urban cockroach infestation risk can be represented spatially over time. However, it is best used as supporting evidence for heatmap and temporal visualisation concepts rather than as the main modelling reference because the proposed Nomobug system must analyse company service outcomes, not only infestation observations.</w:t>
      </w:r>
    </w:p>
    <w:p w14:paraId="23D10811" w14:textId="77777777" w:rsidR="008D6A1A" w:rsidRPr="008D6A1A" w:rsidRDefault="008D6A1A" w:rsidP="008D6A1A">
      <w:pPr>
        <w:spacing w:line="360" w:lineRule="auto"/>
        <w:jc w:val="both"/>
        <w:rPr>
          <w:rFonts w:ascii="Times New Roman" w:hAnsi="Times New Roman" w:cs="Times New Roman"/>
          <w:sz w:val="24"/>
          <w:szCs w:val="24"/>
        </w:rPr>
      </w:pPr>
    </w:p>
    <w:p w14:paraId="1342EA37"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Calatayud et al. (2023) proposed a population model for urban infestations, showing that urban pest problems can be represented using mathematical and spatial modelling approaches. This is relevant to the project because it supports the idea that urban infestation risk is not random and can be modelled using environmental and location-based information. The limitation is that the study is more theoretical than the planned company dashboard, so the project will apply simpler operational analytics first.</w:t>
      </w:r>
    </w:p>
    <w:p w14:paraId="1F640892" w14:textId="77777777" w:rsidR="008D6A1A" w:rsidRPr="008D6A1A" w:rsidRDefault="008D6A1A" w:rsidP="008D6A1A">
      <w:pPr>
        <w:spacing w:line="360" w:lineRule="auto"/>
        <w:jc w:val="both"/>
        <w:rPr>
          <w:rFonts w:ascii="Times New Roman" w:hAnsi="Times New Roman" w:cs="Times New Roman"/>
          <w:sz w:val="24"/>
          <w:szCs w:val="24"/>
        </w:rPr>
      </w:pPr>
    </w:p>
    <w:p w14:paraId="091FFEA0" w14:textId="77777777" w:rsidR="00984EB3" w:rsidRPr="008D6A1A"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 xml:space="preserve">Hiscox et al. (2025) reviewed the impact of adverse weather events on cockroaches and flies and reported that temperature, extreme rainfall, and flooding may influence pest ecology and </w:t>
      </w:r>
      <w:r w:rsidRPr="008D6A1A">
        <w:rPr>
          <w:rFonts w:ascii="Times New Roman" w:hAnsi="Times New Roman" w:cs="Times New Roman"/>
          <w:sz w:val="24"/>
          <w:szCs w:val="24"/>
        </w:rPr>
        <w:lastRenderedPageBreak/>
        <w:t>human-pest interaction. This supports the inclusion of rainfall, humidity, and temperature as weather-associated indicators. The study also supports cautious wording because pest activity can be affected by sanitation, building condition, habitat disturbance, and other confounding factors.</w:t>
      </w:r>
    </w:p>
    <w:p w14:paraId="2B77EDE8"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Richardson et al. (2025) examined urban rat reports and linked increasing rat numbers with climate warming, urbanisation, and human population. Although the study is not based on Malaysian pest-control service records, it supports the broader idea that urban pest issues should be analysed together with environmental and urban context. This is relevant to the proposed area risk, treatment difficulty, and recurrence analytics modules.</w:t>
      </w:r>
    </w:p>
    <w:p w14:paraId="146D53D6" w14:textId="77777777" w:rsidR="008D6A1A" w:rsidRPr="008D6A1A" w:rsidRDefault="008D6A1A" w:rsidP="008D6A1A">
      <w:pPr>
        <w:spacing w:line="360" w:lineRule="auto"/>
        <w:jc w:val="both"/>
        <w:rPr>
          <w:rFonts w:ascii="Times New Roman" w:hAnsi="Times New Roman" w:cs="Times New Roman"/>
          <w:sz w:val="24"/>
          <w:szCs w:val="24"/>
        </w:rPr>
      </w:pPr>
    </w:p>
    <w:p w14:paraId="32EEB672"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Brimblecombe et al. (2023) analysed long-term urban pest enquiries in Zurich and showed that public enquiry and complaint data can reveal useful patterns in urban pest abundance. This supports the use of Nomobug warranty, complaint, and refund records as operational evidence. However, the study also highlights that such records may be incomplete, biased, or inconsistent, which supports the need for data quality flags and careful interpretation.</w:t>
      </w:r>
    </w:p>
    <w:p w14:paraId="5054683E" w14:textId="77777777" w:rsidR="008D6A1A" w:rsidRPr="008D6A1A" w:rsidRDefault="008D6A1A" w:rsidP="008D6A1A">
      <w:pPr>
        <w:spacing w:line="360" w:lineRule="auto"/>
        <w:jc w:val="both"/>
        <w:rPr>
          <w:rFonts w:ascii="Times New Roman" w:hAnsi="Times New Roman" w:cs="Times New Roman"/>
          <w:sz w:val="24"/>
          <w:szCs w:val="24"/>
        </w:rPr>
      </w:pPr>
    </w:p>
    <w:p w14:paraId="0ADA131A"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Pinto et al. (2025) described the Network for Environment and Weather Applications as a digital pest management decision-support tool that combines weather data, dashboards, alerts, and risk models. Although the system focuses on agricultural pest management, it provides a useful reference for weather-aware decision support. The Nomobug project adapts this concept into an urban pest-control SME context using service outcomes, warranty claims, and scheduling data.</w:t>
      </w:r>
    </w:p>
    <w:p w14:paraId="3837CA30" w14:textId="77777777" w:rsidR="008D6A1A" w:rsidRPr="008D6A1A" w:rsidRDefault="008D6A1A" w:rsidP="008D6A1A">
      <w:pPr>
        <w:spacing w:line="360" w:lineRule="auto"/>
        <w:jc w:val="both"/>
        <w:rPr>
          <w:rFonts w:ascii="Times New Roman" w:hAnsi="Times New Roman" w:cs="Times New Roman"/>
          <w:sz w:val="24"/>
          <w:szCs w:val="24"/>
        </w:rPr>
      </w:pPr>
    </w:p>
    <w:p w14:paraId="6B1B7E32"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Erguler et al. (2024) developed VEClim, an early warning decision-support system for climate-sensitive vector activity and vector-borne disease risk assessment. This source is highly relevant because it demonstrates how climate-sensitive modelling can support warning systems and planning decisions. The proposed Nomobug dashboard follows a similar decision-support direction but applies it to pest-control operations and management planning rather than public health vector surveillance.</w:t>
      </w:r>
    </w:p>
    <w:p w14:paraId="74D72FA0" w14:textId="77777777" w:rsidR="008D6A1A" w:rsidRPr="008D6A1A" w:rsidRDefault="008D6A1A" w:rsidP="008D6A1A">
      <w:pPr>
        <w:spacing w:line="360" w:lineRule="auto"/>
        <w:jc w:val="both"/>
        <w:rPr>
          <w:rFonts w:ascii="Times New Roman" w:hAnsi="Times New Roman" w:cs="Times New Roman"/>
          <w:sz w:val="24"/>
          <w:szCs w:val="24"/>
        </w:rPr>
      </w:pPr>
    </w:p>
    <w:p w14:paraId="18C53562"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lastRenderedPageBreak/>
        <w:t>Yao et al. (2026) analysed environmental, demographic, and socio-economic factors influencing Aedes albopictus mosquito density using XGBoost and SHAP. The study supports the value of combining environmental variables with interpretable machine-learning explanations. However, because Nomobug has a smaller warranty dataset, the project will not rely on complex XGBoost modelling as the main approach; instead, it will use the study to justify explainable features and future model improvement.</w:t>
      </w:r>
    </w:p>
    <w:p w14:paraId="2009042A" w14:textId="77777777" w:rsidR="008D6A1A" w:rsidRPr="008D6A1A" w:rsidRDefault="008D6A1A" w:rsidP="008D6A1A">
      <w:pPr>
        <w:spacing w:line="360" w:lineRule="auto"/>
        <w:jc w:val="both"/>
        <w:rPr>
          <w:rFonts w:ascii="Times New Roman" w:hAnsi="Times New Roman" w:cs="Times New Roman"/>
          <w:sz w:val="24"/>
          <w:szCs w:val="24"/>
        </w:rPr>
      </w:pPr>
    </w:p>
    <w:p w14:paraId="609DB5C2"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 xml:space="preserve">Kaloudis et al. (2026) proposed a temperature-driven population dynamics model using biweekly insect trap counts for stored-product pest management. This source supports the relevance of temperature and time-window features in pest analytics. Since it is a preprint and focuses on stored-product pests, it will be treated as supporting evidence rather than as the main evaluation standard for the </w:t>
      </w:r>
      <w:proofErr w:type="spellStart"/>
      <w:r w:rsidRPr="008D6A1A">
        <w:rPr>
          <w:rFonts w:ascii="Times New Roman" w:hAnsi="Times New Roman" w:cs="Times New Roman"/>
          <w:sz w:val="24"/>
          <w:szCs w:val="24"/>
        </w:rPr>
        <w:t>Nomobug</w:t>
      </w:r>
      <w:proofErr w:type="spellEnd"/>
      <w:r w:rsidRPr="008D6A1A">
        <w:rPr>
          <w:rFonts w:ascii="Times New Roman" w:hAnsi="Times New Roman" w:cs="Times New Roman"/>
          <w:sz w:val="24"/>
          <w:szCs w:val="24"/>
        </w:rPr>
        <w:t xml:space="preserve"> dashboard.</w:t>
      </w:r>
    </w:p>
    <w:p w14:paraId="1071C973" w14:textId="77777777" w:rsidR="008D6A1A" w:rsidRPr="008D6A1A" w:rsidRDefault="008D6A1A" w:rsidP="008D6A1A">
      <w:pPr>
        <w:spacing w:line="360" w:lineRule="auto"/>
        <w:jc w:val="both"/>
        <w:rPr>
          <w:rFonts w:ascii="Times New Roman" w:hAnsi="Times New Roman" w:cs="Times New Roman"/>
          <w:sz w:val="24"/>
          <w:szCs w:val="24"/>
        </w:rPr>
      </w:pPr>
    </w:p>
    <w:p w14:paraId="1D52C66B"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Sumido et al. (2023) examined pest classification and prediction using weather variables and machine-learning techniques. This supports the use of rainfall, humidity, and temperature as features for pest-related analytics. The study is relevant to the proposed weather-associated warranty and repeat-problem analysis, although the Nomobug system will prioritise transparent and explainable scoring due to limited labelled warranty data.</w:t>
      </w:r>
    </w:p>
    <w:p w14:paraId="4BD54920" w14:textId="77777777" w:rsidR="008D6A1A" w:rsidRPr="008D6A1A" w:rsidRDefault="008D6A1A" w:rsidP="008D6A1A">
      <w:pPr>
        <w:spacing w:line="360" w:lineRule="auto"/>
        <w:jc w:val="both"/>
        <w:rPr>
          <w:rFonts w:ascii="Times New Roman" w:hAnsi="Times New Roman" w:cs="Times New Roman"/>
          <w:sz w:val="24"/>
          <w:szCs w:val="24"/>
        </w:rPr>
      </w:pPr>
    </w:p>
    <w:p w14:paraId="0B92C2C7"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Biswas et al. (2022) described a pest forecasting system using historical pesticide usage information. Although it is patent literature rather than an academic evaluation paper, it shows that historical operational records can be used as inputs for pest forecasting. This is relevant because the proposed project similarly uses historical service, warranty, refund, and calendar records to generate planning indicators.</w:t>
      </w:r>
    </w:p>
    <w:p w14:paraId="0732EAFA" w14:textId="77777777" w:rsidR="008D6A1A" w:rsidRPr="008D6A1A" w:rsidRDefault="008D6A1A" w:rsidP="008D6A1A">
      <w:pPr>
        <w:spacing w:line="360" w:lineRule="auto"/>
        <w:jc w:val="both"/>
        <w:rPr>
          <w:rFonts w:ascii="Times New Roman" w:hAnsi="Times New Roman" w:cs="Times New Roman"/>
          <w:sz w:val="24"/>
          <w:szCs w:val="24"/>
        </w:rPr>
      </w:pPr>
    </w:p>
    <w:p w14:paraId="1846FFD9"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Dey and Roy (2025) discussed the use of AI and IoT for pest management in smart agriculture. This source is relevant as a broader technology reference because it connects pest management with automated monitoring and intelligent decision support. However, the Nomobug project will avoid expensive IoT deployment and will instead focus on existing company data, dashboard analytics, and optional local AI explanations.</w:t>
      </w:r>
    </w:p>
    <w:p w14:paraId="409A04AE" w14:textId="77777777" w:rsidR="008D6A1A" w:rsidRPr="008D6A1A" w:rsidRDefault="008D6A1A" w:rsidP="008D6A1A">
      <w:pPr>
        <w:spacing w:line="360" w:lineRule="auto"/>
        <w:jc w:val="both"/>
        <w:rPr>
          <w:rFonts w:ascii="Times New Roman" w:hAnsi="Times New Roman" w:cs="Times New Roman"/>
          <w:sz w:val="24"/>
          <w:szCs w:val="24"/>
        </w:rPr>
      </w:pPr>
    </w:p>
    <w:p w14:paraId="76D1DA1B" w14:textId="77777777" w:rsidR="00984EB3"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lastRenderedPageBreak/>
        <w:t>Google Calendar API documentation shows that calendar events can be retrieved and processed through API calls. This supports using Google Calendar as an operational data source for scheduling capacity, service stage, team workload, and warranty or extra-service identification. Because calendar titles and descriptions are semi-structured, the methodology will include parsing rules and match-confidence flags.</w:t>
      </w:r>
    </w:p>
    <w:p w14:paraId="29D77AAC" w14:textId="77777777" w:rsidR="008D6A1A" w:rsidRPr="008D6A1A" w:rsidRDefault="008D6A1A" w:rsidP="008D6A1A">
      <w:pPr>
        <w:spacing w:line="360" w:lineRule="auto"/>
        <w:jc w:val="both"/>
        <w:rPr>
          <w:rFonts w:ascii="Times New Roman" w:hAnsi="Times New Roman" w:cs="Times New Roman"/>
          <w:sz w:val="24"/>
          <w:szCs w:val="24"/>
        </w:rPr>
      </w:pPr>
    </w:p>
    <w:p w14:paraId="6BA93970" w14:textId="77777777" w:rsidR="00984EB3" w:rsidRDefault="003C0C08" w:rsidP="008D6A1A">
      <w:pPr>
        <w:spacing w:line="360" w:lineRule="auto"/>
        <w:jc w:val="both"/>
      </w:pPr>
      <w:r w:rsidRPr="008D6A1A">
        <w:rPr>
          <w:rFonts w:ascii="Times New Roman" w:hAnsi="Times New Roman" w:cs="Times New Roman"/>
          <w:sz w:val="24"/>
          <w:szCs w:val="24"/>
        </w:rPr>
        <w:t>Open-Meteo documentation explains how historical and forecast weather data can be retrieved using coordinates and date ranges. This is important because Nomobug service areas can be matched to area or postcode centroids without exposing full customer addresses. Malaysia OpenAPI and MET Malaysia documentation provide official forecast and warning support that can be used as a live planning layer</w:t>
      </w:r>
      <w:r>
        <w:rPr>
          <w:sz w:val="21"/>
        </w:rPr>
        <w:t>.</w:t>
      </w:r>
    </w:p>
    <w:p w14:paraId="560D72CD" w14:textId="77777777" w:rsidR="00984EB3" w:rsidRDefault="003C0C08">
      <w:pPr>
        <w:pStyle w:val="Heading2"/>
      </w:pPr>
      <w:r>
        <w:t>2.8 Literature Matrix</w:t>
      </w:r>
    </w:p>
    <w:tbl>
      <w:tblPr>
        <w:tblStyle w:val="TableGrid"/>
        <w:tblW w:w="0" w:type="auto"/>
        <w:jc w:val="center"/>
        <w:tblLook w:val="04A0" w:firstRow="1" w:lastRow="0" w:firstColumn="1" w:lastColumn="0" w:noHBand="0" w:noVBand="1"/>
      </w:tblPr>
      <w:tblGrid>
        <w:gridCol w:w="2248"/>
        <w:gridCol w:w="2251"/>
        <w:gridCol w:w="2269"/>
        <w:gridCol w:w="2248"/>
      </w:tblGrid>
      <w:tr w:rsidR="00984EB3" w14:paraId="10C9FA2C" w14:textId="77777777">
        <w:trPr>
          <w:jc w:val="center"/>
        </w:trPr>
        <w:tc>
          <w:tcPr>
            <w:tcW w:w="2256" w:type="dxa"/>
            <w:shd w:val="clear" w:color="auto" w:fill="D9EAF7"/>
            <w:vAlign w:val="center"/>
          </w:tcPr>
          <w:p w14:paraId="5CF9F8B7"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b/>
                <w:sz w:val="24"/>
                <w:szCs w:val="24"/>
              </w:rPr>
              <w:t>Study / Source</w:t>
            </w:r>
          </w:p>
        </w:tc>
        <w:tc>
          <w:tcPr>
            <w:tcW w:w="2256" w:type="dxa"/>
            <w:shd w:val="clear" w:color="auto" w:fill="D9EAF7"/>
            <w:vAlign w:val="center"/>
          </w:tcPr>
          <w:p w14:paraId="7CC760F0"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b/>
                <w:sz w:val="24"/>
                <w:szCs w:val="24"/>
              </w:rPr>
              <w:t>Focus</w:t>
            </w:r>
          </w:p>
        </w:tc>
        <w:tc>
          <w:tcPr>
            <w:tcW w:w="2256" w:type="dxa"/>
            <w:shd w:val="clear" w:color="auto" w:fill="D9EAF7"/>
            <w:vAlign w:val="center"/>
          </w:tcPr>
          <w:p w14:paraId="07DEDCF0"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b/>
                <w:sz w:val="24"/>
                <w:szCs w:val="24"/>
              </w:rPr>
              <w:t>How It Supports This Project</w:t>
            </w:r>
          </w:p>
        </w:tc>
        <w:tc>
          <w:tcPr>
            <w:tcW w:w="2256" w:type="dxa"/>
            <w:shd w:val="clear" w:color="auto" w:fill="D9EAF7"/>
            <w:vAlign w:val="center"/>
          </w:tcPr>
          <w:p w14:paraId="0BCE9F82"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b/>
                <w:sz w:val="24"/>
                <w:szCs w:val="24"/>
              </w:rPr>
              <w:t>Use / Limitation</w:t>
            </w:r>
          </w:p>
        </w:tc>
      </w:tr>
      <w:tr w:rsidR="00984EB3" w14:paraId="274C7113" w14:textId="77777777">
        <w:trPr>
          <w:jc w:val="center"/>
        </w:trPr>
        <w:tc>
          <w:tcPr>
            <w:tcW w:w="2256" w:type="dxa"/>
            <w:vAlign w:val="center"/>
          </w:tcPr>
          <w:p w14:paraId="2F8F2973"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Ragazou et al. (2023)</w:t>
            </w:r>
          </w:p>
        </w:tc>
        <w:tc>
          <w:tcPr>
            <w:tcW w:w="2256" w:type="dxa"/>
            <w:vAlign w:val="center"/>
          </w:tcPr>
          <w:p w14:paraId="2235F4D9"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BI for SMEs</w:t>
            </w:r>
          </w:p>
        </w:tc>
        <w:tc>
          <w:tcPr>
            <w:tcW w:w="2256" w:type="dxa"/>
            <w:vAlign w:val="center"/>
          </w:tcPr>
          <w:p w14:paraId="0AFEFB08"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SME decision-support dashboard framing</w:t>
            </w:r>
          </w:p>
        </w:tc>
        <w:tc>
          <w:tcPr>
            <w:tcW w:w="2256" w:type="dxa"/>
            <w:vAlign w:val="center"/>
          </w:tcPr>
          <w:p w14:paraId="72F11F58"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Core BI reference</w:t>
            </w:r>
          </w:p>
        </w:tc>
      </w:tr>
      <w:tr w:rsidR="00984EB3" w14:paraId="73106ABA" w14:textId="77777777">
        <w:trPr>
          <w:jc w:val="center"/>
        </w:trPr>
        <w:tc>
          <w:tcPr>
            <w:tcW w:w="2256" w:type="dxa"/>
            <w:vAlign w:val="center"/>
          </w:tcPr>
          <w:p w14:paraId="3A9AB45A"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Gurcan et al. (2023)</w:t>
            </w:r>
          </w:p>
        </w:tc>
        <w:tc>
          <w:tcPr>
            <w:tcW w:w="2256" w:type="dxa"/>
            <w:vAlign w:val="center"/>
          </w:tcPr>
          <w:p w14:paraId="5C05C15A"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BI trends, AI, data mining</w:t>
            </w:r>
          </w:p>
        </w:tc>
        <w:tc>
          <w:tcPr>
            <w:tcW w:w="2256" w:type="dxa"/>
            <w:vAlign w:val="center"/>
          </w:tcPr>
          <w:p w14:paraId="63D77FAC"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layered descriptive, predictive, prescriptive analytics</w:t>
            </w:r>
          </w:p>
        </w:tc>
        <w:tc>
          <w:tcPr>
            <w:tcW w:w="2256" w:type="dxa"/>
            <w:vAlign w:val="center"/>
          </w:tcPr>
          <w:p w14:paraId="5D49CB7D"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Core BI reference</w:t>
            </w:r>
          </w:p>
        </w:tc>
      </w:tr>
      <w:tr w:rsidR="00984EB3" w14:paraId="4347FC98" w14:textId="77777777">
        <w:trPr>
          <w:jc w:val="center"/>
        </w:trPr>
        <w:tc>
          <w:tcPr>
            <w:tcW w:w="2256" w:type="dxa"/>
            <w:vAlign w:val="center"/>
          </w:tcPr>
          <w:p w14:paraId="57DB461F"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Cordon (2026)</w:t>
            </w:r>
          </w:p>
        </w:tc>
        <w:tc>
          <w:tcPr>
            <w:tcW w:w="2256" w:type="dxa"/>
            <w:vAlign w:val="center"/>
          </w:tcPr>
          <w:p w14:paraId="121E0A7A"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Predictive heat maps for urban cockroach infestation</w:t>
            </w:r>
          </w:p>
        </w:tc>
        <w:tc>
          <w:tcPr>
            <w:tcW w:w="2256" w:type="dxa"/>
            <w:vAlign w:val="center"/>
          </w:tcPr>
          <w:p w14:paraId="25849D6C"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spatial-temporal heatmap concept</w:t>
            </w:r>
          </w:p>
        </w:tc>
        <w:tc>
          <w:tcPr>
            <w:tcW w:w="2256" w:type="dxa"/>
            <w:vAlign w:val="center"/>
          </w:tcPr>
          <w:p w14:paraId="6B980D6D"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Supporting source, not main model</w:t>
            </w:r>
          </w:p>
        </w:tc>
      </w:tr>
      <w:tr w:rsidR="00984EB3" w14:paraId="7534B286" w14:textId="77777777">
        <w:trPr>
          <w:jc w:val="center"/>
        </w:trPr>
        <w:tc>
          <w:tcPr>
            <w:tcW w:w="2256" w:type="dxa"/>
            <w:vAlign w:val="center"/>
          </w:tcPr>
          <w:p w14:paraId="3BB21F92"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Calatayud et al. (2023)</w:t>
            </w:r>
          </w:p>
        </w:tc>
        <w:tc>
          <w:tcPr>
            <w:tcW w:w="2256" w:type="dxa"/>
            <w:vAlign w:val="center"/>
          </w:tcPr>
          <w:p w14:paraId="3B720166"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Urban infestation population model</w:t>
            </w:r>
          </w:p>
        </w:tc>
        <w:tc>
          <w:tcPr>
            <w:tcW w:w="2256" w:type="dxa"/>
            <w:vAlign w:val="center"/>
          </w:tcPr>
          <w:p w14:paraId="1FAC8C56"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modelling urban pest dynamics</w:t>
            </w:r>
          </w:p>
        </w:tc>
        <w:tc>
          <w:tcPr>
            <w:tcW w:w="2256" w:type="dxa"/>
            <w:vAlign w:val="center"/>
          </w:tcPr>
          <w:p w14:paraId="39907065"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More theoretical than dashboard use</w:t>
            </w:r>
          </w:p>
        </w:tc>
      </w:tr>
      <w:tr w:rsidR="00984EB3" w14:paraId="04439022" w14:textId="77777777">
        <w:trPr>
          <w:jc w:val="center"/>
        </w:trPr>
        <w:tc>
          <w:tcPr>
            <w:tcW w:w="2256" w:type="dxa"/>
            <w:vAlign w:val="center"/>
          </w:tcPr>
          <w:p w14:paraId="01B1A4BC"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Hiscox et al. (2025)</w:t>
            </w:r>
          </w:p>
        </w:tc>
        <w:tc>
          <w:tcPr>
            <w:tcW w:w="2256" w:type="dxa"/>
            <w:vAlign w:val="center"/>
          </w:tcPr>
          <w:p w14:paraId="17098310"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Weather events and cockroaches/flies</w:t>
            </w:r>
          </w:p>
        </w:tc>
        <w:tc>
          <w:tcPr>
            <w:tcW w:w="2256" w:type="dxa"/>
            <w:vAlign w:val="center"/>
          </w:tcPr>
          <w:p w14:paraId="62F5AA38"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weather-associated risk indicators</w:t>
            </w:r>
          </w:p>
        </w:tc>
        <w:tc>
          <w:tcPr>
            <w:tcW w:w="2256" w:type="dxa"/>
            <w:vAlign w:val="center"/>
          </w:tcPr>
          <w:p w14:paraId="05901A09"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Avoid causal claims</w:t>
            </w:r>
          </w:p>
        </w:tc>
      </w:tr>
      <w:tr w:rsidR="00984EB3" w14:paraId="226B3220" w14:textId="77777777">
        <w:trPr>
          <w:jc w:val="center"/>
        </w:trPr>
        <w:tc>
          <w:tcPr>
            <w:tcW w:w="2256" w:type="dxa"/>
            <w:vAlign w:val="center"/>
          </w:tcPr>
          <w:p w14:paraId="2EFD190E"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Richardson et al. (2025)</w:t>
            </w:r>
          </w:p>
        </w:tc>
        <w:tc>
          <w:tcPr>
            <w:tcW w:w="2256" w:type="dxa"/>
            <w:vAlign w:val="center"/>
          </w:tcPr>
          <w:p w14:paraId="3EB70A79"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Urban rats, climate, urbanisation</w:t>
            </w:r>
          </w:p>
        </w:tc>
        <w:tc>
          <w:tcPr>
            <w:tcW w:w="2256" w:type="dxa"/>
            <w:vAlign w:val="center"/>
          </w:tcPr>
          <w:p w14:paraId="0F199C60"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 xml:space="preserve">Supports environmental and </w:t>
            </w:r>
            <w:r w:rsidRPr="00A32882">
              <w:rPr>
                <w:rFonts w:ascii="Times New Roman" w:hAnsi="Times New Roman" w:cs="Times New Roman"/>
                <w:sz w:val="24"/>
                <w:szCs w:val="24"/>
              </w:rPr>
              <w:lastRenderedPageBreak/>
              <w:t>urban context analysis</w:t>
            </w:r>
          </w:p>
        </w:tc>
        <w:tc>
          <w:tcPr>
            <w:tcW w:w="2256" w:type="dxa"/>
            <w:vAlign w:val="center"/>
          </w:tcPr>
          <w:p w14:paraId="6490CF3D"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lastRenderedPageBreak/>
              <w:t>Different pest and setting</w:t>
            </w:r>
          </w:p>
        </w:tc>
      </w:tr>
      <w:tr w:rsidR="00984EB3" w14:paraId="7E923D99" w14:textId="77777777">
        <w:trPr>
          <w:jc w:val="center"/>
        </w:trPr>
        <w:tc>
          <w:tcPr>
            <w:tcW w:w="2256" w:type="dxa"/>
            <w:vAlign w:val="center"/>
          </w:tcPr>
          <w:p w14:paraId="056EBCBC"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Brimblecombe et al. (2023)</w:t>
            </w:r>
          </w:p>
        </w:tc>
        <w:tc>
          <w:tcPr>
            <w:tcW w:w="2256" w:type="dxa"/>
            <w:vAlign w:val="center"/>
          </w:tcPr>
          <w:p w14:paraId="044B3A3D"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Urban pest enquiry data</w:t>
            </w:r>
          </w:p>
        </w:tc>
        <w:tc>
          <w:tcPr>
            <w:tcW w:w="2256" w:type="dxa"/>
            <w:vAlign w:val="center"/>
          </w:tcPr>
          <w:p w14:paraId="5505E3A4"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use of complaints/warranty-style records</w:t>
            </w:r>
          </w:p>
        </w:tc>
        <w:tc>
          <w:tcPr>
            <w:tcW w:w="2256" w:type="dxa"/>
            <w:vAlign w:val="center"/>
          </w:tcPr>
          <w:p w14:paraId="5DFAEE3B"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Records can be biased</w:t>
            </w:r>
          </w:p>
        </w:tc>
      </w:tr>
      <w:tr w:rsidR="00984EB3" w14:paraId="1E1F9B02" w14:textId="77777777">
        <w:trPr>
          <w:jc w:val="center"/>
        </w:trPr>
        <w:tc>
          <w:tcPr>
            <w:tcW w:w="2256" w:type="dxa"/>
            <w:vAlign w:val="center"/>
          </w:tcPr>
          <w:p w14:paraId="4B521390"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Pinto et al. (2025)</w:t>
            </w:r>
          </w:p>
        </w:tc>
        <w:tc>
          <w:tcPr>
            <w:tcW w:w="2256" w:type="dxa"/>
            <w:vAlign w:val="center"/>
          </w:tcPr>
          <w:p w14:paraId="26C55441"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Weather-based pest DSS</w:t>
            </w:r>
          </w:p>
        </w:tc>
        <w:tc>
          <w:tcPr>
            <w:tcW w:w="2256" w:type="dxa"/>
            <w:vAlign w:val="center"/>
          </w:tcPr>
          <w:p w14:paraId="7B3E0C63"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decision-support architecture</w:t>
            </w:r>
          </w:p>
        </w:tc>
        <w:tc>
          <w:tcPr>
            <w:tcW w:w="2256" w:type="dxa"/>
            <w:vAlign w:val="center"/>
          </w:tcPr>
          <w:p w14:paraId="166E3CCF"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Agricultural focus</w:t>
            </w:r>
          </w:p>
        </w:tc>
      </w:tr>
      <w:tr w:rsidR="00984EB3" w14:paraId="479E7706" w14:textId="77777777">
        <w:trPr>
          <w:jc w:val="center"/>
        </w:trPr>
        <w:tc>
          <w:tcPr>
            <w:tcW w:w="2256" w:type="dxa"/>
            <w:vAlign w:val="center"/>
          </w:tcPr>
          <w:p w14:paraId="3D8A4BFB"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Erguler et al. (2024)</w:t>
            </w:r>
          </w:p>
        </w:tc>
        <w:tc>
          <w:tcPr>
            <w:tcW w:w="2256" w:type="dxa"/>
            <w:vAlign w:val="center"/>
          </w:tcPr>
          <w:p w14:paraId="7D91B51F"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VEClim early warning DSS</w:t>
            </w:r>
          </w:p>
        </w:tc>
        <w:tc>
          <w:tcPr>
            <w:tcW w:w="2256" w:type="dxa"/>
            <w:vAlign w:val="center"/>
          </w:tcPr>
          <w:p w14:paraId="59DE5767"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climate-sensitive warning and planning layer</w:t>
            </w:r>
          </w:p>
        </w:tc>
        <w:tc>
          <w:tcPr>
            <w:tcW w:w="2256" w:type="dxa"/>
            <w:vAlign w:val="center"/>
          </w:tcPr>
          <w:p w14:paraId="41CBEF0C"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Vector/public health context</w:t>
            </w:r>
          </w:p>
        </w:tc>
      </w:tr>
      <w:tr w:rsidR="00984EB3" w14:paraId="2C2AE8E1" w14:textId="77777777">
        <w:trPr>
          <w:jc w:val="center"/>
        </w:trPr>
        <w:tc>
          <w:tcPr>
            <w:tcW w:w="2256" w:type="dxa"/>
            <w:vAlign w:val="center"/>
          </w:tcPr>
          <w:p w14:paraId="25490EF4"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Yao et al. (2026)</w:t>
            </w:r>
          </w:p>
        </w:tc>
        <w:tc>
          <w:tcPr>
            <w:tcW w:w="2256" w:type="dxa"/>
            <w:vAlign w:val="center"/>
          </w:tcPr>
          <w:p w14:paraId="7ECF5E16"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XGBoost and SHAP mosquito density</w:t>
            </w:r>
          </w:p>
        </w:tc>
        <w:tc>
          <w:tcPr>
            <w:tcW w:w="2256" w:type="dxa"/>
            <w:vAlign w:val="center"/>
          </w:tcPr>
          <w:p w14:paraId="74595BB7"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explainable environmental modelling</w:t>
            </w:r>
          </w:p>
        </w:tc>
        <w:tc>
          <w:tcPr>
            <w:tcW w:w="2256" w:type="dxa"/>
            <w:vAlign w:val="center"/>
          </w:tcPr>
          <w:p w14:paraId="232060B6"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Too complex for small warranty dataset</w:t>
            </w:r>
          </w:p>
        </w:tc>
      </w:tr>
      <w:tr w:rsidR="00984EB3" w14:paraId="67A057A3" w14:textId="77777777">
        <w:trPr>
          <w:jc w:val="center"/>
        </w:trPr>
        <w:tc>
          <w:tcPr>
            <w:tcW w:w="2256" w:type="dxa"/>
            <w:vAlign w:val="center"/>
          </w:tcPr>
          <w:p w14:paraId="0534D383"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Kaloudis et al. (2026)</w:t>
            </w:r>
          </w:p>
        </w:tc>
        <w:tc>
          <w:tcPr>
            <w:tcW w:w="2256" w:type="dxa"/>
            <w:vAlign w:val="center"/>
          </w:tcPr>
          <w:p w14:paraId="56A2FEE9"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Temperature-driven pest population model</w:t>
            </w:r>
          </w:p>
        </w:tc>
        <w:tc>
          <w:tcPr>
            <w:tcW w:w="2256" w:type="dxa"/>
            <w:vAlign w:val="center"/>
          </w:tcPr>
          <w:p w14:paraId="461A24EF"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time-window and temperature features</w:t>
            </w:r>
          </w:p>
        </w:tc>
        <w:tc>
          <w:tcPr>
            <w:tcW w:w="2256" w:type="dxa"/>
            <w:vAlign w:val="center"/>
          </w:tcPr>
          <w:p w14:paraId="7407BB10"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Preprint, stored-product pest context</w:t>
            </w:r>
          </w:p>
        </w:tc>
      </w:tr>
      <w:tr w:rsidR="00984EB3" w14:paraId="4B2E6E2C" w14:textId="77777777">
        <w:trPr>
          <w:jc w:val="center"/>
        </w:trPr>
        <w:tc>
          <w:tcPr>
            <w:tcW w:w="2256" w:type="dxa"/>
            <w:vAlign w:val="center"/>
          </w:tcPr>
          <w:p w14:paraId="0D4EE7C0"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Sumido et al. (2023)</w:t>
            </w:r>
          </w:p>
        </w:tc>
        <w:tc>
          <w:tcPr>
            <w:tcW w:w="2256" w:type="dxa"/>
            <w:vAlign w:val="center"/>
          </w:tcPr>
          <w:p w14:paraId="271D7AEE"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Weather variables and pest prediction</w:t>
            </w:r>
          </w:p>
        </w:tc>
        <w:tc>
          <w:tcPr>
            <w:tcW w:w="2256" w:type="dxa"/>
            <w:vAlign w:val="center"/>
          </w:tcPr>
          <w:p w14:paraId="3101CF8F"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weather features in ML analytics</w:t>
            </w:r>
          </w:p>
        </w:tc>
        <w:tc>
          <w:tcPr>
            <w:tcW w:w="2256" w:type="dxa"/>
            <w:vAlign w:val="center"/>
          </w:tcPr>
          <w:p w14:paraId="2D846549"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Different data domain</w:t>
            </w:r>
          </w:p>
        </w:tc>
      </w:tr>
      <w:tr w:rsidR="00984EB3" w14:paraId="0835B9A6" w14:textId="77777777">
        <w:trPr>
          <w:jc w:val="center"/>
        </w:trPr>
        <w:tc>
          <w:tcPr>
            <w:tcW w:w="2256" w:type="dxa"/>
            <w:vAlign w:val="center"/>
          </w:tcPr>
          <w:p w14:paraId="4F4560DB"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Biswas et al. (2022)</w:t>
            </w:r>
          </w:p>
        </w:tc>
        <w:tc>
          <w:tcPr>
            <w:tcW w:w="2256" w:type="dxa"/>
            <w:vAlign w:val="center"/>
          </w:tcPr>
          <w:p w14:paraId="33A1875A"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Pest forecasting using historical usage records</w:t>
            </w:r>
          </w:p>
        </w:tc>
        <w:tc>
          <w:tcPr>
            <w:tcW w:w="2256" w:type="dxa"/>
            <w:vAlign w:val="center"/>
          </w:tcPr>
          <w:p w14:paraId="56D260B6"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use of historical operational records</w:t>
            </w:r>
          </w:p>
        </w:tc>
        <w:tc>
          <w:tcPr>
            <w:tcW w:w="2256" w:type="dxa"/>
            <w:vAlign w:val="center"/>
          </w:tcPr>
          <w:p w14:paraId="5FD4F7DD"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Patent/source not academic validation</w:t>
            </w:r>
          </w:p>
        </w:tc>
      </w:tr>
      <w:tr w:rsidR="00984EB3" w14:paraId="611F067D" w14:textId="77777777">
        <w:trPr>
          <w:jc w:val="center"/>
        </w:trPr>
        <w:tc>
          <w:tcPr>
            <w:tcW w:w="2256" w:type="dxa"/>
            <w:vAlign w:val="center"/>
          </w:tcPr>
          <w:p w14:paraId="101FB90C"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Dey &amp; Roy (2025)</w:t>
            </w:r>
          </w:p>
        </w:tc>
        <w:tc>
          <w:tcPr>
            <w:tcW w:w="2256" w:type="dxa"/>
            <w:vAlign w:val="center"/>
          </w:tcPr>
          <w:p w14:paraId="2C0ACD7D"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AI and IoT pest management</w:t>
            </w:r>
          </w:p>
        </w:tc>
        <w:tc>
          <w:tcPr>
            <w:tcW w:w="2256" w:type="dxa"/>
            <w:vAlign w:val="center"/>
          </w:tcPr>
          <w:p w14:paraId="3579FCDE"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future intelligent decision support</w:t>
            </w:r>
          </w:p>
        </w:tc>
        <w:tc>
          <w:tcPr>
            <w:tcW w:w="2256" w:type="dxa"/>
            <w:vAlign w:val="center"/>
          </w:tcPr>
          <w:p w14:paraId="23E69CED"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Broader smart agriculture context</w:t>
            </w:r>
          </w:p>
        </w:tc>
      </w:tr>
      <w:tr w:rsidR="00984EB3" w14:paraId="2F6ACC63" w14:textId="77777777">
        <w:trPr>
          <w:jc w:val="center"/>
        </w:trPr>
        <w:tc>
          <w:tcPr>
            <w:tcW w:w="2256" w:type="dxa"/>
            <w:vAlign w:val="center"/>
          </w:tcPr>
          <w:p w14:paraId="7E48D3CE"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Open-Meteo (2026)</w:t>
            </w:r>
          </w:p>
        </w:tc>
        <w:tc>
          <w:tcPr>
            <w:tcW w:w="2256" w:type="dxa"/>
            <w:vAlign w:val="center"/>
          </w:tcPr>
          <w:p w14:paraId="4AF28357"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Historical and forecast weather API</w:t>
            </w:r>
          </w:p>
        </w:tc>
        <w:tc>
          <w:tcPr>
            <w:tcW w:w="2256" w:type="dxa"/>
            <w:vAlign w:val="center"/>
          </w:tcPr>
          <w:p w14:paraId="54A58409"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coordinate-based weather matching</w:t>
            </w:r>
          </w:p>
        </w:tc>
        <w:tc>
          <w:tcPr>
            <w:tcW w:w="2256" w:type="dxa"/>
            <w:vAlign w:val="center"/>
          </w:tcPr>
          <w:p w14:paraId="6CC72888"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Weather remains an indicator</w:t>
            </w:r>
          </w:p>
        </w:tc>
      </w:tr>
      <w:tr w:rsidR="00984EB3" w14:paraId="65C3B448" w14:textId="77777777">
        <w:trPr>
          <w:jc w:val="center"/>
        </w:trPr>
        <w:tc>
          <w:tcPr>
            <w:tcW w:w="2256" w:type="dxa"/>
            <w:vAlign w:val="center"/>
          </w:tcPr>
          <w:p w14:paraId="2F2FC9DB"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Google Calendar API (2026)</w:t>
            </w:r>
          </w:p>
        </w:tc>
        <w:tc>
          <w:tcPr>
            <w:tcW w:w="2256" w:type="dxa"/>
            <w:vAlign w:val="center"/>
          </w:tcPr>
          <w:p w14:paraId="575FB2DF"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Calendar event extraction</w:t>
            </w:r>
          </w:p>
        </w:tc>
        <w:tc>
          <w:tcPr>
            <w:tcW w:w="2256" w:type="dxa"/>
            <w:vAlign w:val="center"/>
          </w:tcPr>
          <w:p w14:paraId="0D5DE676"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scheduling and capacity analytics</w:t>
            </w:r>
          </w:p>
        </w:tc>
        <w:tc>
          <w:tcPr>
            <w:tcW w:w="2256" w:type="dxa"/>
            <w:vAlign w:val="center"/>
          </w:tcPr>
          <w:p w14:paraId="665F015A"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Requires parsing confidence</w:t>
            </w:r>
          </w:p>
        </w:tc>
      </w:tr>
      <w:tr w:rsidR="00984EB3" w14:paraId="6F7E63E6" w14:textId="77777777">
        <w:trPr>
          <w:jc w:val="center"/>
        </w:trPr>
        <w:tc>
          <w:tcPr>
            <w:tcW w:w="2256" w:type="dxa"/>
            <w:vAlign w:val="center"/>
          </w:tcPr>
          <w:p w14:paraId="1FE81F27"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lastRenderedPageBreak/>
              <w:t>Google Cloud / Superset (2026)</w:t>
            </w:r>
          </w:p>
        </w:tc>
        <w:tc>
          <w:tcPr>
            <w:tcW w:w="2256" w:type="dxa"/>
            <w:vAlign w:val="center"/>
          </w:tcPr>
          <w:p w14:paraId="26FFCB59"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Warehouse and dashboard tools</w:t>
            </w:r>
          </w:p>
        </w:tc>
        <w:tc>
          <w:tcPr>
            <w:tcW w:w="2256" w:type="dxa"/>
            <w:vAlign w:val="center"/>
          </w:tcPr>
          <w:p w14:paraId="3E28E74E"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Supports BigQuery and dashboard implementation</w:t>
            </w:r>
          </w:p>
        </w:tc>
        <w:tc>
          <w:tcPr>
            <w:tcW w:w="2256" w:type="dxa"/>
            <w:vAlign w:val="center"/>
          </w:tcPr>
          <w:p w14:paraId="423E6A3C" w14:textId="77777777" w:rsidR="00984EB3" w:rsidRPr="00A32882" w:rsidRDefault="003C0C08" w:rsidP="00A32882">
            <w:pPr>
              <w:spacing w:after="0" w:line="360" w:lineRule="auto"/>
              <w:rPr>
                <w:rFonts w:ascii="Times New Roman" w:hAnsi="Times New Roman" w:cs="Times New Roman"/>
                <w:sz w:val="24"/>
                <w:szCs w:val="24"/>
              </w:rPr>
            </w:pPr>
            <w:r w:rsidRPr="00A32882">
              <w:rPr>
                <w:rFonts w:ascii="Times New Roman" w:hAnsi="Times New Roman" w:cs="Times New Roman"/>
                <w:sz w:val="24"/>
                <w:szCs w:val="24"/>
              </w:rPr>
              <w:t>Technical documentation</w:t>
            </w:r>
          </w:p>
        </w:tc>
      </w:tr>
      <w:tr w:rsidR="00BF3F6C" w14:paraId="40A11EFD" w14:textId="77777777">
        <w:trPr>
          <w:jc w:val="center"/>
        </w:trPr>
        <w:tc>
          <w:tcPr>
            <w:tcW w:w="2248" w:type="dxa"/>
          </w:tcPr>
          <w:p w14:paraId="0C0A399F"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Schulze et al. (2023)</w:t>
            </w:r>
          </w:p>
        </w:tc>
        <w:tc>
          <w:tcPr>
            <w:tcW w:w="2251" w:type="dxa"/>
          </w:tcPr>
          <w:p w14:paraId="7F51533D"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Digital dashboard systematic review</w:t>
            </w:r>
          </w:p>
        </w:tc>
        <w:tc>
          <w:tcPr>
            <w:tcW w:w="2269" w:type="dxa"/>
          </w:tcPr>
          <w:p w14:paraId="6DF33A20"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dashboard design and action-oriented visual communication</w:t>
            </w:r>
          </w:p>
        </w:tc>
        <w:tc>
          <w:tcPr>
            <w:tcW w:w="2248" w:type="dxa"/>
          </w:tcPr>
          <w:p w14:paraId="2709DE47"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General public-health context</w:t>
            </w:r>
          </w:p>
        </w:tc>
      </w:tr>
      <w:tr w:rsidR="00BF3F6C" w14:paraId="5C33E500" w14:textId="77777777">
        <w:trPr>
          <w:jc w:val="center"/>
        </w:trPr>
        <w:tc>
          <w:tcPr>
            <w:tcW w:w="2248" w:type="dxa"/>
          </w:tcPr>
          <w:p w14:paraId="002E978C"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Blacketer et al. (2021)</w:t>
            </w:r>
          </w:p>
        </w:tc>
        <w:tc>
          <w:tcPr>
            <w:tcW w:w="2251" w:type="dxa"/>
          </w:tcPr>
          <w:p w14:paraId="16787BDA"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Data Quality Dashboard</w:t>
            </w:r>
          </w:p>
        </w:tc>
        <w:tc>
          <w:tcPr>
            <w:tcW w:w="2269" w:type="dxa"/>
          </w:tcPr>
          <w:p w14:paraId="27341132"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data quality reporting before analytics interpretation</w:t>
            </w:r>
          </w:p>
        </w:tc>
        <w:tc>
          <w:tcPr>
            <w:tcW w:w="2248" w:type="dxa"/>
          </w:tcPr>
          <w:p w14:paraId="13847973"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Healthcare context but transferable</w:t>
            </w:r>
          </w:p>
        </w:tc>
      </w:tr>
      <w:tr w:rsidR="00BF3F6C" w14:paraId="4E329E52" w14:textId="77777777">
        <w:trPr>
          <w:jc w:val="center"/>
        </w:trPr>
        <w:tc>
          <w:tcPr>
            <w:tcW w:w="2248" w:type="dxa"/>
          </w:tcPr>
          <w:p w14:paraId="4DE521FE"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Fu et al. (2024)</w:t>
            </w:r>
          </w:p>
        </w:tc>
        <w:tc>
          <w:tcPr>
            <w:tcW w:w="2251" w:type="dxa"/>
          </w:tcPr>
          <w:p w14:paraId="6A55E3D0"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Industrial data quality review</w:t>
            </w:r>
          </w:p>
        </w:tc>
        <w:tc>
          <w:tcPr>
            <w:tcW w:w="2269" w:type="dxa"/>
          </w:tcPr>
          <w:p w14:paraId="7C119AE5"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staging, cleaning flags, and governance workflow</w:t>
            </w:r>
          </w:p>
        </w:tc>
        <w:tc>
          <w:tcPr>
            <w:tcW w:w="2248" w:type="dxa"/>
          </w:tcPr>
          <w:p w14:paraId="4A703874"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Conceptual review</w:t>
            </w:r>
          </w:p>
        </w:tc>
      </w:tr>
      <w:tr w:rsidR="00BF3F6C" w14:paraId="3D955977" w14:textId="77777777">
        <w:trPr>
          <w:jc w:val="center"/>
        </w:trPr>
        <w:tc>
          <w:tcPr>
            <w:tcW w:w="2248" w:type="dxa"/>
          </w:tcPr>
          <w:p w14:paraId="06F08403"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Tonle et al. (2024)</w:t>
            </w:r>
          </w:p>
        </w:tc>
        <w:tc>
          <w:tcPr>
            <w:tcW w:w="2251" w:type="dxa"/>
          </w:tcPr>
          <w:p w14:paraId="540520DC"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Pest management DSS roadmap</w:t>
            </w:r>
          </w:p>
        </w:tc>
        <w:tc>
          <w:tcPr>
            <w:tcW w:w="2269" w:type="dxa"/>
          </w:tcPr>
          <w:p w14:paraId="63CA737B"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architecture connecting data, models, and decision outputs</w:t>
            </w:r>
          </w:p>
        </w:tc>
        <w:tc>
          <w:tcPr>
            <w:tcW w:w="2248" w:type="dxa"/>
          </w:tcPr>
          <w:p w14:paraId="68BD3489"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Agricultural IPM context</w:t>
            </w:r>
          </w:p>
        </w:tc>
      </w:tr>
      <w:tr w:rsidR="00BF3F6C" w14:paraId="5D8F38A2" w14:textId="77777777">
        <w:trPr>
          <w:jc w:val="center"/>
        </w:trPr>
        <w:tc>
          <w:tcPr>
            <w:tcW w:w="2248" w:type="dxa"/>
          </w:tcPr>
          <w:p w14:paraId="25960113"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Marinko et al. (2024)</w:t>
            </w:r>
          </w:p>
        </w:tc>
        <w:tc>
          <w:tcPr>
            <w:tcW w:w="2251" w:type="dxa"/>
          </w:tcPr>
          <w:p w14:paraId="06B3FD63"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IPM DSS typology web app</w:t>
            </w:r>
          </w:p>
        </w:tc>
        <w:tc>
          <w:tcPr>
            <w:tcW w:w="2269" w:type="dxa"/>
          </w:tcPr>
          <w:p w14:paraId="420C7D61"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classifying monitoring, prediction, and recommendation features</w:t>
            </w:r>
          </w:p>
        </w:tc>
        <w:tc>
          <w:tcPr>
            <w:tcW w:w="2248" w:type="dxa"/>
          </w:tcPr>
          <w:p w14:paraId="7432D7D7"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Agricultural DSS focus</w:t>
            </w:r>
          </w:p>
        </w:tc>
      </w:tr>
      <w:tr w:rsidR="00BF3F6C" w14:paraId="435AC5B0" w14:textId="77777777">
        <w:trPr>
          <w:jc w:val="center"/>
        </w:trPr>
        <w:tc>
          <w:tcPr>
            <w:tcW w:w="2248" w:type="dxa"/>
          </w:tcPr>
          <w:p w14:paraId="5A7C7D7C"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Fiori et al. (2024)</w:t>
            </w:r>
          </w:p>
        </w:tc>
        <w:tc>
          <w:tcPr>
            <w:tcW w:w="2251" w:type="dxa"/>
          </w:tcPr>
          <w:p w14:paraId="74E6E7B1"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SMARTerra pest/disease DSS</w:t>
            </w:r>
          </w:p>
        </w:tc>
        <w:tc>
          <w:tcPr>
            <w:tcW w:w="2269" w:type="dxa"/>
          </w:tcPr>
          <w:p w14:paraId="595375D9"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high-resolution risk maps and planning dashboards</w:t>
            </w:r>
          </w:p>
        </w:tc>
        <w:tc>
          <w:tcPr>
            <w:tcW w:w="2248" w:type="dxa"/>
          </w:tcPr>
          <w:p w14:paraId="71DCEC1B"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Plant pest/disease context</w:t>
            </w:r>
          </w:p>
        </w:tc>
      </w:tr>
      <w:tr w:rsidR="00BF3F6C" w14:paraId="53F139AE" w14:textId="77777777">
        <w:trPr>
          <w:jc w:val="center"/>
        </w:trPr>
        <w:tc>
          <w:tcPr>
            <w:tcW w:w="2248" w:type="dxa"/>
          </w:tcPr>
          <w:p w14:paraId="0C5ED0C6"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Marinko et al. (2025)</w:t>
            </w:r>
          </w:p>
        </w:tc>
        <w:tc>
          <w:tcPr>
            <w:tcW w:w="2251" w:type="dxa"/>
          </w:tcPr>
          <w:p w14:paraId="2C7BFB9F"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DSS adoption barriers</w:t>
            </w:r>
          </w:p>
        </w:tc>
        <w:tc>
          <w:tcPr>
            <w:tcW w:w="2269" w:type="dxa"/>
          </w:tcPr>
          <w:p w14:paraId="2B70C560"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usability, trust, and adoption evaluation</w:t>
            </w:r>
          </w:p>
        </w:tc>
        <w:tc>
          <w:tcPr>
            <w:tcW w:w="2248" w:type="dxa"/>
          </w:tcPr>
          <w:p w14:paraId="2050B9B6"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European IPM setting</w:t>
            </w:r>
          </w:p>
        </w:tc>
      </w:tr>
      <w:tr w:rsidR="00BF3F6C" w14:paraId="504A65E0" w14:textId="77777777">
        <w:trPr>
          <w:jc w:val="center"/>
        </w:trPr>
        <w:tc>
          <w:tcPr>
            <w:tcW w:w="2248" w:type="dxa"/>
          </w:tcPr>
          <w:p w14:paraId="683EBBC0"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lastRenderedPageBreak/>
              <w:t>Choi &amp; Hong (2021)</w:t>
            </w:r>
          </w:p>
        </w:tc>
        <w:tc>
          <w:tcPr>
            <w:tcW w:w="2251" w:type="dxa"/>
          </w:tcPr>
          <w:p w14:paraId="49B59209"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MDST-DBSCAN spatiotemporal clustering</w:t>
            </w:r>
          </w:p>
        </w:tc>
        <w:tc>
          <w:tcPr>
            <w:tcW w:w="2269" w:type="dxa"/>
          </w:tcPr>
          <w:p w14:paraId="55B04294"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density-based hotspot detection with noisy spatial data</w:t>
            </w:r>
          </w:p>
        </w:tc>
        <w:tc>
          <w:tcPr>
            <w:tcW w:w="2248" w:type="dxa"/>
          </w:tcPr>
          <w:p w14:paraId="65F70367"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More advanced than required</w:t>
            </w:r>
          </w:p>
        </w:tc>
      </w:tr>
      <w:tr w:rsidR="00BF3F6C" w14:paraId="35B92417" w14:textId="77777777">
        <w:trPr>
          <w:jc w:val="center"/>
        </w:trPr>
        <w:tc>
          <w:tcPr>
            <w:tcW w:w="2248" w:type="dxa"/>
          </w:tcPr>
          <w:p w14:paraId="51332BF3"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Ejike et al. (2025)</w:t>
            </w:r>
          </w:p>
        </w:tc>
        <w:tc>
          <w:tcPr>
            <w:tcW w:w="2251" w:type="dxa"/>
          </w:tcPr>
          <w:p w14:paraId="3329E07F"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Rainfall prediction using ML</w:t>
            </w:r>
          </w:p>
        </w:tc>
        <w:tc>
          <w:tcPr>
            <w:tcW w:w="2269" w:type="dxa"/>
          </w:tcPr>
          <w:p w14:paraId="68962C18"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lightweight weather modelling and logistic regression comparison</w:t>
            </w:r>
          </w:p>
        </w:tc>
        <w:tc>
          <w:tcPr>
            <w:tcW w:w="2248" w:type="dxa"/>
          </w:tcPr>
          <w:p w14:paraId="64268B41"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Weather prediction, not pest outcome</w:t>
            </w:r>
          </w:p>
        </w:tc>
      </w:tr>
      <w:tr w:rsidR="00BF3F6C" w14:paraId="35BE7F5E" w14:textId="77777777">
        <w:trPr>
          <w:jc w:val="center"/>
        </w:trPr>
        <w:tc>
          <w:tcPr>
            <w:tcW w:w="2248" w:type="dxa"/>
          </w:tcPr>
          <w:p w14:paraId="1AAA5A47"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Leybourne et al. (2025)</w:t>
            </w:r>
          </w:p>
        </w:tc>
        <w:tc>
          <w:tcPr>
            <w:tcW w:w="2251" w:type="dxa"/>
          </w:tcPr>
          <w:p w14:paraId="14561A0E"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AI in pest monitoring schemes</w:t>
            </w:r>
          </w:p>
        </w:tc>
        <w:tc>
          <w:tcPr>
            <w:tcW w:w="2269" w:type="dxa"/>
          </w:tcPr>
          <w:p w14:paraId="463250C5"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Supports future AI explanation layer and adoption caution</w:t>
            </w:r>
          </w:p>
        </w:tc>
        <w:tc>
          <w:tcPr>
            <w:tcW w:w="2248" w:type="dxa"/>
          </w:tcPr>
          <w:p w14:paraId="13516C90" w14:textId="77777777" w:rsidR="00BF3F6C" w:rsidRPr="00A32882" w:rsidRDefault="003C0C08" w:rsidP="00A32882">
            <w:pPr>
              <w:spacing w:line="360" w:lineRule="auto"/>
              <w:rPr>
                <w:rFonts w:ascii="Times New Roman" w:hAnsi="Times New Roman" w:cs="Times New Roman"/>
                <w:sz w:val="24"/>
                <w:szCs w:val="24"/>
              </w:rPr>
            </w:pPr>
            <w:r w:rsidRPr="00A32882">
              <w:rPr>
                <w:rFonts w:ascii="Times New Roman" w:hAnsi="Times New Roman" w:cs="Times New Roman"/>
                <w:sz w:val="24"/>
                <w:szCs w:val="24"/>
              </w:rPr>
              <w:t>Agricultural monitoring focus</w:t>
            </w:r>
          </w:p>
        </w:tc>
      </w:tr>
    </w:tbl>
    <w:p w14:paraId="26769A79" w14:textId="77777777" w:rsidR="0084730D" w:rsidRPr="00335C63" w:rsidRDefault="0084730D" w:rsidP="000F4170">
      <w:pPr>
        <w:spacing w:line="360" w:lineRule="auto"/>
        <w:rPr>
          <w:rFonts w:ascii="Times New Roman" w:hAnsi="Times New Roman" w:cs="Times New Roman"/>
          <w:sz w:val="24"/>
          <w:szCs w:val="24"/>
        </w:rPr>
      </w:pPr>
    </w:p>
    <w:p w14:paraId="2F10D91E" w14:textId="77777777" w:rsidR="0084730D" w:rsidRPr="00335C63" w:rsidRDefault="00357319" w:rsidP="000F4170">
      <w:pPr>
        <w:pStyle w:val="Heading2"/>
        <w:spacing w:line="360" w:lineRule="auto"/>
        <w:rPr>
          <w:rFonts w:ascii="Times New Roman" w:hAnsi="Times New Roman" w:cs="Times New Roman"/>
          <w:sz w:val="24"/>
          <w:szCs w:val="24"/>
        </w:rPr>
      </w:pPr>
      <w:r>
        <w:t>2.9 Research Gap</w:t>
      </w:r>
    </w:p>
    <w:p w14:paraId="3466207A"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The reviewed literature shows that BI can improve SME decision-making, weather can be an important pest-risk indicator, spatial-temporal clustering can detect emerging hotspots, and AI can support SME decision processes. However, there is limited work that combines these areas into a single practical system for an urban pest-control SME using real operational records such as warranty claims, refunds, payment links, Google Calendar service slots, technician assignments, and </w:t>
      </w:r>
      <w:proofErr w:type="gramStart"/>
      <w:r w:rsidRPr="00335C63">
        <w:rPr>
          <w:rFonts w:ascii="Times New Roman" w:hAnsi="Times New Roman" w:cs="Times New Roman"/>
          <w:sz w:val="24"/>
          <w:szCs w:val="24"/>
        </w:rPr>
        <w:t>upsell</w:t>
      </w:r>
      <w:proofErr w:type="gramEnd"/>
      <w:r w:rsidRPr="00335C63">
        <w:rPr>
          <w:rFonts w:ascii="Times New Roman" w:hAnsi="Times New Roman" w:cs="Times New Roman"/>
          <w:sz w:val="24"/>
          <w:szCs w:val="24"/>
        </w:rPr>
        <w:t xml:space="preserve"> windows.</w:t>
      </w:r>
    </w:p>
    <w:p w14:paraId="74736C8B" w14:textId="77777777" w:rsidR="008D6A1A" w:rsidRPr="00335C63" w:rsidRDefault="008D6A1A" w:rsidP="008D6A1A">
      <w:pPr>
        <w:spacing w:line="360" w:lineRule="auto"/>
        <w:jc w:val="both"/>
        <w:rPr>
          <w:rFonts w:ascii="Times New Roman" w:hAnsi="Times New Roman" w:cs="Times New Roman"/>
          <w:sz w:val="24"/>
          <w:szCs w:val="24"/>
        </w:rPr>
      </w:pPr>
    </w:p>
    <w:p w14:paraId="4CF8B439"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This project fills that gap by building a company-specific decision-support dashboard that integrates operational, environmental, spatial, and financial data. The contribution is not a heavy machine learning model; it is a usable analytics architecture that helps management understand where problems occur, when recurrence happens, which factors require review, and what actions may improve planning.</w:t>
      </w:r>
    </w:p>
    <w:p w14:paraId="7C26C89E" w14:textId="77777777" w:rsidR="0084730D" w:rsidRPr="00335C63" w:rsidRDefault="00357319" w:rsidP="000F4170">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Chapter 3: Methodology</w:t>
      </w:r>
    </w:p>
    <w:p w14:paraId="76EB5466"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3.1 Overall Research and Development Approach</w:t>
      </w:r>
    </w:p>
    <w:p w14:paraId="3D11C8C3" w14:textId="77777777" w:rsidR="0084730D" w:rsidRPr="00335C63" w:rsidRDefault="00357319" w:rsidP="008D6A1A">
      <w:pPr>
        <w:spacing w:line="360" w:lineRule="auto"/>
        <w:jc w:val="both"/>
        <w:rPr>
          <w:rFonts w:ascii="Times New Roman" w:hAnsi="Times New Roman" w:cs="Times New Roman"/>
          <w:sz w:val="24"/>
          <w:szCs w:val="24"/>
        </w:rPr>
      </w:pPr>
      <w:r>
        <w:t>The project will follow an applied data engineering and analytics development methodology. The process begins with data understanding and source profiling, then moves into flexible data contracts, extraction, raw loading, warehouse transformation, data quality testing, weather enrichment, analytics modelling, dashboard development, and evaluation with company users. The methodology is designed to suit messy SME data and a limited warranty dataset, so explainability and data reliability are prioritised over complex black-box machine learning.</w:t>
      </w:r>
    </w:p>
    <w:tbl>
      <w:tblPr>
        <w:tblStyle w:val="TableGrid"/>
        <w:tblW w:w="0" w:type="auto"/>
        <w:jc w:val="center"/>
        <w:tblLook w:val="04A0" w:firstRow="1" w:lastRow="0" w:firstColumn="1" w:lastColumn="0" w:noHBand="0" w:noVBand="1"/>
      </w:tblPr>
      <w:tblGrid>
        <w:gridCol w:w="2116"/>
        <w:gridCol w:w="4179"/>
        <w:gridCol w:w="2721"/>
      </w:tblGrid>
      <w:tr w:rsidR="0084730D" w:rsidRPr="00335C63" w14:paraId="14520564" w14:textId="77777777" w:rsidTr="00CD7B49">
        <w:trPr>
          <w:cantSplit/>
          <w:tblHeader/>
          <w:jc w:val="center"/>
        </w:trPr>
        <w:tc>
          <w:tcPr>
            <w:tcW w:w="0" w:type="auto"/>
            <w:shd w:val="clear" w:color="auto" w:fill="E8F1FA"/>
            <w:tcMar>
              <w:top w:w="90" w:type="dxa"/>
              <w:left w:w="90" w:type="dxa"/>
              <w:bottom w:w="90" w:type="dxa"/>
              <w:right w:w="90" w:type="dxa"/>
            </w:tcMar>
            <w:vAlign w:val="center"/>
          </w:tcPr>
          <w:p w14:paraId="6E4FB67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Phase</w:t>
            </w:r>
          </w:p>
        </w:tc>
        <w:tc>
          <w:tcPr>
            <w:tcW w:w="0" w:type="auto"/>
            <w:shd w:val="clear" w:color="auto" w:fill="E8F1FA"/>
            <w:tcMar>
              <w:top w:w="90" w:type="dxa"/>
              <w:left w:w="90" w:type="dxa"/>
              <w:bottom w:w="90" w:type="dxa"/>
              <w:right w:w="90" w:type="dxa"/>
            </w:tcMar>
            <w:vAlign w:val="center"/>
          </w:tcPr>
          <w:p w14:paraId="03187E2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Main Activities</w:t>
            </w:r>
          </w:p>
        </w:tc>
        <w:tc>
          <w:tcPr>
            <w:tcW w:w="0" w:type="auto"/>
            <w:shd w:val="clear" w:color="auto" w:fill="E8F1FA"/>
            <w:tcMar>
              <w:top w:w="90" w:type="dxa"/>
              <w:left w:w="90" w:type="dxa"/>
              <w:bottom w:w="90" w:type="dxa"/>
              <w:right w:w="90" w:type="dxa"/>
            </w:tcMar>
            <w:vAlign w:val="center"/>
          </w:tcPr>
          <w:p w14:paraId="5DAB6BC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Main Output</w:t>
            </w:r>
          </w:p>
        </w:tc>
      </w:tr>
      <w:tr w:rsidR="0084730D" w:rsidRPr="00335C63" w14:paraId="4FF9100C" w14:textId="77777777" w:rsidTr="00CD7B49">
        <w:trPr>
          <w:cantSplit/>
          <w:jc w:val="center"/>
        </w:trPr>
        <w:tc>
          <w:tcPr>
            <w:tcW w:w="0" w:type="auto"/>
            <w:tcMar>
              <w:top w:w="90" w:type="dxa"/>
              <w:left w:w="90" w:type="dxa"/>
              <w:bottom w:w="90" w:type="dxa"/>
              <w:right w:w="90" w:type="dxa"/>
            </w:tcMar>
            <w:vAlign w:val="center"/>
          </w:tcPr>
          <w:p w14:paraId="29A586E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1. Data understanding</w:t>
            </w:r>
          </w:p>
        </w:tc>
        <w:tc>
          <w:tcPr>
            <w:tcW w:w="0" w:type="auto"/>
            <w:tcMar>
              <w:top w:w="90" w:type="dxa"/>
              <w:left w:w="90" w:type="dxa"/>
              <w:bottom w:w="90" w:type="dxa"/>
              <w:right w:w="90" w:type="dxa"/>
            </w:tcMar>
            <w:vAlign w:val="center"/>
          </w:tcPr>
          <w:p w14:paraId="4E34060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Profile Google Sheets, Calendar data, weather sources, missing values, duplicates, inconsistent labels</w:t>
            </w:r>
          </w:p>
        </w:tc>
        <w:tc>
          <w:tcPr>
            <w:tcW w:w="0" w:type="auto"/>
            <w:tcMar>
              <w:top w:w="90" w:type="dxa"/>
              <w:left w:w="90" w:type="dxa"/>
              <w:bottom w:w="90" w:type="dxa"/>
              <w:right w:w="90" w:type="dxa"/>
            </w:tcMar>
            <w:vAlign w:val="center"/>
          </w:tcPr>
          <w:p w14:paraId="3CD845C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Data quality report and field mapping</w:t>
            </w:r>
          </w:p>
        </w:tc>
      </w:tr>
      <w:tr w:rsidR="0084730D" w:rsidRPr="00335C63" w14:paraId="7C390713" w14:textId="77777777" w:rsidTr="00CD7B49">
        <w:trPr>
          <w:cantSplit/>
          <w:jc w:val="center"/>
        </w:trPr>
        <w:tc>
          <w:tcPr>
            <w:tcW w:w="0" w:type="auto"/>
            <w:tcMar>
              <w:top w:w="90" w:type="dxa"/>
              <w:left w:w="90" w:type="dxa"/>
              <w:bottom w:w="90" w:type="dxa"/>
              <w:right w:w="90" w:type="dxa"/>
            </w:tcMar>
            <w:vAlign w:val="center"/>
          </w:tcPr>
          <w:p w14:paraId="20E97DC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2. Data preparation</w:t>
            </w:r>
          </w:p>
        </w:tc>
        <w:tc>
          <w:tcPr>
            <w:tcW w:w="0" w:type="auto"/>
            <w:tcMar>
              <w:top w:w="90" w:type="dxa"/>
              <w:left w:w="90" w:type="dxa"/>
              <w:bottom w:w="90" w:type="dxa"/>
              <w:right w:w="90" w:type="dxa"/>
            </w:tcMar>
            <w:vAlign w:val="center"/>
          </w:tcPr>
          <w:p w14:paraId="388AA72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Clean dates, IDs, phone numbers, areas, pest types, packages, refund categories, calendar event types</w:t>
            </w:r>
          </w:p>
        </w:tc>
        <w:tc>
          <w:tcPr>
            <w:tcW w:w="0" w:type="auto"/>
            <w:tcMar>
              <w:top w:w="90" w:type="dxa"/>
              <w:left w:w="90" w:type="dxa"/>
              <w:bottom w:w="90" w:type="dxa"/>
              <w:right w:w="90" w:type="dxa"/>
            </w:tcMar>
            <w:vAlign w:val="center"/>
          </w:tcPr>
          <w:p w14:paraId="3A3AC8E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Cleaned staging tables and validation flags</w:t>
            </w:r>
          </w:p>
        </w:tc>
      </w:tr>
      <w:tr w:rsidR="0084730D" w:rsidRPr="00335C63" w14:paraId="7A3FD5D2" w14:textId="77777777" w:rsidTr="00CD7B49">
        <w:trPr>
          <w:cantSplit/>
          <w:jc w:val="center"/>
        </w:trPr>
        <w:tc>
          <w:tcPr>
            <w:tcW w:w="0" w:type="auto"/>
            <w:tcMar>
              <w:top w:w="90" w:type="dxa"/>
              <w:left w:w="90" w:type="dxa"/>
              <w:bottom w:w="90" w:type="dxa"/>
              <w:right w:w="90" w:type="dxa"/>
            </w:tcMar>
            <w:vAlign w:val="center"/>
          </w:tcPr>
          <w:p w14:paraId="32D14B9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3. Data integration</w:t>
            </w:r>
          </w:p>
        </w:tc>
        <w:tc>
          <w:tcPr>
            <w:tcW w:w="0" w:type="auto"/>
            <w:tcMar>
              <w:top w:w="90" w:type="dxa"/>
              <w:left w:w="90" w:type="dxa"/>
              <w:bottom w:w="90" w:type="dxa"/>
              <w:right w:w="90" w:type="dxa"/>
            </w:tcMar>
            <w:vAlign w:val="center"/>
          </w:tcPr>
          <w:p w14:paraId="224E3BC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Join data by customer ID, phone number, service date, area, and calendar event matching</w:t>
            </w:r>
          </w:p>
        </w:tc>
        <w:tc>
          <w:tcPr>
            <w:tcW w:w="0" w:type="auto"/>
            <w:tcMar>
              <w:top w:w="90" w:type="dxa"/>
              <w:left w:w="90" w:type="dxa"/>
              <w:bottom w:w="90" w:type="dxa"/>
              <w:right w:w="90" w:type="dxa"/>
            </w:tcMar>
            <w:vAlign w:val="center"/>
          </w:tcPr>
          <w:p w14:paraId="2E57D2D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Analytics-ready fact/dimension model</w:t>
            </w:r>
          </w:p>
        </w:tc>
      </w:tr>
      <w:tr w:rsidR="0084730D" w:rsidRPr="00335C63" w14:paraId="227EB6A4" w14:textId="77777777" w:rsidTr="00CD7B49">
        <w:trPr>
          <w:cantSplit/>
          <w:jc w:val="center"/>
        </w:trPr>
        <w:tc>
          <w:tcPr>
            <w:tcW w:w="0" w:type="auto"/>
            <w:tcMar>
              <w:top w:w="90" w:type="dxa"/>
              <w:left w:w="90" w:type="dxa"/>
              <w:bottom w:w="90" w:type="dxa"/>
              <w:right w:w="90" w:type="dxa"/>
            </w:tcMar>
            <w:vAlign w:val="center"/>
          </w:tcPr>
          <w:p w14:paraId="7DFACC1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4. Weather enrichment</w:t>
            </w:r>
          </w:p>
        </w:tc>
        <w:tc>
          <w:tcPr>
            <w:tcW w:w="0" w:type="auto"/>
            <w:tcMar>
              <w:top w:w="90" w:type="dxa"/>
              <w:left w:w="90" w:type="dxa"/>
              <w:bottom w:w="90" w:type="dxa"/>
              <w:right w:w="90" w:type="dxa"/>
            </w:tcMar>
            <w:vAlign w:val="center"/>
          </w:tcPr>
          <w:p w14:paraId="1973FF9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Map area/postcode to coordinates and retrieve rainfall, humidity, and temperature windows</w:t>
            </w:r>
          </w:p>
        </w:tc>
        <w:tc>
          <w:tcPr>
            <w:tcW w:w="0" w:type="auto"/>
            <w:tcMar>
              <w:top w:w="90" w:type="dxa"/>
              <w:left w:w="90" w:type="dxa"/>
              <w:bottom w:w="90" w:type="dxa"/>
              <w:right w:w="90" w:type="dxa"/>
            </w:tcMar>
            <w:vAlign w:val="center"/>
          </w:tcPr>
          <w:p w14:paraId="12214C7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Weather-enriched service table and coverage report</w:t>
            </w:r>
          </w:p>
        </w:tc>
      </w:tr>
      <w:tr w:rsidR="0084730D" w:rsidRPr="00335C63" w14:paraId="5212407D" w14:textId="77777777" w:rsidTr="00CD7B49">
        <w:trPr>
          <w:cantSplit/>
          <w:jc w:val="center"/>
        </w:trPr>
        <w:tc>
          <w:tcPr>
            <w:tcW w:w="0" w:type="auto"/>
            <w:tcMar>
              <w:top w:w="90" w:type="dxa"/>
              <w:left w:w="90" w:type="dxa"/>
              <w:bottom w:w="90" w:type="dxa"/>
              <w:right w:w="90" w:type="dxa"/>
            </w:tcMar>
            <w:vAlign w:val="center"/>
          </w:tcPr>
          <w:p w14:paraId="7231636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5. Analytics modelling</w:t>
            </w:r>
          </w:p>
        </w:tc>
        <w:tc>
          <w:tcPr>
            <w:tcW w:w="0" w:type="auto"/>
            <w:tcMar>
              <w:top w:w="90" w:type="dxa"/>
              <w:left w:w="90" w:type="dxa"/>
              <w:bottom w:w="90" w:type="dxa"/>
              <w:right w:w="90" w:type="dxa"/>
            </w:tcMar>
            <w:vAlign w:val="center"/>
          </w:tcPr>
          <w:p w14:paraId="6BBF5E9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Compute KPIs, recurrence windows, treatment difficulty, hotspot clusters, upsell package fit, warranty review factors</w:t>
            </w:r>
          </w:p>
        </w:tc>
        <w:tc>
          <w:tcPr>
            <w:tcW w:w="0" w:type="auto"/>
            <w:tcMar>
              <w:top w:w="90" w:type="dxa"/>
              <w:left w:w="90" w:type="dxa"/>
              <w:bottom w:w="90" w:type="dxa"/>
              <w:right w:w="90" w:type="dxa"/>
            </w:tcMar>
            <w:vAlign w:val="center"/>
          </w:tcPr>
          <w:p w14:paraId="279D214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Dashboard marts and scoring tables</w:t>
            </w:r>
          </w:p>
        </w:tc>
      </w:tr>
      <w:tr w:rsidR="0084730D" w:rsidRPr="00335C63" w14:paraId="4E74C49D" w14:textId="77777777" w:rsidTr="00CD7B49">
        <w:trPr>
          <w:cantSplit/>
          <w:jc w:val="center"/>
        </w:trPr>
        <w:tc>
          <w:tcPr>
            <w:tcW w:w="0" w:type="auto"/>
            <w:tcMar>
              <w:top w:w="90" w:type="dxa"/>
              <w:left w:w="90" w:type="dxa"/>
              <w:bottom w:w="90" w:type="dxa"/>
              <w:right w:w="90" w:type="dxa"/>
            </w:tcMar>
            <w:vAlign w:val="center"/>
          </w:tcPr>
          <w:p w14:paraId="2140CEE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6. Scheduled refresh</w:t>
            </w:r>
          </w:p>
        </w:tc>
        <w:tc>
          <w:tcPr>
            <w:tcW w:w="0" w:type="auto"/>
            <w:tcMar>
              <w:top w:w="90" w:type="dxa"/>
              <w:left w:w="90" w:type="dxa"/>
              <w:bottom w:w="90" w:type="dxa"/>
              <w:right w:w="90" w:type="dxa"/>
            </w:tcMar>
            <w:vAlign w:val="center"/>
          </w:tcPr>
          <w:p w14:paraId="4E4D74E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Run Python ETL or BigQuery scheduled queries on a planned interval</w:t>
            </w:r>
          </w:p>
        </w:tc>
        <w:tc>
          <w:tcPr>
            <w:tcW w:w="0" w:type="auto"/>
            <w:tcMar>
              <w:top w:w="90" w:type="dxa"/>
              <w:left w:w="90" w:type="dxa"/>
              <w:bottom w:w="90" w:type="dxa"/>
              <w:right w:w="90" w:type="dxa"/>
            </w:tcMar>
            <w:vAlign w:val="center"/>
          </w:tcPr>
          <w:p w14:paraId="0C8B136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Near-real-time refreshed analytics tables</w:t>
            </w:r>
          </w:p>
        </w:tc>
      </w:tr>
      <w:tr w:rsidR="0084730D" w:rsidRPr="00335C63" w14:paraId="09DEE111" w14:textId="77777777" w:rsidTr="00CD7B49">
        <w:trPr>
          <w:cantSplit/>
          <w:jc w:val="center"/>
        </w:trPr>
        <w:tc>
          <w:tcPr>
            <w:tcW w:w="0" w:type="auto"/>
            <w:tcMar>
              <w:top w:w="90" w:type="dxa"/>
              <w:left w:w="90" w:type="dxa"/>
              <w:bottom w:w="90" w:type="dxa"/>
              <w:right w:w="90" w:type="dxa"/>
            </w:tcMar>
            <w:vAlign w:val="center"/>
          </w:tcPr>
          <w:p w14:paraId="70A7A59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7. Dashboard development</w:t>
            </w:r>
          </w:p>
        </w:tc>
        <w:tc>
          <w:tcPr>
            <w:tcW w:w="0" w:type="auto"/>
            <w:tcMar>
              <w:top w:w="90" w:type="dxa"/>
              <w:left w:w="90" w:type="dxa"/>
              <w:bottom w:w="90" w:type="dxa"/>
              <w:right w:w="90" w:type="dxa"/>
            </w:tcMar>
            <w:vAlign w:val="center"/>
          </w:tcPr>
          <w:p w14:paraId="6A882A3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Build Superset dashboards connected to BigQuery with filters and charts</w:t>
            </w:r>
          </w:p>
        </w:tc>
        <w:tc>
          <w:tcPr>
            <w:tcW w:w="0" w:type="auto"/>
            <w:tcMar>
              <w:top w:w="90" w:type="dxa"/>
              <w:left w:w="90" w:type="dxa"/>
              <w:bottom w:w="90" w:type="dxa"/>
              <w:right w:w="90" w:type="dxa"/>
            </w:tcMar>
            <w:vAlign w:val="center"/>
          </w:tcPr>
          <w:p w14:paraId="04C80E7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Browser-based BI dashboard</w:t>
            </w:r>
          </w:p>
        </w:tc>
      </w:tr>
      <w:tr w:rsidR="0084730D" w:rsidRPr="00335C63" w14:paraId="49AE688A" w14:textId="77777777" w:rsidTr="00CD7B49">
        <w:trPr>
          <w:cantSplit/>
          <w:jc w:val="center"/>
        </w:trPr>
        <w:tc>
          <w:tcPr>
            <w:tcW w:w="0" w:type="auto"/>
            <w:tcMar>
              <w:top w:w="90" w:type="dxa"/>
              <w:left w:w="90" w:type="dxa"/>
              <w:bottom w:w="90" w:type="dxa"/>
              <w:right w:w="90" w:type="dxa"/>
            </w:tcMar>
            <w:vAlign w:val="center"/>
          </w:tcPr>
          <w:p w14:paraId="466CFEC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8. Recommendation logging</w:t>
            </w:r>
          </w:p>
        </w:tc>
        <w:tc>
          <w:tcPr>
            <w:tcW w:w="0" w:type="auto"/>
            <w:tcMar>
              <w:top w:w="90" w:type="dxa"/>
              <w:left w:w="90" w:type="dxa"/>
              <w:bottom w:w="90" w:type="dxa"/>
              <w:right w:w="90" w:type="dxa"/>
            </w:tcMar>
            <w:vAlign w:val="center"/>
          </w:tcPr>
          <w:p w14:paraId="5E75E0B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Store generated recommendations, reasons, management response, and later outcome</w:t>
            </w:r>
          </w:p>
        </w:tc>
        <w:tc>
          <w:tcPr>
            <w:tcW w:w="0" w:type="auto"/>
            <w:tcMar>
              <w:top w:w="90" w:type="dxa"/>
              <w:left w:w="90" w:type="dxa"/>
              <w:bottom w:w="90" w:type="dxa"/>
              <w:right w:w="90" w:type="dxa"/>
            </w:tcMar>
            <w:vAlign w:val="center"/>
          </w:tcPr>
          <w:p w14:paraId="6B3ACBE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Recommendation log for review and future AI learning</w:t>
            </w:r>
          </w:p>
        </w:tc>
      </w:tr>
      <w:tr w:rsidR="0084730D" w:rsidRPr="00335C63" w14:paraId="0B0F59F5" w14:textId="77777777" w:rsidTr="00CD7B49">
        <w:trPr>
          <w:cantSplit/>
          <w:jc w:val="center"/>
        </w:trPr>
        <w:tc>
          <w:tcPr>
            <w:tcW w:w="0" w:type="auto"/>
            <w:tcMar>
              <w:top w:w="90" w:type="dxa"/>
              <w:left w:w="90" w:type="dxa"/>
              <w:bottom w:w="90" w:type="dxa"/>
              <w:right w:w="90" w:type="dxa"/>
            </w:tcMar>
            <w:vAlign w:val="center"/>
          </w:tcPr>
          <w:p w14:paraId="42ED525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9. Evaluation</w:t>
            </w:r>
          </w:p>
        </w:tc>
        <w:tc>
          <w:tcPr>
            <w:tcW w:w="0" w:type="auto"/>
            <w:tcMar>
              <w:top w:w="90" w:type="dxa"/>
              <w:left w:w="90" w:type="dxa"/>
              <w:bottom w:w="90" w:type="dxa"/>
              <w:right w:w="90" w:type="dxa"/>
            </w:tcMar>
            <w:vAlign w:val="center"/>
          </w:tcPr>
          <w:p w14:paraId="257DD0F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Review dashboard with management, compare manual vs dashboard analysis, collect feedback</w:t>
            </w:r>
          </w:p>
        </w:tc>
        <w:tc>
          <w:tcPr>
            <w:tcW w:w="0" w:type="auto"/>
            <w:tcMar>
              <w:top w:w="90" w:type="dxa"/>
              <w:left w:w="90" w:type="dxa"/>
              <w:bottom w:w="90" w:type="dxa"/>
              <w:right w:w="90" w:type="dxa"/>
            </w:tcMar>
            <w:vAlign w:val="center"/>
          </w:tcPr>
          <w:p w14:paraId="66C768E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Evaluation findings and improvement list</w:t>
            </w:r>
          </w:p>
        </w:tc>
      </w:tr>
    </w:tbl>
    <w:p w14:paraId="66FAB3CA" w14:textId="77777777" w:rsidR="0084730D" w:rsidRPr="00335C63" w:rsidRDefault="0084730D" w:rsidP="000F4170">
      <w:pPr>
        <w:spacing w:line="360" w:lineRule="auto"/>
        <w:rPr>
          <w:rFonts w:ascii="Times New Roman" w:hAnsi="Times New Roman" w:cs="Times New Roman"/>
          <w:sz w:val="24"/>
          <w:szCs w:val="24"/>
        </w:rPr>
      </w:pPr>
    </w:p>
    <w:p w14:paraId="3AD03788"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3.2 Proposed Technical Architecture</w:t>
      </w:r>
    </w:p>
    <w:p w14:paraId="60EF2C81" w14:textId="77777777" w:rsidR="0084730D" w:rsidRDefault="00357319" w:rsidP="008D6A1A">
      <w:pPr>
        <w:spacing w:line="360" w:lineRule="auto"/>
        <w:jc w:val="both"/>
        <w:rPr>
          <w:rFonts w:ascii="Times New Roman" w:hAnsi="Times New Roman" w:cs="Times New Roman"/>
          <w:sz w:val="24"/>
          <w:szCs w:val="24"/>
        </w:rPr>
      </w:pPr>
      <w:r>
        <w:t>The selected architecture is Google Sheets or CSV/Excel as the raw data source, Google Calendar as a scheduling source, Python as the extraction/loading layer, Apache Airflow as the pipeline orchestrator, BigQuery as the cloud analytics warehouse, dbt Core as the warehouse transformation and testing layer, Apache Superset as the visualization layer, and optional local Ollama as a future AI recommendation layer. Docker will be used to package local services such as Airflow, Superset, and future Ollama where practical.</w:t>
      </w:r>
    </w:p>
    <w:p w14:paraId="35FA8CB4" w14:textId="77777777" w:rsidR="008D6A1A" w:rsidRPr="00335C63" w:rsidRDefault="008D6A1A" w:rsidP="008D6A1A">
      <w:pPr>
        <w:spacing w:line="360" w:lineRule="auto"/>
        <w:jc w:val="both"/>
        <w:rPr>
          <w:rFonts w:ascii="Times New Roman" w:hAnsi="Times New Roman" w:cs="Times New Roman"/>
          <w:sz w:val="24"/>
          <w:szCs w:val="24"/>
        </w:rPr>
      </w:pPr>
    </w:p>
    <w:p w14:paraId="528B315F" w14:textId="77777777" w:rsidR="0084730D" w:rsidRPr="00335C63" w:rsidRDefault="00357319" w:rsidP="008D6A1A">
      <w:pPr>
        <w:spacing w:line="360" w:lineRule="auto"/>
        <w:jc w:val="both"/>
        <w:rPr>
          <w:rFonts w:ascii="Times New Roman" w:hAnsi="Times New Roman" w:cs="Times New Roman"/>
          <w:sz w:val="24"/>
          <w:szCs w:val="24"/>
        </w:rPr>
      </w:pPr>
      <w:r>
        <w:t>The workflow is designed as a controlled ELT pipeline. Raw data is first extracted from Google Sheets, CSV/Excel exports, Google Calendar, and weather APIs. Python loaders write the raw source records into BigQuery Bronze tables with source metadata. dbt Core then transforms these records into Silver cleaned tables and Gold dashboard marts, while dbt tests and validation tables record data quality issues. Apache Airflow orchestrates the extraction, loading, dbt transformation, testing, weather enrichment, and refresh-log tasks so that the dashboard can show whether the latest data is fresh and reliable.</w:t>
      </w:r>
    </w:p>
    <w:tbl>
      <w:tblPr>
        <w:tblStyle w:val="TableGrid"/>
        <w:tblW w:w="5000" w:type="pct"/>
        <w:jc w:val="center"/>
        <w:tblLook w:val="04A0" w:firstRow="1" w:lastRow="0" w:firstColumn="1" w:lastColumn="0" w:noHBand="0" w:noVBand="1"/>
      </w:tblPr>
      <w:tblGrid>
        <w:gridCol w:w="3038"/>
        <w:gridCol w:w="2862"/>
        <w:gridCol w:w="3116"/>
      </w:tblGrid>
      <w:tr w:rsidR="0084730D" w:rsidRPr="00335C63" w14:paraId="608B777D" w14:textId="77777777" w:rsidTr="00997D20">
        <w:trPr>
          <w:cantSplit/>
          <w:tblHeader/>
          <w:jc w:val="center"/>
        </w:trPr>
        <w:tc>
          <w:tcPr>
            <w:tcW w:w="1685" w:type="pct"/>
            <w:shd w:val="clear" w:color="auto" w:fill="E8F1FA"/>
            <w:tcMar>
              <w:top w:w="90" w:type="dxa"/>
              <w:left w:w="90" w:type="dxa"/>
              <w:bottom w:w="90" w:type="dxa"/>
              <w:right w:w="90" w:type="dxa"/>
            </w:tcMar>
            <w:vAlign w:val="center"/>
          </w:tcPr>
          <w:p w14:paraId="40F1E18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Layer</w:t>
            </w:r>
          </w:p>
        </w:tc>
        <w:tc>
          <w:tcPr>
            <w:tcW w:w="1587" w:type="pct"/>
            <w:shd w:val="clear" w:color="auto" w:fill="E8F1FA"/>
            <w:tcMar>
              <w:top w:w="90" w:type="dxa"/>
              <w:left w:w="90" w:type="dxa"/>
              <w:bottom w:w="90" w:type="dxa"/>
              <w:right w:w="90" w:type="dxa"/>
            </w:tcMar>
            <w:vAlign w:val="center"/>
          </w:tcPr>
          <w:p w14:paraId="1A66C87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Technology</w:t>
            </w:r>
          </w:p>
        </w:tc>
        <w:tc>
          <w:tcPr>
            <w:tcW w:w="1729" w:type="pct"/>
            <w:shd w:val="clear" w:color="auto" w:fill="E8F1FA"/>
            <w:tcMar>
              <w:top w:w="90" w:type="dxa"/>
              <w:left w:w="90" w:type="dxa"/>
              <w:bottom w:w="90" w:type="dxa"/>
              <w:right w:w="90" w:type="dxa"/>
            </w:tcMar>
            <w:vAlign w:val="center"/>
          </w:tcPr>
          <w:p w14:paraId="7425932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Purpose</w:t>
            </w:r>
          </w:p>
        </w:tc>
      </w:tr>
      <w:tr w:rsidR="0084730D" w:rsidRPr="00335C63" w14:paraId="607863A2" w14:textId="77777777" w:rsidTr="00997D20">
        <w:trPr>
          <w:cantSplit/>
          <w:jc w:val="center"/>
        </w:trPr>
        <w:tc>
          <w:tcPr>
            <w:tcW w:w="1685" w:type="pct"/>
            <w:tcMar>
              <w:top w:w="90" w:type="dxa"/>
              <w:left w:w="90" w:type="dxa"/>
              <w:bottom w:w="90" w:type="dxa"/>
              <w:right w:w="90" w:type="dxa"/>
            </w:tcMar>
            <w:vAlign w:val="center"/>
          </w:tcPr>
          <w:p w14:paraId="6173F05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Data source</w:t>
            </w:r>
          </w:p>
        </w:tc>
        <w:tc>
          <w:tcPr>
            <w:tcW w:w="1587" w:type="pct"/>
            <w:tcMar>
              <w:top w:w="90" w:type="dxa"/>
              <w:left w:w="90" w:type="dxa"/>
              <w:bottom w:w="90" w:type="dxa"/>
              <w:right w:w="90" w:type="dxa"/>
            </w:tcMar>
            <w:vAlign w:val="center"/>
          </w:tcPr>
          <w:p w14:paraId="37D7419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Google Sheets, CSV/Excel, Google Calendar</w:t>
            </w:r>
          </w:p>
        </w:tc>
        <w:tc>
          <w:tcPr>
            <w:tcW w:w="1729" w:type="pct"/>
            <w:tcMar>
              <w:top w:w="90" w:type="dxa"/>
              <w:left w:w="90" w:type="dxa"/>
              <w:bottom w:w="90" w:type="dxa"/>
              <w:right w:w="90" w:type="dxa"/>
            </w:tcMar>
            <w:vAlign w:val="center"/>
          </w:tcPr>
          <w:p w14:paraId="57FB585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Company-facing raw data entry and operational records</w:t>
            </w:r>
          </w:p>
        </w:tc>
      </w:tr>
      <w:tr w:rsidR="0084730D" w:rsidRPr="00335C63" w14:paraId="73E91DD1" w14:textId="77777777" w:rsidTr="00997D20">
        <w:trPr>
          <w:cantSplit/>
          <w:jc w:val="center"/>
        </w:trPr>
        <w:tc>
          <w:tcPr>
            <w:tcW w:w="1685" w:type="pct"/>
            <w:tcMar>
              <w:top w:w="90" w:type="dxa"/>
              <w:left w:w="90" w:type="dxa"/>
              <w:bottom w:w="90" w:type="dxa"/>
              <w:right w:w="90" w:type="dxa"/>
            </w:tcMar>
            <w:vAlign w:val="center"/>
          </w:tcPr>
          <w:p>
            <w:r>
              <w:t>Extract/load and analytics</w:t>
            </w:r>
          </w:p>
        </w:tc>
        <w:tc>
          <w:tcPr>
            <w:tcW w:w="1587" w:type="pct"/>
            <w:tcMar>
              <w:top w:w="90" w:type="dxa"/>
              <w:left w:w="90" w:type="dxa"/>
              <w:bottom w:w="90" w:type="dxa"/>
              <w:right w:w="90" w:type="dxa"/>
            </w:tcMar>
            <w:vAlign w:val="center"/>
          </w:tcPr>
          <w:p>
            <w:r>
              <w:t>Python, Pandas, BigQuery client, scikit-learn where appropriate</w:t>
            </w:r>
          </w:p>
        </w:tc>
        <w:tc>
          <w:tcPr>
            <w:tcW w:w="1729" w:type="pct"/>
            <w:tcMar>
              <w:top w:w="90" w:type="dxa"/>
              <w:left w:w="90" w:type="dxa"/>
              <w:bottom w:w="90" w:type="dxa"/>
              <w:right w:w="90" w:type="dxa"/>
            </w:tcMar>
            <w:vAlign w:val="center"/>
          </w:tcPr>
          <w:p>
            <w:r>
              <w:t>Extract source data, load Bronze tables, run weather enrichment, and compute selected analytics outputs</w:t>
            </w:r>
          </w:p>
        </w:tc>
      </w:tr>
      <w:tr w:rsidR="0084730D" w:rsidRPr="00335C63" w14:paraId="063877C4" w14:textId="77777777" w:rsidTr="00997D20">
        <w:trPr>
          <w:cantSplit/>
          <w:jc w:val="center"/>
        </w:trPr>
        <w:tc>
          <w:tcPr>
            <w:tcW w:w="1685" w:type="pct"/>
            <w:tcMar>
              <w:top w:w="90" w:type="dxa"/>
              <w:left w:w="90" w:type="dxa"/>
              <w:bottom w:w="90" w:type="dxa"/>
              <w:right w:w="90" w:type="dxa"/>
            </w:tcMar>
            <w:vAlign w:val="center"/>
          </w:tcPr>
          <w:p>
            <w:r>
              <w:t>Cloud warehouse</w:t>
            </w:r>
          </w:p>
        </w:tc>
        <w:tc>
          <w:tcPr>
            <w:tcW w:w="1587" w:type="pct"/>
            <w:tcMar>
              <w:top w:w="90" w:type="dxa"/>
              <w:left w:w="90" w:type="dxa"/>
              <w:bottom w:w="90" w:type="dxa"/>
              <w:right w:w="90" w:type="dxa"/>
            </w:tcMar>
            <w:vAlign w:val="center"/>
          </w:tcPr>
          <w:p>
            <w:r>
              <w:t>Google BigQuery</w:t>
            </w:r>
          </w:p>
        </w:tc>
        <w:tc>
          <w:tcPr>
            <w:tcW w:w="1729" w:type="pct"/>
            <w:tcMar>
              <w:top w:w="90" w:type="dxa"/>
              <w:left w:w="90" w:type="dxa"/>
              <w:bottom w:w="90" w:type="dxa"/>
              <w:right w:w="90" w:type="dxa"/>
            </w:tcMar>
            <w:vAlign w:val="center"/>
          </w:tcPr>
          <w:p>
            <w:r>
              <w:t>Store Bronze raw, Silver cleaned, and Gold dashboard-ready analytics tables</w:t>
            </w:r>
          </w:p>
        </w:tc>
      </w:tr>
      <w:tr w:rsidR="0084730D" w:rsidRPr="00335C63" w14:paraId="76C72091" w14:textId="77777777" w:rsidTr="00997D20">
        <w:trPr>
          <w:cantSplit/>
          <w:jc w:val="center"/>
        </w:trPr>
        <w:tc>
          <w:tcPr>
            <w:tcW w:w="1685" w:type="pct"/>
            <w:tcMar>
              <w:top w:w="90" w:type="dxa"/>
              <w:left w:w="90" w:type="dxa"/>
              <w:bottom w:w="90" w:type="dxa"/>
              <w:right w:w="90" w:type="dxa"/>
            </w:tcMar>
            <w:vAlign w:val="center"/>
          </w:tcPr>
          <w:p w14:paraId="3F57421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Visualization</w:t>
            </w:r>
          </w:p>
        </w:tc>
        <w:tc>
          <w:tcPr>
            <w:tcW w:w="1587" w:type="pct"/>
            <w:tcMar>
              <w:top w:w="90" w:type="dxa"/>
              <w:left w:w="90" w:type="dxa"/>
              <w:bottom w:w="90" w:type="dxa"/>
              <w:right w:w="90" w:type="dxa"/>
            </w:tcMar>
            <w:vAlign w:val="center"/>
          </w:tcPr>
          <w:p w14:paraId="118E51E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Apache Superset</w:t>
            </w:r>
          </w:p>
        </w:tc>
        <w:tc>
          <w:tcPr>
            <w:tcW w:w="1729" w:type="pct"/>
            <w:tcMar>
              <w:top w:w="90" w:type="dxa"/>
              <w:left w:w="90" w:type="dxa"/>
              <w:bottom w:w="90" w:type="dxa"/>
              <w:right w:w="90" w:type="dxa"/>
            </w:tcMar>
            <w:vAlign w:val="center"/>
          </w:tcPr>
          <w:p w14:paraId="1BE9E37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Browser-based dashboards, charts, filters, maps, and tables</w:t>
            </w:r>
          </w:p>
        </w:tc>
      </w:tr>
      <w:tr w:rsidR="0084730D" w:rsidRPr="00335C63" w14:paraId="3F948B99" w14:textId="77777777" w:rsidTr="00997D20">
        <w:trPr>
          <w:cantSplit/>
          <w:jc w:val="center"/>
        </w:trPr>
        <w:tc>
          <w:tcPr>
            <w:tcW w:w="1685" w:type="pct"/>
            <w:tcMar>
              <w:top w:w="90" w:type="dxa"/>
              <w:left w:w="90" w:type="dxa"/>
              <w:bottom w:w="90" w:type="dxa"/>
              <w:right w:w="90" w:type="dxa"/>
            </w:tcMar>
            <w:vAlign w:val="center"/>
          </w:tcPr>
          <w:p>
            <w:r>
              <w:t>Orchestration</w:t>
            </w:r>
          </w:p>
        </w:tc>
        <w:tc>
          <w:tcPr>
            <w:tcW w:w="1587" w:type="pct"/>
            <w:tcMar>
              <w:top w:w="90" w:type="dxa"/>
              <w:left w:w="90" w:type="dxa"/>
              <w:bottom w:w="90" w:type="dxa"/>
              <w:right w:w="90" w:type="dxa"/>
            </w:tcMar>
            <w:vAlign w:val="center"/>
          </w:tcPr>
          <w:p>
            <w:r>
              <w:t>Apache Airflow</w:t>
            </w:r>
          </w:p>
        </w:tc>
        <w:tc>
          <w:tcPr>
            <w:tcW w:w="1729" w:type="pct"/>
            <w:tcMar>
              <w:top w:w="90" w:type="dxa"/>
              <w:left w:w="90" w:type="dxa"/>
              <w:bottom w:w="90" w:type="dxa"/>
              <w:right w:w="90" w:type="dxa"/>
            </w:tcMar>
            <w:vAlign w:val="center"/>
          </w:tcPr>
          <w:p>
            <w:r>
              <w:t>Schedule, monitor, retry, and log ELT pipeline tasks</w:t>
            </w:r>
          </w:p>
        </w:tc>
      </w:tr>
      <w:tr w:rsidR="0084730D" w:rsidRPr="00335C63" w14:paraId="49D71B52" w14:textId="77777777" w:rsidTr="00997D20">
        <w:trPr>
          <w:cantSplit/>
          <w:jc w:val="center"/>
        </w:trPr>
        <w:tc>
          <w:tcPr>
            <w:tcW w:w="1685" w:type="pct"/>
            <w:tcMar>
              <w:top w:w="90" w:type="dxa"/>
              <w:left w:w="90" w:type="dxa"/>
              <w:bottom w:w="90" w:type="dxa"/>
              <w:right w:w="90" w:type="dxa"/>
            </w:tcMar>
            <w:vAlign w:val="center"/>
          </w:tcPr>
          <w:p>
            <w:r>
              <w:t>Transformation and testing</w:t>
            </w:r>
          </w:p>
        </w:tc>
        <w:tc>
          <w:tcPr>
            <w:tcW w:w="1587" w:type="pct"/>
            <w:tcMar>
              <w:top w:w="90" w:type="dxa"/>
              <w:left w:w="90" w:type="dxa"/>
              <w:bottom w:w="90" w:type="dxa"/>
              <w:right w:w="90" w:type="dxa"/>
            </w:tcMar>
            <w:vAlign w:val="center"/>
          </w:tcPr>
          <w:p>
            <w:r>
              <w:t>dbt Core</w:t>
            </w:r>
          </w:p>
        </w:tc>
        <w:tc>
          <w:tcPr>
            <w:tcW w:w="1729" w:type="pct"/>
            <w:tcMar>
              <w:top w:w="90" w:type="dxa"/>
              <w:left w:w="90" w:type="dxa"/>
              <w:bottom w:w="90" w:type="dxa"/>
              <w:right w:w="90" w:type="dxa"/>
            </w:tcMar>
            <w:vAlign w:val="center"/>
          </w:tcPr>
          <w:p>
            <w:r>
              <w:t>Build SQL models, data tests, documentation, and lineage for BigQuery tables</w:t>
            </w:r>
          </w:p>
        </w:tc>
      </w:tr>
      <w:tr w:rsidR="0084730D" w:rsidRPr="00335C63" w14:paraId="5C209B8C" w14:textId="77777777" w:rsidTr="00997D20">
        <w:trPr>
          <w:cantSplit/>
          <w:jc w:val="center"/>
        </w:trPr>
        <w:tc>
          <w:tcPr>
            <w:tcW w:w="1685" w:type="pct"/>
            <w:tcMar>
              <w:top w:w="90" w:type="dxa"/>
              <w:left w:w="90" w:type="dxa"/>
              <w:bottom w:w="90" w:type="dxa"/>
              <w:right w:w="90" w:type="dxa"/>
            </w:tcMar>
            <w:vAlign w:val="center"/>
          </w:tcPr>
          <w:p w14:paraId="5C40085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AI recommendation</w:t>
            </w:r>
          </w:p>
        </w:tc>
        <w:tc>
          <w:tcPr>
            <w:tcW w:w="1587" w:type="pct"/>
            <w:tcMar>
              <w:top w:w="90" w:type="dxa"/>
              <w:left w:w="90" w:type="dxa"/>
              <w:bottom w:w="90" w:type="dxa"/>
              <w:right w:w="90" w:type="dxa"/>
            </w:tcMar>
            <w:vAlign w:val="center"/>
          </w:tcPr>
          <w:p w14:paraId="1F8D76A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Local Ollama (future phase)</w:t>
            </w:r>
          </w:p>
        </w:tc>
        <w:tc>
          <w:tcPr>
            <w:tcW w:w="1729" w:type="pct"/>
            <w:tcMar>
              <w:top w:w="90" w:type="dxa"/>
              <w:left w:w="90" w:type="dxa"/>
              <w:bottom w:w="90" w:type="dxa"/>
              <w:right w:w="90" w:type="dxa"/>
            </w:tcMar>
            <w:vAlign w:val="center"/>
          </w:tcPr>
          <w:p w14:paraId="110DDE9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Generate plain-language suggestions from analytics outputs without paid API calls</w:t>
            </w:r>
          </w:p>
        </w:tc>
      </w:tr>
      <w:tr w:rsidR="0084730D" w:rsidRPr="00335C63" w14:paraId="4850A750" w14:textId="77777777" w:rsidTr="00997D20">
        <w:trPr>
          <w:cantSplit/>
          <w:jc w:val="center"/>
        </w:trPr>
        <w:tc>
          <w:tcPr>
            <w:tcW w:w="1685" w:type="pct"/>
            <w:tcMar>
              <w:top w:w="90" w:type="dxa"/>
              <w:left w:w="90" w:type="dxa"/>
              <w:bottom w:w="90" w:type="dxa"/>
              <w:right w:w="90" w:type="dxa"/>
            </w:tcMar>
            <w:vAlign w:val="center"/>
          </w:tcPr>
          <w:p w14:paraId="69FC242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Deployment</w:t>
            </w:r>
          </w:p>
        </w:tc>
        <w:tc>
          <w:tcPr>
            <w:tcW w:w="1587" w:type="pct"/>
            <w:tcMar>
              <w:top w:w="90" w:type="dxa"/>
              <w:left w:w="90" w:type="dxa"/>
              <w:bottom w:w="90" w:type="dxa"/>
              <w:right w:w="90" w:type="dxa"/>
            </w:tcMar>
            <w:vAlign w:val="center"/>
          </w:tcPr>
          <w:p w14:paraId="09039AE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Docker Compose for local services; BigQuery hosted by Google Cloud</w:t>
            </w:r>
          </w:p>
        </w:tc>
        <w:tc>
          <w:tcPr>
            <w:tcW w:w="1729" w:type="pct"/>
            <w:tcMar>
              <w:top w:w="90" w:type="dxa"/>
              <w:left w:w="90" w:type="dxa"/>
              <w:bottom w:w="90" w:type="dxa"/>
              <w:right w:w="90" w:type="dxa"/>
            </w:tcMar>
            <w:vAlign w:val="center"/>
          </w:tcPr>
          <w:p w14:paraId="6A5B36C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Reproducible setup for demo and company handover</w:t>
            </w:r>
          </w:p>
        </w:tc>
      </w:tr>
      <w:tr>
        <w:tc>
          <w:tcPr>
            <w:tcW w:type="dxa" w:w="3038"/>
          </w:tcPr>
          <w:p>
            <w:r>
              <w:t>Governance and quality</w:t>
            </w:r>
          </w:p>
        </w:tc>
        <w:tc>
          <w:tcPr>
            <w:tcW w:type="dxa" w:w="2862"/>
          </w:tcPr>
          <w:p>
            <w:r>
              <w:t>dbt tests, validation logs, anonymised views</w:t>
            </w:r>
          </w:p>
        </w:tc>
        <w:tc>
          <w:tcPr>
            <w:tcW w:type="dxa" w:w="3116"/>
          </w:tcPr>
          <w:p>
            <w:r>
              <w:t>Protect customer data and show data quality, contract, and refresh status</w:t>
            </w:r>
          </w:p>
        </w:tc>
      </w:tr>
    </w:tbl>
    <w:p w14:paraId="218165A1" w14:textId="77777777" w:rsidR="0084730D" w:rsidRPr="00335C63" w:rsidRDefault="0084730D" w:rsidP="000F4170">
      <w:pPr>
        <w:spacing w:line="360" w:lineRule="auto"/>
        <w:rPr>
          <w:rFonts w:ascii="Times New Roman" w:hAnsi="Times New Roman" w:cs="Times New Roman"/>
          <w:sz w:val="24"/>
          <w:szCs w:val="24"/>
        </w:rPr>
      </w:pPr>
    </w:p>
    <w:p w14:paraId="7C24A2EF"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3.3 BigQuery Data Warehouse Design</w:t>
      </w:r>
    </w:p>
    <w:p w14:paraId="248B95AD" w14:textId="77777777" w:rsidR="0084730D" w:rsidRPr="00335C63" w:rsidRDefault="00357319" w:rsidP="008D6A1A">
      <w:pPr>
        <w:spacing w:line="360" w:lineRule="auto"/>
        <w:jc w:val="both"/>
        <w:rPr>
          <w:rFonts w:ascii="Times New Roman" w:hAnsi="Times New Roman" w:cs="Times New Roman"/>
          <w:sz w:val="24"/>
          <w:szCs w:val="24"/>
        </w:rPr>
      </w:pPr>
      <w:r>
        <w:t>BigQuery is selected because the project is analytics-oriented and the company data is connected to the Google ecosystem. BigQuery removes the need to maintain a database server while still allowing SQL-based modelling, scheduled queries, partitioned tables, and dashboard connections. The warehouse will follow a Bronze, Silver, and Gold design: Bronze tables preserve raw source records, Silver tables standardise entities and facts, and Gold marts serve dashboard-ready analytics to Superset.</w:t>
      </w:r>
    </w:p>
    <w:tbl>
      <w:tblPr>
        <w:tblStyle w:val="TableGrid"/>
        <w:tblW w:w="5000" w:type="pct"/>
        <w:jc w:val="center"/>
        <w:tblLook w:val="04A0" w:firstRow="1" w:lastRow="0" w:firstColumn="1" w:lastColumn="0" w:noHBand="0" w:noVBand="1"/>
      </w:tblPr>
      <w:tblGrid>
        <w:gridCol w:w="1740"/>
        <w:gridCol w:w="2680"/>
        <w:gridCol w:w="4596"/>
      </w:tblGrid>
      <w:tr w:rsidR="0084730D" w:rsidRPr="00335C63" w14:paraId="5A139CA7" w14:textId="77777777" w:rsidTr="00997D20">
        <w:trPr>
          <w:cantSplit/>
          <w:tblHeader/>
          <w:jc w:val="center"/>
        </w:trPr>
        <w:tc>
          <w:tcPr>
            <w:tcW w:w="965" w:type="pct"/>
            <w:shd w:val="clear" w:color="auto" w:fill="E8F1FA"/>
            <w:tcMar>
              <w:top w:w="90" w:type="dxa"/>
              <w:left w:w="90" w:type="dxa"/>
              <w:bottom w:w="90" w:type="dxa"/>
              <w:right w:w="90" w:type="dxa"/>
            </w:tcMar>
            <w:vAlign w:val="center"/>
          </w:tcPr>
          <w:p>
            <w:r>
              <w:t>Layer</w:t>
            </w:r>
          </w:p>
        </w:tc>
        <w:tc>
          <w:tcPr>
            <w:tcW w:w="1486" w:type="pct"/>
            <w:shd w:val="clear" w:color="auto" w:fill="E8F1FA"/>
            <w:tcMar>
              <w:top w:w="90" w:type="dxa"/>
              <w:left w:w="90" w:type="dxa"/>
              <w:bottom w:w="90" w:type="dxa"/>
              <w:right w:w="90" w:type="dxa"/>
            </w:tcMar>
            <w:vAlign w:val="center"/>
          </w:tcPr>
          <w:p>
            <w:r>
              <w:t>Purpose</w:t>
            </w:r>
          </w:p>
        </w:tc>
        <w:tc>
          <w:tcPr>
            <w:tcW w:w="2549" w:type="pct"/>
            <w:shd w:val="clear" w:color="auto" w:fill="E8F1FA"/>
            <w:tcMar>
              <w:top w:w="90" w:type="dxa"/>
              <w:left w:w="90" w:type="dxa"/>
              <w:bottom w:w="90" w:type="dxa"/>
              <w:right w:w="90" w:type="dxa"/>
            </w:tcMar>
            <w:vAlign w:val="center"/>
          </w:tcPr>
          <w:p>
            <w:r>
              <w:t>Example Tables</w:t>
            </w:r>
          </w:p>
        </w:tc>
      </w:tr>
      <w:tr w:rsidR="0084730D" w:rsidRPr="00335C63" w14:paraId="0751C14C" w14:textId="77777777" w:rsidTr="00997D20">
        <w:trPr>
          <w:cantSplit/>
          <w:jc w:val="center"/>
        </w:trPr>
        <w:tc>
          <w:tcPr>
            <w:tcW w:w="965" w:type="pct"/>
            <w:tcMar>
              <w:top w:w="90" w:type="dxa"/>
              <w:left w:w="90" w:type="dxa"/>
              <w:bottom w:w="90" w:type="dxa"/>
              <w:right w:w="90" w:type="dxa"/>
            </w:tcMar>
            <w:vAlign w:val="center"/>
          </w:tcPr>
          <w:p>
            <w:r>
              <w:t>Bronze raw</w:t>
            </w:r>
          </w:p>
        </w:tc>
        <w:tc>
          <w:tcPr>
            <w:tcW w:w="1486" w:type="pct"/>
            <w:tcMar>
              <w:top w:w="90" w:type="dxa"/>
              <w:left w:w="90" w:type="dxa"/>
              <w:bottom w:w="90" w:type="dxa"/>
              <w:right w:w="90" w:type="dxa"/>
            </w:tcMar>
            <w:vAlign w:val="center"/>
          </w:tcPr>
          <w:p>
            <w:r>
              <w:t>Store raw imported data with minimal transformation and source metadata</w:t>
            </w:r>
          </w:p>
        </w:tc>
        <w:tc>
          <w:tcPr>
            <w:tcW w:w="2549" w:type="pct"/>
            <w:tcMar>
              <w:top w:w="90" w:type="dxa"/>
              <w:left w:w="90" w:type="dxa"/>
              <w:bottom w:w="90" w:type="dxa"/>
              <w:right w:w="90" w:type="dxa"/>
            </w:tcMar>
            <w:vAlign w:val="center"/>
          </w:tcPr>
          <w:p>
            <w:r>
              <w:t>bronze_google_sheets_services, bronze_calendar_events, bronze_open_meteo_weather</w:t>
            </w:r>
          </w:p>
        </w:tc>
      </w:tr>
      <w:tr w:rsidR="0084730D" w:rsidRPr="00335C63" w14:paraId="05F08D28" w14:textId="77777777" w:rsidTr="00997D20">
        <w:trPr>
          <w:cantSplit/>
          <w:jc w:val="center"/>
        </w:trPr>
        <w:tc>
          <w:tcPr>
            <w:tcW w:w="965" w:type="pct"/>
            <w:tcMar>
              <w:top w:w="90" w:type="dxa"/>
              <w:left w:w="90" w:type="dxa"/>
              <w:bottom w:w="90" w:type="dxa"/>
              <w:right w:w="90" w:type="dxa"/>
            </w:tcMar>
            <w:vAlign w:val="center"/>
          </w:tcPr>
          <w:p>
            <w:r>
              <w:t>Silver cleaned</w:t>
            </w:r>
          </w:p>
        </w:tc>
        <w:tc>
          <w:tcPr>
            <w:tcW w:w="1486" w:type="pct"/>
            <w:tcMar>
              <w:top w:w="90" w:type="dxa"/>
              <w:left w:w="90" w:type="dxa"/>
              <w:bottom w:w="90" w:type="dxa"/>
              <w:right w:w="90" w:type="dxa"/>
            </w:tcMar>
            <w:vAlign w:val="center"/>
          </w:tcPr>
          <w:p>
            <w:r>
              <w:t>Standardised dimensions and facts built through dbt models</w:t>
            </w:r>
          </w:p>
        </w:tc>
        <w:tc>
          <w:tcPr>
            <w:tcW w:w="2549" w:type="pct"/>
            <w:tcMar>
              <w:top w:w="90" w:type="dxa"/>
              <w:left w:w="90" w:type="dxa"/>
              <w:bottom w:w="90" w:type="dxa"/>
              <w:right w:w="90" w:type="dxa"/>
            </w:tcMar>
            <w:vAlign w:val="center"/>
          </w:tcPr>
          <w:p>
            <w:r>
              <w:t>dim_customer, dim_area, dim_pest, fact_service, fact_payment, fact_warranty, fact_refund</w:t>
            </w:r>
          </w:p>
        </w:tc>
      </w:tr>
      <w:tr w:rsidR="0084730D" w:rsidRPr="00335C63" w14:paraId="52C9CE2D" w14:textId="77777777" w:rsidTr="00997D20">
        <w:trPr>
          <w:cantSplit/>
          <w:jc w:val="center"/>
        </w:trPr>
        <w:tc>
          <w:tcPr>
            <w:tcW w:w="965" w:type="pct"/>
            <w:tcMar>
              <w:top w:w="90" w:type="dxa"/>
              <w:left w:w="90" w:type="dxa"/>
              <w:bottom w:w="90" w:type="dxa"/>
              <w:right w:w="90" w:type="dxa"/>
            </w:tcMar>
            <w:vAlign w:val="center"/>
          </w:tcPr>
          <w:p>
            <w:r>
              <w:t>Gold marts</w:t>
            </w:r>
          </w:p>
        </w:tc>
        <w:tc>
          <w:tcPr>
            <w:tcW w:w="1486" w:type="pct"/>
            <w:tcMar>
              <w:top w:w="90" w:type="dxa"/>
              <w:left w:w="90" w:type="dxa"/>
              <w:bottom w:w="90" w:type="dxa"/>
              <w:right w:w="90" w:type="dxa"/>
            </w:tcMar>
            <w:vAlign w:val="center"/>
          </w:tcPr>
          <w:p>
            <w:r>
              <w:t>Dashboard-ready tables and views consumed by Superset</w:t>
            </w:r>
          </w:p>
        </w:tc>
        <w:tc>
          <w:tcPr>
            <w:tcW w:w="2549" w:type="pct"/>
            <w:tcMar>
              <w:top w:w="90" w:type="dxa"/>
              <w:left w:w="90" w:type="dxa"/>
              <w:bottom w:w="90" w:type="dxa"/>
              <w:right w:w="90" w:type="dxa"/>
            </w:tcMar>
            <w:vAlign w:val="center"/>
          </w:tcPr>
          <w:p>
            <w:r>
              <w:t>mart_area_risk, mart_treatment_difficulty, mart_recurrence_windows, mart_data_quality, mart_pipeline_status</w:t>
            </w:r>
          </w:p>
        </w:tc>
      </w:tr>
      <w:tr>
        <w:tc>
          <w:tcPr>
            <w:tcW w:type="dxa" w:w="1740"/>
          </w:tcPr>
          <w:p>
            <w:r>
              <w:t>Audit and lineage</w:t>
            </w:r>
          </w:p>
        </w:tc>
        <w:tc>
          <w:tcPr>
            <w:tcW w:type="dxa" w:w="2680"/>
          </w:tcPr>
          <w:p>
            <w:r>
              <w:t>Store pipeline runs, quality checks, source freshness, and matching confidence</w:t>
            </w:r>
          </w:p>
        </w:tc>
        <w:tc>
          <w:tcPr>
            <w:tcW w:type="dxa" w:w="4596"/>
          </w:tcPr>
          <w:p>
            <w:r>
              <w:t>etl_run_log, data_quality_log, source_refresh_status, record_match_log, weather_enrichment_log</w:t>
            </w:r>
          </w:p>
        </w:tc>
      </w:tr>
    </w:tbl>
    <w:p w14:paraId="22F784D1" w14:textId="77777777" w:rsidR="0084730D" w:rsidRPr="00335C63" w:rsidRDefault="0084730D" w:rsidP="000F4170">
      <w:pPr>
        <w:spacing w:line="360" w:lineRule="auto"/>
        <w:rPr>
          <w:rFonts w:ascii="Times New Roman" w:hAnsi="Times New Roman" w:cs="Times New Roman"/>
          <w:sz w:val="24"/>
          <w:szCs w:val="24"/>
        </w:rPr>
      </w:pPr>
    </w:p>
    <w:p w14:paraId="0CAF120E" w14:textId="77777777" w:rsidR="0084730D" w:rsidRPr="00335C63" w:rsidRDefault="00357319" w:rsidP="008D6A1A">
      <w:pPr>
        <w:spacing w:line="360" w:lineRule="auto"/>
        <w:jc w:val="both"/>
        <w:rPr>
          <w:rFonts w:ascii="Times New Roman" w:hAnsi="Times New Roman" w:cs="Times New Roman"/>
          <w:sz w:val="24"/>
          <w:szCs w:val="24"/>
        </w:rPr>
      </w:pPr>
      <w:r>
        <w:t>The design will use stable identifiers such as customer_id, service_id, date, area, postcode, pest_type, package_type, technician, and team. BigQuery is used as an analytics warehouse rather than a transaction-processing database, so relationships will be managed through consistent keys, SQL joins, dbt models, data tests, lineage documentation, and validation logs rather than transactional foreign-key enforcement.</w:t>
      </w:r>
    </w:p>
    <w:tbl>
      <w:tblPr>
        <w:tblStyle w:val="TableGrid"/>
        <w:tblW w:w="5000" w:type="pct"/>
        <w:jc w:val="center"/>
        <w:tblLook w:val="04A0" w:firstRow="1" w:lastRow="0" w:firstColumn="1" w:lastColumn="0" w:noHBand="0" w:noVBand="1"/>
      </w:tblPr>
      <w:tblGrid>
        <w:gridCol w:w="3511"/>
        <w:gridCol w:w="3408"/>
        <w:gridCol w:w="2097"/>
      </w:tblGrid>
      <w:tr w:rsidR="0084730D" w:rsidRPr="00335C63" w14:paraId="6E9B252F" w14:textId="77777777" w:rsidTr="00997D20">
        <w:trPr>
          <w:cantSplit/>
          <w:tblHeader/>
          <w:jc w:val="center"/>
        </w:trPr>
        <w:tc>
          <w:tcPr>
            <w:tcW w:w="1947" w:type="pct"/>
            <w:shd w:val="clear" w:color="auto" w:fill="E8F1FA"/>
            <w:tcMar>
              <w:top w:w="90" w:type="dxa"/>
              <w:left w:w="90" w:type="dxa"/>
              <w:bottom w:w="90" w:type="dxa"/>
              <w:right w:w="90" w:type="dxa"/>
            </w:tcMar>
            <w:vAlign w:val="center"/>
          </w:tcPr>
          <w:p w14:paraId="33546B8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Relationship</w:t>
            </w:r>
          </w:p>
        </w:tc>
        <w:tc>
          <w:tcPr>
            <w:tcW w:w="1890" w:type="pct"/>
            <w:shd w:val="clear" w:color="auto" w:fill="E8F1FA"/>
            <w:tcMar>
              <w:top w:w="90" w:type="dxa"/>
              <w:left w:w="90" w:type="dxa"/>
              <w:bottom w:w="90" w:type="dxa"/>
              <w:right w:w="90" w:type="dxa"/>
            </w:tcMar>
            <w:vAlign w:val="center"/>
          </w:tcPr>
          <w:p w14:paraId="48AE7FC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Join Key / Matching Rule</w:t>
            </w:r>
          </w:p>
        </w:tc>
        <w:tc>
          <w:tcPr>
            <w:tcW w:w="1163" w:type="pct"/>
            <w:shd w:val="clear" w:color="auto" w:fill="E8F1FA"/>
            <w:tcMar>
              <w:top w:w="90" w:type="dxa"/>
              <w:left w:w="90" w:type="dxa"/>
              <w:bottom w:w="90" w:type="dxa"/>
              <w:right w:w="90" w:type="dxa"/>
            </w:tcMar>
            <w:vAlign w:val="center"/>
          </w:tcPr>
          <w:p w14:paraId="6968A55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Purpose</w:t>
            </w:r>
          </w:p>
        </w:tc>
      </w:tr>
      <w:tr w:rsidR="0084730D" w:rsidRPr="00335C63" w14:paraId="75FD4393" w14:textId="77777777" w:rsidTr="00997D20">
        <w:trPr>
          <w:cantSplit/>
          <w:jc w:val="center"/>
        </w:trPr>
        <w:tc>
          <w:tcPr>
            <w:tcW w:w="1947" w:type="pct"/>
            <w:tcMar>
              <w:top w:w="90" w:type="dxa"/>
              <w:left w:w="90" w:type="dxa"/>
              <w:bottom w:w="90" w:type="dxa"/>
              <w:right w:w="90" w:type="dxa"/>
            </w:tcMar>
            <w:vAlign w:val="center"/>
          </w:tcPr>
          <w:p w14:paraId="50EE799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dim_customer -&gt; fact_service</w:t>
            </w:r>
          </w:p>
        </w:tc>
        <w:tc>
          <w:tcPr>
            <w:tcW w:w="1890" w:type="pct"/>
            <w:tcMar>
              <w:top w:w="90" w:type="dxa"/>
              <w:left w:w="90" w:type="dxa"/>
              <w:bottom w:w="90" w:type="dxa"/>
              <w:right w:w="90" w:type="dxa"/>
            </w:tcMar>
            <w:vAlign w:val="center"/>
          </w:tcPr>
          <w:p w14:paraId="67BB063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customer_id; fallback to normalised phone number</w:t>
            </w:r>
          </w:p>
        </w:tc>
        <w:tc>
          <w:tcPr>
            <w:tcW w:w="1163" w:type="pct"/>
            <w:tcMar>
              <w:top w:w="90" w:type="dxa"/>
              <w:left w:w="90" w:type="dxa"/>
              <w:bottom w:w="90" w:type="dxa"/>
              <w:right w:w="90" w:type="dxa"/>
            </w:tcMar>
            <w:vAlign w:val="center"/>
          </w:tcPr>
          <w:p w14:paraId="0CE9876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Connect services to customer profile, premise type, and segment</w:t>
            </w:r>
          </w:p>
        </w:tc>
      </w:tr>
      <w:tr w:rsidR="0084730D" w:rsidRPr="00335C63" w14:paraId="053AB728" w14:textId="77777777" w:rsidTr="00997D20">
        <w:trPr>
          <w:cantSplit/>
          <w:jc w:val="center"/>
        </w:trPr>
        <w:tc>
          <w:tcPr>
            <w:tcW w:w="1947" w:type="pct"/>
            <w:tcMar>
              <w:top w:w="90" w:type="dxa"/>
              <w:left w:w="90" w:type="dxa"/>
              <w:bottom w:w="90" w:type="dxa"/>
              <w:right w:w="90" w:type="dxa"/>
            </w:tcMar>
            <w:vAlign w:val="center"/>
          </w:tcPr>
          <w:p w14:paraId="10165C9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fact_service -&gt; fact_warranty</w:t>
            </w:r>
          </w:p>
        </w:tc>
        <w:tc>
          <w:tcPr>
            <w:tcW w:w="1890" w:type="pct"/>
            <w:tcMar>
              <w:top w:w="90" w:type="dxa"/>
              <w:left w:w="90" w:type="dxa"/>
              <w:bottom w:w="90" w:type="dxa"/>
              <w:right w:w="90" w:type="dxa"/>
            </w:tcMar>
            <w:vAlign w:val="center"/>
          </w:tcPr>
          <w:p w14:paraId="44EA957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 xml:space="preserve">service_id when available; </w:t>
            </w:r>
            <w:proofErr w:type="gramStart"/>
            <w:r w:rsidRPr="00335C63">
              <w:rPr>
                <w:rFonts w:ascii="Times New Roman" w:hAnsi="Times New Roman" w:cs="Times New Roman"/>
                <w:sz w:val="24"/>
                <w:szCs w:val="24"/>
              </w:rPr>
              <w:t>otherwise</w:t>
            </w:r>
            <w:proofErr w:type="gramEnd"/>
            <w:r w:rsidRPr="00335C63">
              <w:rPr>
                <w:rFonts w:ascii="Times New Roman" w:hAnsi="Times New Roman" w:cs="Times New Roman"/>
                <w:sz w:val="24"/>
                <w:szCs w:val="24"/>
              </w:rPr>
              <w:t xml:space="preserve"> customer_id + service date window + pest type</w:t>
            </w:r>
          </w:p>
        </w:tc>
        <w:tc>
          <w:tcPr>
            <w:tcW w:w="1163" w:type="pct"/>
            <w:tcMar>
              <w:top w:w="90" w:type="dxa"/>
              <w:left w:w="90" w:type="dxa"/>
              <w:bottom w:w="90" w:type="dxa"/>
              <w:right w:w="90" w:type="dxa"/>
            </w:tcMar>
            <w:vAlign w:val="center"/>
          </w:tcPr>
          <w:p w14:paraId="7675188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Link claims to original service context</w:t>
            </w:r>
          </w:p>
        </w:tc>
      </w:tr>
      <w:tr w:rsidR="0084730D" w:rsidRPr="00335C63" w14:paraId="4C1CD866" w14:textId="77777777" w:rsidTr="00997D20">
        <w:trPr>
          <w:cantSplit/>
          <w:jc w:val="center"/>
        </w:trPr>
        <w:tc>
          <w:tcPr>
            <w:tcW w:w="1947" w:type="pct"/>
            <w:tcMar>
              <w:top w:w="90" w:type="dxa"/>
              <w:left w:w="90" w:type="dxa"/>
              <w:bottom w:w="90" w:type="dxa"/>
              <w:right w:w="90" w:type="dxa"/>
            </w:tcMar>
            <w:vAlign w:val="center"/>
          </w:tcPr>
          <w:p w14:paraId="3891315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fact_service -&gt; fact_refund</w:t>
            </w:r>
          </w:p>
        </w:tc>
        <w:tc>
          <w:tcPr>
            <w:tcW w:w="1890" w:type="pct"/>
            <w:tcMar>
              <w:top w:w="90" w:type="dxa"/>
              <w:left w:w="90" w:type="dxa"/>
              <w:bottom w:w="90" w:type="dxa"/>
              <w:right w:w="90" w:type="dxa"/>
            </w:tcMar>
            <w:vAlign w:val="center"/>
          </w:tcPr>
          <w:p w14:paraId="351F2FE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customer_id/service_id and refund date after service date</w:t>
            </w:r>
          </w:p>
        </w:tc>
        <w:tc>
          <w:tcPr>
            <w:tcW w:w="1163" w:type="pct"/>
            <w:tcMar>
              <w:top w:w="90" w:type="dxa"/>
              <w:left w:w="90" w:type="dxa"/>
              <w:bottom w:w="90" w:type="dxa"/>
              <w:right w:w="90" w:type="dxa"/>
            </w:tcMar>
            <w:vAlign w:val="center"/>
          </w:tcPr>
          <w:p w14:paraId="087D5B1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Measure refund impact by service, area, pest, and technician review signal</w:t>
            </w:r>
          </w:p>
        </w:tc>
      </w:tr>
      <w:tr w:rsidR="0084730D" w:rsidRPr="00335C63" w14:paraId="1F49AA1D" w14:textId="77777777" w:rsidTr="00997D20">
        <w:trPr>
          <w:cantSplit/>
          <w:jc w:val="center"/>
        </w:trPr>
        <w:tc>
          <w:tcPr>
            <w:tcW w:w="1947" w:type="pct"/>
            <w:tcMar>
              <w:top w:w="90" w:type="dxa"/>
              <w:left w:w="90" w:type="dxa"/>
              <w:bottom w:w="90" w:type="dxa"/>
              <w:right w:w="90" w:type="dxa"/>
            </w:tcMar>
            <w:vAlign w:val="center"/>
          </w:tcPr>
          <w:p w14:paraId="09A6A6B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fact_service -&gt; fact_calendar_event</w:t>
            </w:r>
          </w:p>
        </w:tc>
        <w:tc>
          <w:tcPr>
            <w:tcW w:w="1890" w:type="pct"/>
            <w:tcMar>
              <w:top w:w="90" w:type="dxa"/>
              <w:left w:w="90" w:type="dxa"/>
              <w:bottom w:w="90" w:type="dxa"/>
              <w:right w:w="90" w:type="dxa"/>
            </w:tcMar>
            <w:vAlign w:val="center"/>
          </w:tcPr>
          <w:p w14:paraId="5957406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service date + customer name/phone/event title; confidence flag stored</w:t>
            </w:r>
          </w:p>
        </w:tc>
        <w:tc>
          <w:tcPr>
            <w:tcW w:w="1163" w:type="pct"/>
            <w:tcMar>
              <w:top w:w="90" w:type="dxa"/>
              <w:left w:w="90" w:type="dxa"/>
              <w:bottom w:w="90" w:type="dxa"/>
              <w:right w:w="90" w:type="dxa"/>
            </w:tcMar>
            <w:vAlign w:val="center"/>
          </w:tcPr>
          <w:p w14:paraId="034F966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Compare scheduled slots with service and warranty activity</w:t>
            </w:r>
          </w:p>
        </w:tc>
      </w:tr>
      <w:tr w:rsidR="0084730D" w:rsidRPr="00335C63" w14:paraId="4005437A" w14:textId="77777777" w:rsidTr="00997D20">
        <w:trPr>
          <w:cantSplit/>
          <w:jc w:val="center"/>
        </w:trPr>
        <w:tc>
          <w:tcPr>
            <w:tcW w:w="1947" w:type="pct"/>
            <w:tcMar>
              <w:top w:w="90" w:type="dxa"/>
              <w:left w:w="90" w:type="dxa"/>
              <w:bottom w:w="90" w:type="dxa"/>
              <w:right w:w="90" w:type="dxa"/>
            </w:tcMar>
            <w:vAlign w:val="center"/>
          </w:tcPr>
          <w:p w14:paraId="680FD2F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fact_service -&gt; dim_area</w:t>
            </w:r>
          </w:p>
        </w:tc>
        <w:tc>
          <w:tcPr>
            <w:tcW w:w="1890" w:type="pct"/>
            <w:tcMar>
              <w:top w:w="90" w:type="dxa"/>
              <w:left w:w="90" w:type="dxa"/>
              <w:bottom w:w="90" w:type="dxa"/>
              <w:right w:w="90" w:type="dxa"/>
            </w:tcMar>
            <w:vAlign w:val="center"/>
          </w:tcPr>
          <w:p w14:paraId="421CE93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standardised area/postcode</w:t>
            </w:r>
          </w:p>
        </w:tc>
        <w:tc>
          <w:tcPr>
            <w:tcW w:w="1163" w:type="pct"/>
            <w:tcMar>
              <w:top w:w="90" w:type="dxa"/>
              <w:left w:w="90" w:type="dxa"/>
              <w:bottom w:w="90" w:type="dxa"/>
              <w:right w:w="90" w:type="dxa"/>
            </w:tcMar>
            <w:vAlign w:val="center"/>
          </w:tcPr>
          <w:p w14:paraId="6A2C494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Attach city/state, centroid coordinates, and area match confidence</w:t>
            </w:r>
          </w:p>
        </w:tc>
      </w:tr>
      <w:tr w:rsidR="0084730D" w:rsidRPr="00335C63" w14:paraId="343C04FF" w14:textId="77777777" w:rsidTr="00997D20">
        <w:trPr>
          <w:cantSplit/>
          <w:jc w:val="center"/>
        </w:trPr>
        <w:tc>
          <w:tcPr>
            <w:tcW w:w="1947" w:type="pct"/>
            <w:tcMar>
              <w:top w:w="90" w:type="dxa"/>
              <w:left w:w="90" w:type="dxa"/>
              <w:bottom w:w="90" w:type="dxa"/>
              <w:right w:w="90" w:type="dxa"/>
            </w:tcMar>
            <w:vAlign w:val="center"/>
          </w:tcPr>
          <w:p w14:paraId="24FA68C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fact_service -&gt; weather features</w:t>
            </w:r>
          </w:p>
        </w:tc>
        <w:tc>
          <w:tcPr>
            <w:tcW w:w="1890" w:type="pct"/>
            <w:tcMar>
              <w:top w:w="90" w:type="dxa"/>
              <w:left w:w="90" w:type="dxa"/>
              <w:bottom w:w="90" w:type="dxa"/>
              <w:right w:w="90" w:type="dxa"/>
            </w:tcMar>
            <w:vAlign w:val="center"/>
          </w:tcPr>
          <w:p w14:paraId="359167E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area/postcode coordinate + service date</w:t>
            </w:r>
          </w:p>
        </w:tc>
        <w:tc>
          <w:tcPr>
            <w:tcW w:w="1163" w:type="pct"/>
            <w:tcMar>
              <w:top w:w="90" w:type="dxa"/>
              <w:left w:w="90" w:type="dxa"/>
              <w:bottom w:w="90" w:type="dxa"/>
              <w:right w:w="90" w:type="dxa"/>
            </w:tcMar>
            <w:vAlign w:val="center"/>
          </w:tcPr>
          <w:p w14:paraId="264B5D0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Attach rainfall, humidity, temperature, and weather data coverage</w:t>
            </w:r>
          </w:p>
        </w:tc>
      </w:tr>
      <w:tr w:rsidR="0084730D" w:rsidRPr="00335C63" w14:paraId="1CF9B67C" w14:textId="77777777" w:rsidTr="00997D20">
        <w:trPr>
          <w:cantSplit/>
          <w:jc w:val="center"/>
        </w:trPr>
        <w:tc>
          <w:tcPr>
            <w:tcW w:w="1947" w:type="pct"/>
            <w:tcMar>
              <w:top w:w="90" w:type="dxa"/>
              <w:left w:w="90" w:type="dxa"/>
              <w:bottom w:w="90" w:type="dxa"/>
              <w:right w:w="90" w:type="dxa"/>
            </w:tcMar>
            <w:vAlign w:val="center"/>
          </w:tcPr>
          <w:p w14:paraId="7D987A5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fact_upsell -&gt; fact_payment</w:t>
            </w:r>
          </w:p>
        </w:tc>
        <w:tc>
          <w:tcPr>
            <w:tcW w:w="1890" w:type="pct"/>
            <w:tcMar>
              <w:top w:w="90" w:type="dxa"/>
              <w:left w:w="90" w:type="dxa"/>
              <w:bottom w:w="90" w:type="dxa"/>
              <w:right w:w="90" w:type="dxa"/>
            </w:tcMar>
            <w:vAlign w:val="center"/>
          </w:tcPr>
          <w:p w14:paraId="5D9AFF7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customer_id + payment date near offer/window date</w:t>
            </w:r>
          </w:p>
        </w:tc>
        <w:tc>
          <w:tcPr>
            <w:tcW w:w="1163" w:type="pct"/>
            <w:tcMar>
              <w:top w:w="90" w:type="dxa"/>
              <w:left w:w="90" w:type="dxa"/>
              <w:bottom w:w="90" w:type="dxa"/>
              <w:right w:w="90" w:type="dxa"/>
            </w:tcMar>
            <w:vAlign w:val="center"/>
          </w:tcPr>
          <w:p w14:paraId="1E46CB8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Infer window performance when direct response data is unavailable</w:t>
            </w:r>
          </w:p>
        </w:tc>
      </w:tr>
      <w:tr w:rsidR="0084730D" w:rsidRPr="00335C63" w14:paraId="3276C3C7" w14:textId="77777777" w:rsidTr="00997D20">
        <w:trPr>
          <w:cantSplit/>
          <w:jc w:val="center"/>
        </w:trPr>
        <w:tc>
          <w:tcPr>
            <w:tcW w:w="1947" w:type="pct"/>
            <w:tcMar>
              <w:top w:w="90" w:type="dxa"/>
              <w:left w:w="90" w:type="dxa"/>
              <w:bottom w:w="90" w:type="dxa"/>
              <w:right w:w="90" w:type="dxa"/>
            </w:tcMar>
            <w:vAlign w:val="center"/>
          </w:tcPr>
          <w:p w14:paraId="32DA636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mart_recommendations -&gt; facts/marts</w:t>
            </w:r>
          </w:p>
        </w:tc>
        <w:tc>
          <w:tcPr>
            <w:tcW w:w="1890" w:type="pct"/>
            <w:tcMar>
              <w:top w:w="90" w:type="dxa"/>
              <w:left w:w="90" w:type="dxa"/>
              <w:bottom w:w="90" w:type="dxa"/>
              <w:right w:w="90" w:type="dxa"/>
            </w:tcMar>
            <w:vAlign w:val="center"/>
          </w:tcPr>
          <w:p w14:paraId="7F2339C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related customer_id, service_id, area, pest type, and generated date</w:t>
            </w:r>
          </w:p>
        </w:tc>
        <w:tc>
          <w:tcPr>
            <w:tcW w:w="1163" w:type="pct"/>
            <w:tcMar>
              <w:top w:w="90" w:type="dxa"/>
              <w:left w:w="90" w:type="dxa"/>
              <w:bottom w:w="90" w:type="dxa"/>
              <w:right w:w="90" w:type="dxa"/>
            </w:tcMar>
            <w:vAlign w:val="center"/>
          </w:tcPr>
          <w:p w14:paraId="056C9AA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Track suggested actions and later outcomes</w:t>
            </w:r>
          </w:p>
        </w:tc>
      </w:tr>
    </w:tbl>
    <w:p w14:paraId="11417679" w14:textId="77777777" w:rsidR="0084730D" w:rsidRPr="00335C63" w:rsidRDefault="0084730D" w:rsidP="000F4170">
      <w:pPr>
        <w:spacing w:line="360" w:lineRule="auto"/>
        <w:rPr>
          <w:rFonts w:ascii="Times New Roman" w:hAnsi="Times New Roman" w:cs="Times New Roman"/>
          <w:sz w:val="24"/>
          <w:szCs w:val="24"/>
        </w:rPr>
      </w:pPr>
    </w:p>
    <w:p w14:paraId="176AB6E2"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3.4 Data Sources and Field Mapping</w:t>
      </w:r>
    </w:p>
    <w:tbl>
      <w:tblPr>
        <w:tblStyle w:val="TableGrid"/>
        <w:tblW w:w="5000" w:type="pct"/>
        <w:jc w:val="center"/>
        <w:tblLook w:val="04A0" w:firstRow="1" w:lastRow="0" w:firstColumn="1" w:lastColumn="0" w:noHBand="0" w:noVBand="1"/>
      </w:tblPr>
      <w:tblGrid>
        <w:gridCol w:w="2670"/>
        <w:gridCol w:w="3583"/>
        <w:gridCol w:w="2763"/>
      </w:tblGrid>
      <w:tr w:rsidR="0084730D" w:rsidRPr="00335C63" w14:paraId="6AEC0829" w14:textId="77777777" w:rsidTr="00997D20">
        <w:trPr>
          <w:cantSplit/>
          <w:tblHeader/>
          <w:jc w:val="center"/>
        </w:trPr>
        <w:tc>
          <w:tcPr>
            <w:tcW w:w="1480" w:type="pct"/>
            <w:shd w:val="clear" w:color="auto" w:fill="E8F1FA"/>
            <w:tcMar>
              <w:top w:w="90" w:type="dxa"/>
              <w:left w:w="90" w:type="dxa"/>
              <w:bottom w:w="90" w:type="dxa"/>
              <w:right w:w="90" w:type="dxa"/>
            </w:tcMar>
            <w:vAlign w:val="center"/>
          </w:tcPr>
          <w:p w14:paraId="73F6B50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Data Source</w:t>
            </w:r>
          </w:p>
        </w:tc>
        <w:tc>
          <w:tcPr>
            <w:tcW w:w="1987" w:type="pct"/>
            <w:shd w:val="clear" w:color="auto" w:fill="E8F1FA"/>
            <w:tcMar>
              <w:top w:w="90" w:type="dxa"/>
              <w:left w:w="90" w:type="dxa"/>
              <w:bottom w:w="90" w:type="dxa"/>
              <w:right w:w="90" w:type="dxa"/>
            </w:tcMar>
            <w:vAlign w:val="center"/>
          </w:tcPr>
          <w:p w14:paraId="5A8C68F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Key Fields</w:t>
            </w:r>
          </w:p>
        </w:tc>
        <w:tc>
          <w:tcPr>
            <w:tcW w:w="1532" w:type="pct"/>
            <w:shd w:val="clear" w:color="auto" w:fill="E8F1FA"/>
            <w:tcMar>
              <w:top w:w="90" w:type="dxa"/>
              <w:left w:w="90" w:type="dxa"/>
              <w:bottom w:w="90" w:type="dxa"/>
              <w:right w:w="90" w:type="dxa"/>
            </w:tcMar>
            <w:vAlign w:val="center"/>
          </w:tcPr>
          <w:p w14:paraId="57A4DE2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Analytics Use</w:t>
            </w:r>
          </w:p>
        </w:tc>
      </w:tr>
      <w:tr w:rsidR="0084730D" w:rsidRPr="00335C63" w14:paraId="19831CAE" w14:textId="77777777" w:rsidTr="00997D20">
        <w:trPr>
          <w:cantSplit/>
          <w:jc w:val="center"/>
        </w:trPr>
        <w:tc>
          <w:tcPr>
            <w:tcW w:w="1480" w:type="pct"/>
            <w:tcMar>
              <w:top w:w="90" w:type="dxa"/>
              <w:left w:w="90" w:type="dxa"/>
              <w:bottom w:w="90" w:type="dxa"/>
              <w:right w:w="90" w:type="dxa"/>
            </w:tcMar>
            <w:vAlign w:val="center"/>
          </w:tcPr>
          <w:p w14:paraId="7C02065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Prospects / leads</w:t>
            </w:r>
          </w:p>
        </w:tc>
        <w:tc>
          <w:tcPr>
            <w:tcW w:w="1987" w:type="pct"/>
            <w:tcMar>
              <w:top w:w="90" w:type="dxa"/>
              <w:left w:w="90" w:type="dxa"/>
              <w:bottom w:w="90" w:type="dxa"/>
              <w:right w:w="90" w:type="dxa"/>
            </w:tcMar>
            <w:vAlign w:val="center"/>
          </w:tcPr>
          <w:p w14:paraId="74BA957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phone, lead date, ad source, campaign, status, PIC, follow-up count</w:t>
            </w:r>
          </w:p>
        </w:tc>
        <w:tc>
          <w:tcPr>
            <w:tcW w:w="1532" w:type="pct"/>
            <w:tcMar>
              <w:top w:w="90" w:type="dxa"/>
              <w:left w:w="90" w:type="dxa"/>
              <w:bottom w:w="90" w:type="dxa"/>
              <w:right w:w="90" w:type="dxa"/>
            </w:tcMar>
            <w:vAlign w:val="center"/>
          </w:tcPr>
          <w:p w14:paraId="3504F04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Marketing attribution, lead conversion, funnel analysis</w:t>
            </w:r>
          </w:p>
        </w:tc>
      </w:tr>
      <w:tr w:rsidR="0084730D" w:rsidRPr="00335C63" w14:paraId="1C3F06F6" w14:textId="77777777" w:rsidTr="00997D20">
        <w:trPr>
          <w:cantSplit/>
          <w:jc w:val="center"/>
        </w:trPr>
        <w:tc>
          <w:tcPr>
            <w:tcW w:w="1480" w:type="pct"/>
            <w:tcMar>
              <w:top w:w="90" w:type="dxa"/>
              <w:left w:w="90" w:type="dxa"/>
              <w:bottom w:w="90" w:type="dxa"/>
              <w:right w:w="90" w:type="dxa"/>
            </w:tcMar>
            <w:vAlign w:val="center"/>
          </w:tcPr>
          <w:p w14:paraId="55EFF1D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Services / sales</w:t>
            </w:r>
          </w:p>
        </w:tc>
        <w:tc>
          <w:tcPr>
            <w:tcW w:w="1987" w:type="pct"/>
            <w:tcMar>
              <w:top w:w="90" w:type="dxa"/>
              <w:left w:w="90" w:type="dxa"/>
              <w:bottom w:w="90" w:type="dxa"/>
              <w:right w:w="90" w:type="dxa"/>
            </w:tcMar>
            <w:vAlign w:val="center"/>
          </w:tcPr>
          <w:p w14:paraId="711E7D0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customer ID, service date, pest type, package, area, amount, payment status</w:t>
            </w:r>
          </w:p>
        </w:tc>
        <w:tc>
          <w:tcPr>
            <w:tcW w:w="1532" w:type="pct"/>
            <w:tcMar>
              <w:top w:w="90" w:type="dxa"/>
              <w:left w:w="90" w:type="dxa"/>
              <w:bottom w:w="90" w:type="dxa"/>
              <w:right w:w="90" w:type="dxa"/>
            </w:tcMar>
            <w:vAlign w:val="center"/>
          </w:tcPr>
          <w:p w14:paraId="39AF7C4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Service trends, revenue, customer segmentation, recurrence base</w:t>
            </w:r>
          </w:p>
        </w:tc>
      </w:tr>
      <w:tr w:rsidR="0084730D" w:rsidRPr="00335C63" w14:paraId="4E18A66D" w14:textId="77777777" w:rsidTr="00997D20">
        <w:trPr>
          <w:cantSplit/>
          <w:jc w:val="center"/>
        </w:trPr>
        <w:tc>
          <w:tcPr>
            <w:tcW w:w="1480" w:type="pct"/>
            <w:tcMar>
              <w:top w:w="90" w:type="dxa"/>
              <w:left w:w="90" w:type="dxa"/>
              <w:bottom w:w="90" w:type="dxa"/>
              <w:right w:w="90" w:type="dxa"/>
            </w:tcMar>
            <w:vAlign w:val="center"/>
          </w:tcPr>
          <w:p w14:paraId="38FABF1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Warranty claims</w:t>
            </w:r>
          </w:p>
        </w:tc>
        <w:tc>
          <w:tcPr>
            <w:tcW w:w="1987" w:type="pct"/>
            <w:tcMar>
              <w:top w:w="90" w:type="dxa"/>
              <w:left w:w="90" w:type="dxa"/>
              <w:bottom w:w="90" w:type="dxa"/>
              <w:right w:w="90" w:type="dxa"/>
            </w:tcMar>
            <w:vAlign w:val="center"/>
          </w:tcPr>
          <w:p w14:paraId="0680D5C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claim date, complaint reason, technician/team, repeat flag, complimentary service</w:t>
            </w:r>
          </w:p>
        </w:tc>
        <w:tc>
          <w:tcPr>
            <w:tcW w:w="1532" w:type="pct"/>
            <w:tcMar>
              <w:top w:w="90" w:type="dxa"/>
              <w:left w:w="90" w:type="dxa"/>
              <w:bottom w:w="90" w:type="dxa"/>
              <w:right w:w="90" w:type="dxa"/>
            </w:tcMar>
            <w:vAlign w:val="center"/>
          </w:tcPr>
          <w:p w14:paraId="17951A2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Warranty review factors, repeat-problem analysis, treatment difficulty</w:t>
            </w:r>
          </w:p>
        </w:tc>
      </w:tr>
      <w:tr w:rsidR="0084730D" w:rsidRPr="00335C63" w14:paraId="4C9583E5" w14:textId="77777777" w:rsidTr="00997D20">
        <w:trPr>
          <w:cantSplit/>
          <w:jc w:val="center"/>
        </w:trPr>
        <w:tc>
          <w:tcPr>
            <w:tcW w:w="1480" w:type="pct"/>
            <w:tcMar>
              <w:top w:w="90" w:type="dxa"/>
              <w:left w:w="90" w:type="dxa"/>
              <w:bottom w:w="90" w:type="dxa"/>
              <w:right w:w="90" w:type="dxa"/>
            </w:tcMar>
            <w:vAlign w:val="center"/>
          </w:tcPr>
          <w:p w14:paraId="22B58B2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Refunds</w:t>
            </w:r>
          </w:p>
        </w:tc>
        <w:tc>
          <w:tcPr>
            <w:tcW w:w="1987" w:type="pct"/>
            <w:tcMar>
              <w:top w:w="90" w:type="dxa"/>
              <w:left w:w="90" w:type="dxa"/>
              <w:bottom w:w="90" w:type="dxa"/>
              <w:right w:w="90" w:type="dxa"/>
            </w:tcMar>
            <w:vAlign w:val="center"/>
          </w:tcPr>
          <w:p w14:paraId="29A80BB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refund date, reason, amount, status</w:t>
            </w:r>
          </w:p>
        </w:tc>
        <w:tc>
          <w:tcPr>
            <w:tcW w:w="1532" w:type="pct"/>
            <w:tcMar>
              <w:top w:w="90" w:type="dxa"/>
              <w:left w:w="90" w:type="dxa"/>
              <w:bottom w:w="90" w:type="dxa"/>
              <w:right w:w="90" w:type="dxa"/>
            </w:tcMar>
            <w:vAlign w:val="center"/>
          </w:tcPr>
          <w:p w14:paraId="2ED56BC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Root cause categories, financial loss, difficulty score</w:t>
            </w:r>
          </w:p>
        </w:tc>
      </w:tr>
      <w:tr w:rsidR="0084730D" w:rsidRPr="00335C63" w14:paraId="04BDA486" w14:textId="77777777" w:rsidTr="00997D20">
        <w:trPr>
          <w:cantSplit/>
          <w:jc w:val="center"/>
        </w:trPr>
        <w:tc>
          <w:tcPr>
            <w:tcW w:w="1480" w:type="pct"/>
            <w:tcMar>
              <w:top w:w="90" w:type="dxa"/>
              <w:left w:w="90" w:type="dxa"/>
              <w:bottom w:w="90" w:type="dxa"/>
              <w:right w:w="90" w:type="dxa"/>
            </w:tcMar>
            <w:vAlign w:val="center"/>
          </w:tcPr>
          <w:p w14:paraId="1EF1BBA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Payments and payment links</w:t>
            </w:r>
          </w:p>
        </w:tc>
        <w:tc>
          <w:tcPr>
            <w:tcW w:w="1987" w:type="pct"/>
            <w:tcMar>
              <w:top w:w="90" w:type="dxa"/>
              <w:left w:w="90" w:type="dxa"/>
              <w:bottom w:w="90" w:type="dxa"/>
              <w:right w:w="90" w:type="dxa"/>
            </w:tcMar>
            <w:vAlign w:val="center"/>
          </w:tcPr>
          <w:p w14:paraId="3AB9299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received date, amount, method, sent date, won/pending</w:t>
            </w:r>
          </w:p>
        </w:tc>
        <w:tc>
          <w:tcPr>
            <w:tcW w:w="1532" w:type="pct"/>
            <w:tcMar>
              <w:top w:w="90" w:type="dxa"/>
              <w:left w:w="90" w:type="dxa"/>
              <w:bottom w:w="90" w:type="dxa"/>
              <w:right w:w="90" w:type="dxa"/>
            </w:tcMar>
            <w:vAlign w:val="center"/>
          </w:tcPr>
          <w:p w14:paraId="6C7CA47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Payment completion and payment-link conversion</w:t>
            </w:r>
          </w:p>
        </w:tc>
      </w:tr>
      <w:tr w:rsidR="0084730D" w:rsidRPr="00335C63" w14:paraId="61C3359E" w14:textId="77777777" w:rsidTr="00997D20">
        <w:trPr>
          <w:cantSplit/>
          <w:jc w:val="center"/>
        </w:trPr>
        <w:tc>
          <w:tcPr>
            <w:tcW w:w="1480" w:type="pct"/>
            <w:tcMar>
              <w:top w:w="90" w:type="dxa"/>
              <w:left w:w="90" w:type="dxa"/>
              <w:bottom w:w="90" w:type="dxa"/>
              <w:right w:w="90" w:type="dxa"/>
            </w:tcMar>
            <w:vAlign w:val="center"/>
          </w:tcPr>
          <w:p w14:paraId="7A5D6CF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Upsell records</w:t>
            </w:r>
          </w:p>
        </w:tc>
        <w:tc>
          <w:tcPr>
            <w:tcW w:w="1987" w:type="pct"/>
            <w:tcMar>
              <w:top w:w="90" w:type="dxa"/>
              <w:left w:w="90" w:type="dxa"/>
              <w:bottom w:w="90" w:type="dxa"/>
              <w:right w:w="90" w:type="dxa"/>
            </w:tcMar>
            <w:vAlign w:val="center"/>
          </w:tcPr>
          <w:p w14:paraId="6D291F3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upsell package, offer date/window, accepted/purchased package, amount</w:t>
            </w:r>
          </w:p>
        </w:tc>
        <w:tc>
          <w:tcPr>
            <w:tcW w:w="1532" w:type="pct"/>
            <w:tcMar>
              <w:top w:w="90" w:type="dxa"/>
              <w:left w:w="90" w:type="dxa"/>
              <w:bottom w:w="90" w:type="dxa"/>
              <w:right w:w="90" w:type="dxa"/>
            </w:tcMar>
            <w:vAlign w:val="center"/>
          </w:tcPr>
          <w:p w14:paraId="5DA017F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Package effectiveness and package-fit matrix</w:t>
            </w:r>
          </w:p>
        </w:tc>
      </w:tr>
      <w:tr w:rsidR="0084730D" w:rsidRPr="00335C63" w14:paraId="742DC0A4" w14:textId="77777777" w:rsidTr="00997D20">
        <w:trPr>
          <w:cantSplit/>
          <w:jc w:val="center"/>
        </w:trPr>
        <w:tc>
          <w:tcPr>
            <w:tcW w:w="1480" w:type="pct"/>
            <w:tcMar>
              <w:top w:w="90" w:type="dxa"/>
              <w:left w:w="90" w:type="dxa"/>
              <w:bottom w:w="90" w:type="dxa"/>
              <w:right w:w="90" w:type="dxa"/>
            </w:tcMar>
            <w:vAlign w:val="center"/>
          </w:tcPr>
          <w:p w14:paraId="18ECC9A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Google Calendar</w:t>
            </w:r>
          </w:p>
        </w:tc>
        <w:tc>
          <w:tcPr>
            <w:tcW w:w="1987" w:type="pct"/>
            <w:tcMar>
              <w:top w:w="90" w:type="dxa"/>
              <w:left w:w="90" w:type="dxa"/>
              <w:bottom w:w="90" w:type="dxa"/>
              <w:right w:w="90" w:type="dxa"/>
            </w:tcMar>
            <w:vAlign w:val="center"/>
          </w:tcPr>
          <w:p w14:paraId="4F013B6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event title, start/end time, area, technician/team, session type</w:t>
            </w:r>
          </w:p>
        </w:tc>
        <w:tc>
          <w:tcPr>
            <w:tcW w:w="1532" w:type="pct"/>
            <w:tcMar>
              <w:top w:w="90" w:type="dxa"/>
              <w:left w:w="90" w:type="dxa"/>
              <w:bottom w:w="90" w:type="dxa"/>
              <w:right w:w="90" w:type="dxa"/>
            </w:tcMar>
            <w:vAlign w:val="center"/>
          </w:tcPr>
          <w:p w14:paraId="7D4FA9B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Capacity analytics, slot utilisation, warranty/extra session share</w:t>
            </w:r>
          </w:p>
        </w:tc>
      </w:tr>
      <w:tr w:rsidR="0084730D" w:rsidRPr="00335C63" w14:paraId="5E63FD0A" w14:textId="77777777" w:rsidTr="00997D20">
        <w:trPr>
          <w:cantSplit/>
          <w:jc w:val="center"/>
        </w:trPr>
        <w:tc>
          <w:tcPr>
            <w:tcW w:w="1480" w:type="pct"/>
            <w:tcMar>
              <w:top w:w="90" w:type="dxa"/>
              <w:left w:w="90" w:type="dxa"/>
              <w:bottom w:w="90" w:type="dxa"/>
              <w:right w:w="90" w:type="dxa"/>
            </w:tcMar>
            <w:vAlign w:val="center"/>
          </w:tcPr>
          <w:p w14:paraId="1A444F9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Weather/flood data</w:t>
            </w:r>
          </w:p>
        </w:tc>
        <w:tc>
          <w:tcPr>
            <w:tcW w:w="1987" w:type="pct"/>
            <w:tcMar>
              <w:top w:w="90" w:type="dxa"/>
              <w:left w:w="90" w:type="dxa"/>
              <w:bottom w:w="90" w:type="dxa"/>
              <w:right w:w="90" w:type="dxa"/>
            </w:tcMar>
            <w:vAlign w:val="center"/>
          </w:tcPr>
          <w:p w14:paraId="49ADF8A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rainfall, humidity, temperature, warning/flood flags, date, area coordinate</w:t>
            </w:r>
          </w:p>
        </w:tc>
        <w:tc>
          <w:tcPr>
            <w:tcW w:w="1532" w:type="pct"/>
            <w:tcMar>
              <w:top w:w="90" w:type="dxa"/>
              <w:left w:w="90" w:type="dxa"/>
              <w:bottom w:w="90" w:type="dxa"/>
              <w:right w:w="90" w:type="dxa"/>
            </w:tcMar>
            <w:vAlign w:val="center"/>
          </w:tcPr>
          <w:p w14:paraId="3228B2E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Weather-associated risk, service-date enrichment</w:t>
            </w:r>
          </w:p>
        </w:tc>
      </w:tr>
    </w:tbl>
    <w:p w14:paraId="3CEF6085" w14:textId="77777777" w:rsidR="0084730D" w:rsidRPr="00335C63" w:rsidRDefault="0084730D" w:rsidP="000F4170">
      <w:pPr>
        <w:spacing w:line="360" w:lineRule="auto"/>
        <w:rPr>
          <w:rFonts w:ascii="Times New Roman" w:hAnsi="Times New Roman" w:cs="Times New Roman"/>
          <w:sz w:val="24"/>
          <w:szCs w:val="24"/>
        </w:rPr>
      </w:pPr>
    </w:p>
    <w:p w14:paraId="465699C5"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3.5 Data Cleaning, Inclusion, and Exclusion Rules</w:t>
      </w:r>
    </w:p>
    <w:p w14:paraId="0355F10A" w14:textId="77777777" w:rsidR="0084730D" w:rsidRPr="00335C63" w:rsidRDefault="00357319" w:rsidP="008D6A1A">
      <w:pPr>
        <w:spacing w:line="360" w:lineRule="auto"/>
        <w:jc w:val="both"/>
        <w:rPr>
          <w:rFonts w:ascii="Times New Roman" w:hAnsi="Times New Roman" w:cs="Times New Roman"/>
          <w:sz w:val="24"/>
          <w:szCs w:val="24"/>
        </w:rPr>
      </w:pPr>
      <w:r>
        <w:t>The pipeline will not simply load the company files directly into dashboards. Each source will pass through a flexible data contract layer before it is used for analysis. Because company data may contain inconsistent column names and formats, the contract will define required business fields, accepted column aliases, expected data types, and validation rules. Missing or low-confidence mappings will be flagged in the Data Quality Report instead of being silently deleted.</w:t>
      </w:r>
    </w:p>
    <w:tbl>
      <w:tblPr>
        <w:tblStyle w:val="TableGrid"/>
        <w:tblW w:w="5000" w:type="pct"/>
        <w:jc w:val="center"/>
        <w:tblLook w:val="04A0" w:firstRow="1" w:lastRow="0" w:firstColumn="1" w:lastColumn="0" w:noHBand="0" w:noVBand="1"/>
      </w:tblPr>
      <w:tblGrid>
        <w:gridCol w:w="2820"/>
        <w:gridCol w:w="2725"/>
        <w:gridCol w:w="3471"/>
      </w:tblGrid>
      <w:tr w:rsidR="0084730D" w:rsidRPr="00335C63" w14:paraId="4590D400" w14:textId="77777777" w:rsidTr="00997D20">
        <w:trPr>
          <w:cantSplit/>
          <w:tblHeader/>
          <w:jc w:val="center"/>
        </w:trPr>
        <w:tc>
          <w:tcPr>
            <w:tcW w:w="1564" w:type="pct"/>
            <w:shd w:val="clear" w:color="auto" w:fill="E8F1FA"/>
            <w:tcMar>
              <w:top w:w="90" w:type="dxa"/>
              <w:left w:w="90" w:type="dxa"/>
              <w:bottom w:w="90" w:type="dxa"/>
              <w:right w:w="90" w:type="dxa"/>
            </w:tcMar>
            <w:vAlign w:val="center"/>
          </w:tcPr>
          <w:p w14:paraId="130CB14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lastRenderedPageBreak/>
              <w:t>Data Element</w:t>
            </w:r>
          </w:p>
        </w:tc>
        <w:tc>
          <w:tcPr>
            <w:tcW w:w="1511" w:type="pct"/>
            <w:shd w:val="clear" w:color="auto" w:fill="E8F1FA"/>
            <w:tcMar>
              <w:top w:w="90" w:type="dxa"/>
              <w:left w:w="90" w:type="dxa"/>
              <w:bottom w:w="90" w:type="dxa"/>
              <w:right w:w="90" w:type="dxa"/>
            </w:tcMar>
            <w:vAlign w:val="center"/>
          </w:tcPr>
          <w:p w14:paraId="68F99D7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Cleaning / Standardisation Rule</w:t>
            </w:r>
          </w:p>
        </w:tc>
        <w:tc>
          <w:tcPr>
            <w:tcW w:w="1926" w:type="pct"/>
            <w:shd w:val="clear" w:color="auto" w:fill="E8F1FA"/>
            <w:tcMar>
              <w:top w:w="90" w:type="dxa"/>
              <w:left w:w="90" w:type="dxa"/>
              <w:bottom w:w="90" w:type="dxa"/>
              <w:right w:w="90" w:type="dxa"/>
            </w:tcMar>
            <w:vAlign w:val="center"/>
          </w:tcPr>
          <w:p w14:paraId="4B1A288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Flag or Exclusion Rule</w:t>
            </w:r>
          </w:p>
        </w:tc>
      </w:tr>
      <w:tr w:rsidR="0084730D" w:rsidRPr="00335C63" w14:paraId="5524D4ED" w14:textId="77777777" w:rsidTr="00997D20">
        <w:trPr>
          <w:cantSplit/>
          <w:jc w:val="center"/>
        </w:trPr>
        <w:tc>
          <w:tcPr>
            <w:tcW w:w="1564" w:type="pct"/>
            <w:tcMar>
              <w:top w:w="90" w:type="dxa"/>
              <w:left w:w="90" w:type="dxa"/>
              <w:bottom w:w="90" w:type="dxa"/>
              <w:right w:w="90" w:type="dxa"/>
            </w:tcMar>
            <w:vAlign w:val="center"/>
          </w:tcPr>
          <w:p w14:paraId="6021D67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Dates</w:t>
            </w:r>
          </w:p>
        </w:tc>
        <w:tc>
          <w:tcPr>
            <w:tcW w:w="1511" w:type="pct"/>
            <w:tcMar>
              <w:top w:w="90" w:type="dxa"/>
              <w:left w:w="90" w:type="dxa"/>
              <w:bottom w:w="90" w:type="dxa"/>
              <w:right w:w="90" w:type="dxa"/>
            </w:tcMar>
            <w:vAlign w:val="center"/>
          </w:tcPr>
          <w:p w14:paraId="0D2E9F7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Convert all service, payment, claim, refund, upsell, and calendar dates into a consistent date format</w:t>
            </w:r>
          </w:p>
        </w:tc>
        <w:tc>
          <w:tcPr>
            <w:tcW w:w="1926" w:type="pct"/>
            <w:tcMar>
              <w:top w:w="90" w:type="dxa"/>
              <w:left w:w="90" w:type="dxa"/>
              <w:bottom w:w="90" w:type="dxa"/>
              <w:right w:w="90" w:type="dxa"/>
            </w:tcMar>
            <w:vAlign w:val="center"/>
          </w:tcPr>
          <w:p w14:paraId="50A7EC6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Invalid or impossible dates are flagged and excluded from time-based analysis until corrected</w:t>
            </w:r>
          </w:p>
        </w:tc>
      </w:tr>
      <w:tr w:rsidR="0084730D" w:rsidRPr="00335C63" w14:paraId="4EAC920B" w14:textId="77777777" w:rsidTr="00997D20">
        <w:trPr>
          <w:cantSplit/>
          <w:jc w:val="center"/>
        </w:trPr>
        <w:tc>
          <w:tcPr>
            <w:tcW w:w="1564" w:type="pct"/>
            <w:tcMar>
              <w:top w:w="90" w:type="dxa"/>
              <w:left w:w="90" w:type="dxa"/>
              <w:bottom w:w="90" w:type="dxa"/>
              <w:right w:w="90" w:type="dxa"/>
            </w:tcMar>
            <w:vAlign w:val="center"/>
          </w:tcPr>
          <w:p w14:paraId="01097A1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Customer identifiers</w:t>
            </w:r>
          </w:p>
        </w:tc>
        <w:tc>
          <w:tcPr>
            <w:tcW w:w="1511" w:type="pct"/>
            <w:tcMar>
              <w:top w:w="90" w:type="dxa"/>
              <w:left w:w="90" w:type="dxa"/>
              <w:bottom w:w="90" w:type="dxa"/>
              <w:right w:w="90" w:type="dxa"/>
            </w:tcMar>
            <w:vAlign w:val="center"/>
          </w:tcPr>
          <w:p w14:paraId="639C9C3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Standardise customer_id and normalise phone numbers by removing spaces, symbols, and country-code inconsistencies</w:t>
            </w:r>
          </w:p>
        </w:tc>
        <w:tc>
          <w:tcPr>
            <w:tcW w:w="1926" w:type="pct"/>
            <w:tcMar>
              <w:top w:w="90" w:type="dxa"/>
              <w:left w:w="90" w:type="dxa"/>
              <w:bottom w:w="90" w:type="dxa"/>
              <w:right w:w="90" w:type="dxa"/>
            </w:tcMar>
            <w:vAlign w:val="center"/>
          </w:tcPr>
          <w:p w14:paraId="0A21D31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Rows without any usable customer_id, phone, or name/date fallback are flagged as unmatched</w:t>
            </w:r>
          </w:p>
        </w:tc>
      </w:tr>
      <w:tr w:rsidR="0084730D" w:rsidRPr="00335C63" w14:paraId="1CC67ECB" w14:textId="77777777" w:rsidTr="00997D20">
        <w:trPr>
          <w:cantSplit/>
          <w:jc w:val="center"/>
        </w:trPr>
        <w:tc>
          <w:tcPr>
            <w:tcW w:w="1564" w:type="pct"/>
            <w:tcMar>
              <w:top w:w="90" w:type="dxa"/>
              <w:left w:w="90" w:type="dxa"/>
              <w:bottom w:w="90" w:type="dxa"/>
              <w:right w:w="90" w:type="dxa"/>
            </w:tcMar>
            <w:vAlign w:val="center"/>
          </w:tcPr>
          <w:p w14:paraId="4D6B84A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Pest type</w:t>
            </w:r>
          </w:p>
        </w:tc>
        <w:tc>
          <w:tcPr>
            <w:tcW w:w="1511" w:type="pct"/>
            <w:tcMar>
              <w:top w:w="90" w:type="dxa"/>
              <w:left w:w="90" w:type="dxa"/>
              <w:bottom w:w="90" w:type="dxa"/>
              <w:right w:w="90" w:type="dxa"/>
            </w:tcMar>
            <w:vAlign w:val="center"/>
          </w:tcPr>
          <w:p w14:paraId="30CD515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 xml:space="preserve">Map variants such as lipas, </w:t>
            </w:r>
            <w:proofErr w:type="gramStart"/>
            <w:r w:rsidRPr="00335C63">
              <w:rPr>
                <w:rFonts w:ascii="Times New Roman" w:hAnsi="Times New Roman" w:cs="Times New Roman"/>
                <w:sz w:val="24"/>
                <w:szCs w:val="24"/>
              </w:rPr>
              <w:t>cockroach</w:t>
            </w:r>
            <w:proofErr w:type="gramEnd"/>
            <w:r w:rsidRPr="00335C63">
              <w:rPr>
                <w:rFonts w:ascii="Times New Roman" w:hAnsi="Times New Roman" w:cs="Times New Roman"/>
                <w:sz w:val="24"/>
                <w:szCs w:val="24"/>
              </w:rPr>
              <w:t>, cockroaches, anai-anai, and termite into standard pest labels</w:t>
            </w:r>
          </w:p>
        </w:tc>
        <w:tc>
          <w:tcPr>
            <w:tcW w:w="1926" w:type="pct"/>
            <w:tcMar>
              <w:top w:w="90" w:type="dxa"/>
              <w:left w:w="90" w:type="dxa"/>
              <w:bottom w:w="90" w:type="dxa"/>
              <w:right w:w="90" w:type="dxa"/>
            </w:tcMar>
            <w:vAlign w:val="center"/>
          </w:tcPr>
          <w:p w14:paraId="4FB6397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Unknown pest labels are retained but flagged for manual mapping</w:t>
            </w:r>
          </w:p>
        </w:tc>
      </w:tr>
      <w:tr w:rsidR="0084730D" w:rsidRPr="00335C63" w14:paraId="5911EA44" w14:textId="77777777" w:rsidTr="00997D20">
        <w:trPr>
          <w:cantSplit/>
          <w:jc w:val="center"/>
        </w:trPr>
        <w:tc>
          <w:tcPr>
            <w:tcW w:w="1564" w:type="pct"/>
            <w:tcMar>
              <w:top w:w="90" w:type="dxa"/>
              <w:left w:w="90" w:type="dxa"/>
              <w:bottom w:w="90" w:type="dxa"/>
              <w:right w:w="90" w:type="dxa"/>
            </w:tcMar>
            <w:vAlign w:val="center"/>
          </w:tcPr>
          <w:p w14:paraId="05FAE3F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Area/postcode</w:t>
            </w:r>
          </w:p>
        </w:tc>
        <w:tc>
          <w:tcPr>
            <w:tcW w:w="1511" w:type="pct"/>
            <w:tcMar>
              <w:top w:w="90" w:type="dxa"/>
              <w:left w:w="90" w:type="dxa"/>
              <w:bottom w:w="90" w:type="dxa"/>
              <w:right w:w="90" w:type="dxa"/>
            </w:tcMar>
            <w:vAlign w:val="center"/>
          </w:tcPr>
          <w:p w14:paraId="0507AF9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Standardise area names and map postcode/area to centroid coordinates</w:t>
            </w:r>
          </w:p>
        </w:tc>
        <w:tc>
          <w:tcPr>
            <w:tcW w:w="1926" w:type="pct"/>
            <w:tcMar>
              <w:top w:w="90" w:type="dxa"/>
              <w:left w:w="90" w:type="dxa"/>
              <w:bottom w:w="90" w:type="dxa"/>
              <w:right w:w="90" w:type="dxa"/>
            </w:tcMar>
            <w:vAlign w:val="center"/>
          </w:tcPr>
          <w:p w14:paraId="12E7937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Unknown areas are included in non-map summaries but excluded from coordinate-based hotspot analysis</w:t>
            </w:r>
          </w:p>
        </w:tc>
      </w:tr>
      <w:tr w:rsidR="0084730D" w:rsidRPr="00335C63" w14:paraId="05B71665" w14:textId="77777777" w:rsidTr="00997D20">
        <w:trPr>
          <w:cantSplit/>
          <w:jc w:val="center"/>
        </w:trPr>
        <w:tc>
          <w:tcPr>
            <w:tcW w:w="1564" w:type="pct"/>
            <w:tcMar>
              <w:top w:w="90" w:type="dxa"/>
              <w:left w:w="90" w:type="dxa"/>
              <w:bottom w:w="90" w:type="dxa"/>
              <w:right w:w="90" w:type="dxa"/>
            </w:tcMar>
            <w:vAlign w:val="center"/>
          </w:tcPr>
          <w:p w14:paraId="1F5513F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Technician/team</w:t>
            </w:r>
          </w:p>
        </w:tc>
        <w:tc>
          <w:tcPr>
            <w:tcW w:w="1511" w:type="pct"/>
            <w:tcMar>
              <w:top w:w="90" w:type="dxa"/>
              <w:left w:w="90" w:type="dxa"/>
              <w:bottom w:w="90" w:type="dxa"/>
              <w:right w:w="90" w:type="dxa"/>
            </w:tcMar>
            <w:vAlign w:val="center"/>
          </w:tcPr>
          <w:p w14:paraId="1DEB955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Standardise spelling and team labels across service, warranty, and calendar records</w:t>
            </w:r>
          </w:p>
        </w:tc>
        <w:tc>
          <w:tcPr>
            <w:tcW w:w="1926" w:type="pct"/>
            <w:tcMar>
              <w:top w:w="90" w:type="dxa"/>
              <w:left w:w="90" w:type="dxa"/>
              <w:bottom w:w="90" w:type="dxa"/>
              <w:right w:w="90" w:type="dxa"/>
            </w:tcMar>
            <w:vAlign w:val="center"/>
          </w:tcPr>
          <w:p w14:paraId="71CDF82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Missing technician is allowed for company-level analysis but flagged for technician review dashboards</w:t>
            </w:r>
          </w:p>
        </w:tc>
      </w:tr>
      <w:tr w:rsidR="0084730D" w:rsidRPr="00335C63" w14:paraId="3DA54966" w14:textId="77777777" w:rsidTr="00997D20">
        <w:trPr>
          <w:cantSplit/>
          <w:jc w:val="center"/>
        </w:trPr>
        <w:tc>
          <w:tcPr>
            <w:tcW w:w="1564" w:type="pct"/>
            <w:tcMar>
              <w:top w:w="90" w:type="dxa"/>
              <w:left w:w="90" w:type="dxa"/>
              <w:bottom w:w="90" w:type="dxa"/>
              <w:right w:w="90" w:type="dxa"/>
            </w:tcMar>
            <w:vAlign w:val="center"/>
          </w:tcPr>
          <w:p w14:paraId="5BE2C2C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Package/service type</w:t>
            </w:r>
          </w:p>
        </w:tc>
        <w:tc>
          <w:tcPr>
            <w:tcW w:w="1511" w:type="pct"/>
            <w:tcMar>
              <w:top w:w="90" w:type="dxa"/>
              <w:left w:w="90" w:type="dxa"/>
              <w:bottom w:w="90" w:type="dxa"/>
              <w:right w:w="90" w:type="dxa"/>
            </w:tcMar>
            <w:vAlign w:val="center"/>
          </w:tcPr>
          <w:p w14:paraId="2557654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Standardise 1x, 2x, 3x, yearly, TRBS, GPC, termite, and related package labels</w:t>
            </w:r>
          </w:p>
        </w:tc>
        <w:tc>
          <w:tcPr>
            <w:tcW w:w="1926" w:type="pct"/>
            <w:tcMar>
              <w:top w:w="90" w:type="dxa"/>
              <w:left w:w="90" w:type="dxa"/>
              <w:bottom w:w="90" w:type="dxa"/>
              <w:right w:w="90" w:type="dxa"/>
            </w:tcMar>
            <w:vAlign w:val="center"/>
          </w:tcPr>
          <w:p w14:paraId="24D5EB0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Unrecognised package labels are flagged and grouped as Other until reviewed</w:t>
            </w:r>
          </w:p>
        </w:tc>
      </w:tr>
      <w:tr w:rsidR="0084730D" w:rsidRPr="00335C63" w14:paraId="555023C6" w14:textId="77777777" w:rsidTr="00997D20">
        <w:trPr>
          <w:cantSplit/>
          <w:jc w:val="center"/>
        </w:trPr>
        <w:tc>
          <w:tcPr>
            <w:tcW w:w="1564" w:type="pct"/>
            <w:tcMar>
              <w:top w:w="90" w:type="dxa"/>
              <w:left w:w="90" w:type="dxa"/>
              <w:bottom w:w="90" w:type="dxa"/>
              <w:right w:w="90" w:type="dxa"/>
            </w:tcMar>
            <w:vAlign w:val="center"/>
          </w:tcPr>
          <w:p w14:paraId="08FDA53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Refund reason</w:t>
            </w:r>
          </w:p>
        </w:tc>
        <w:tc>
          <w:tcPr>
            <w:tcW w:w="1511" w:type="pct"/>
            <w:tcMar>
              <w:top w:w="90" w:type="dxa"/>
              <w:left w:w="90" w:type="dxa"/>
              <w:bottom w:w="90" w:type="dxa"/>
              <w:right w:w="90" w:type="dxa"/>
            </w:tcMar>
            <w:vAlign w:val="center"/>
          </w:tcPr>
          <w:p w14:paraId="05B7528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 xml:space="preserve">Group free-text reasons into categories such as Cannot eradicate, </w:t>
            </w:r>
            <w:proofErr w:type="gramStart"/>
            <w:r w:rsidRPr="00335C63">
              <w:rPr>
                <w:rFonts w:ascii="Times New Roman" w:hAnsi="Times New Roman" w:cs="Times New Roman"/>
                <w:sz w:val="24"/>
                <w:szCs w:val="24"/>
              </w:rPr>
              <w:t>Not</w:t>
            </w:r>
            <w:proofErr w:type="gramEnd"/>
            <w:r w:rsidRPr="00335C63">
              <w:rPr>
                <w:rFonts w:ascii="Times New Roman" w:hAnsi="Times New Roman" w:cs="Times New Roman"/>
                <w:sz w:val="24"/>
                <w:szCs w:val="24"/>
              </w:rPr>
              <w:t xml:space="preserve"> satisfied, Billing issue, Late service, and Manual review</w:t>
            </w:r>
          </w:p>
        </w:tc>
        <w:tc>
          <w:tcPr>
            <w:tcW w:w="1926" w:type="pct"/>
            <w:tcMar>
              <w:top w:w="90" w:type="dxa"/>
              <w:left w:w="90" w:type="dxa"/>
              <w:bottom w:w="90" w:type="dxa"/>
              <w:right w:w="90" w:type="dxa"/>
            </w:tcMar>
            <w:vAlign w:val="center"/>
          </w:tcPr>
          <w:p w14:paraId="64E58C9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Ambiguous reasons are shown in root-cause analysis as Needs manual review</w:t>
            </w:r>
          </w:p>
        </w:tc>
      </w:tr>
      <w:tr w:rsidR="0084730D" w:rsidRPr="00335C63" w14:paraId="6EE00CB3" w14:textId="77777777" w:rsidTr="00997D20">
        <w:trPr>
          <w:cantSplit/>
          <w:jc w:val="center"/>
        </w:trPr>
        <w:tc>
          <w:tcPr>
            <w:tcW w:w="1564" w:type="pct"/>
            <w:tcMar>
              <w:top w:w="90" w:type="dxa"/>
              <w:left w:w="90" w:type="dxa"/>
              <w:bottom w:w="90" w:type="dxa"/>
              <w:right w:w="90" w:type="dxa"/>
            </w:tcMar>
            <w:vAlign w:val="center"/>
          </w:tcPr>
          <w:p w14:paraId="7E793A5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Calendar event</w:t>
            </w:r>
          </w:p>
        </w:tc>
        <w:tc>
          <w:tcPr>
            <w:tcW w:w="1511" w:type="pct"/>
            <w:tcMar>
              <w:top w:w="90" w:type="dxa"/>
              <w:left w:w="90" w:type="dxa"/>
              <w:bottom w:w="90" w:type="dxa"/>
              <w:right w:w="90" w:type="dxa"/>
            </w:tcMar>
            <w:vAlign w:val="center"/>
          </w:tcPr>
          <w:p w14:paraId="0BC12761" w14:textId="77777777" w:rsidR="0084730D" w:rsidRPr="00335C63" w:rsidRDefault="00357319" w:rsidP="000F4170">
            <w:pPr>
              <w:spacing w:after="0" w:line="360" w:lineRule="auto"/>
              <w:rPr>
                <w:rFonts w:ascii="Times New Roman" w:hAnsi="Times New Roman" w:cs="Times New Roman"/>
                <w:sz w:val="24"/>
                <w:szCs w:val="24"/>
              </w:rPr>
            </w:pPr>
            <w:proofErr w:type="gramStart"/>
            <w:r w:rsidRPr="00335C63">
              <w:rPr>
                <w:rFonts w:ascii="Times New Roman" w:hAnsi="Times New Roman" w:cs="Times New Roman"/>
                <w:sz w:val="24"/>
                <w:szCs w:val="24"/>
              </w:rPr>
              <w:t>Parse</w:t>
            </w:r>
            <w:proofErr w:type="gramEnd"/>
            <w:r w:rsidRPr="00335C63">
              <w:rPr>
                <w:rFonts w:ascii="Times New Roman" w:hAnsi="Times New Roman" w:cs="Times New Roman"/>
                <w:sz w:val="24"/>
                <w:szCs w:val="24"/>
              </w:rPr>
              <w:t xml:space="preserve"> event title/description into New/Paid, Warranty, Extra, Follow-up, or Unknown</w:t>
            </w:r>
          </w:p>
        </w:tc>
        <w:tc>
          <w:tcPr>
            <w:tcW w:w="1926" w:type="pct"/>
            <w:tcMar>
              <w:top w:w="90" w:type="dxa"/>
              <w:left w:w="90" w:type="dxa"/>
              <w:bottom w:w="90" w:type="dxa"/>
              <w:right w:w="90" w:type="dxa"/>
            </w:tcMar>
            <w:vAlign w:val="center"/>
          </w:tcPr>
          <w:p w14:paraId="0C10783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Unmatched or unknown events are kept in scheduling totals but excluded from service-quality attribution</w:t>
            </w:r>
          </w:p>
        </w:tc>
      </w:tr>
      <w:tr w:rsidR="0084730D" w:rsidRPr="00335C63" w14:paraId="304046BB" w14:textId="77777777" w:rsidTr="00997D20">
        <w:trPr>
          <w:cantSplit/>
          <w:jc w:val="center"/>
        </w:trPr>
        <w:tc>
          <w:tcPr>
            <w:tcW w:w="1564" w:type="pct"/>
            <w:tcMar>
              <w:top w:w="90" w:type="dxa"/>
              <w:left w:w="90" w:type="dxa"/>
              <w:bottom w:w="90" w:type="dxa"/>
              <w:right w:w="90" w:type="dxa"/>
            </w:tcMar>
            <w:vAlign w:val="center"/>
          </w:tcPr>
          <w:p w14:paraId="2454168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 match</w:t>
            </w:r>
          </w:p>
        </w:tc>
        <w:tc>
          <w:tcPr>
            <w:tcW w:w="1511" w:type="pct"/>
            <w:tcMar>
              <w:top w:w="90" w:type="dxa"/>
              <w:left w:w="90" w:type="dxa"/>
              <w:bottom w:w="90" w:type="dxa"/>
              <w:right w:w="90" w:type="dxa"/>
            </w:tcMar>
            <w:vAlign w:val="center"/>
          </w:tcPr>
          <w:p w14:paraId="48F026D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Attach service-date rainfall, humidity, and temperature using area/postcode centroid</w:t>
            </w:r>
          </w:p>
        </w:tc>
        <w:tc>
          <w:tcPr>
            <w:tcW w:w="1926" w:type="pct"/>
            <w:tcMar>
              <w:top w:w="90" w:type="dxa"/>
              <w:left w:w="90" w:type="dxa"/>
              <w:bottom w:w="90" w:type="dxa"/>
              <w:right w:w="90" w:type="dxa"/>
            </w:tcMar>
            <w:vAlign w:val="center"/>
          </w:tcPr>
          <w:p w14:paraId="400F912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Rows without weather match are kept with weather_data_status = Missing and excluded from weather-specific charts</w:t>
            </w:r>
          </w:p>
        </w:tc>
      </w:tr>
      <w:tr>
        <w:tc>
          <w:tcPr>
            <w:tcW w:type="dxa" w:w="2820"/>
          </w:tcPr>
          <w:p>
            <w:r>
              <w:t>Source columns</w:t>
            </w:r>
          </w:p>
        </w:tc>
        <w:tc>
          <w:tcPr>
            <w:tcW w:type="dxa" w:w="2725"/>
          </w:tcPr>
          <w:p>
            <w:r>
              <w:t>Map messy source column names to standard fields using flexible data contracts and alias dictionaries</w:t>
            </w:r>
          </w:p>
        </w:tc>
        <w:tc>
          <w:tcPr>
            <w:tcW w:type="dxa" w:w="3471"/>
          </w:tcPr>
          <w:p>
            <w:r>
              <w:t>Missing critical fields are flagged as failed_data_contract; important/optional fields are warned but do not always block loading</w:t>
            </w:r>
          </w:p>
        </w:tc>
      </w:tr>
    </w:tbl>
    <w:p w14:paraId="2CE64B4D" w14:textId="77777777" w:rsidR="0084730D" w:rsidRPr="00335C63" w:rsidRDefault="0084730D" w:rsidP="000F4170">
      <w:pPr>
        <w:spacing w:line="360" w:lineRule="auto"/>
        <w:rPr>
          <w:rFonts w:ascii="Times New Roman" w:hAnsi="Times New Roman" w:cs="Times New Roman"/>
          <w:sz w:val="24"/>
          <w:szCs w:val="24"/>
        </w:rPr>
      </w:pPr>
    </w:p>
    <w:p w14:paraId="19E39ADF" w14:textId="77777777" w:rsidR="0084730D" w:rsidRPr="00335C63" w:rsidRDefault="00357319" w:rsidP="008D6A1A">
      <w:pPr>
        <w:spacing w:line="360" w:lineRule="auto"/>
        <w:jc w:val="both"/>
        <w:rPr>
          <w:rFonts w:ascii="Times New Roman" w:hAnsi="Times New Roman" w:cs="Times New Roman"/>
          <w:sz w:val="24"/>
          <w:szCs w:val="24"/>
        </w:rPr>
      </w:pPr>
      <w:r>
        <w:t>The project will use a conservative exclusion policy. Records are not silently deleted. They are first preserved in Bronze raw tables, then marked with validation flags such as invalid_date, duplicate_candidate, unmatched_customer, unknown_area, missing_weather, missing_required_field, failed_data_contract, or low_calendar_match_confidence. A record may be excluded from one analysis but still used in another if the required fields for that analysis are available.</w:t>
      </w:r>
    </w:p>
    <w:tbl>
      <w:tblPr>
        <w:tblStyle w:val="TableGrid"/>
        <w:tblW w:w="5000" w:type="pct"/>
        <w:jc w:val="center"/>
        <w:tblLook w:val="04A0" w:firstRow="1" w:lastRow="0" w:firstColumn="1" w:lastColumn="0" w:noHBand="0" w:noVBand="1"/>
      </w:tblPr>
      <w:tblGrid>
        <w:gridCol w:w="2973"/>
        <w:gridCol w:w="6043"/>
      </w:tblGrid>
      <w:tr w:rsidR="0084730D" w:rsidRPr="00335C63" w14:paraId="42A8B42B" w14:textId="77777777" w:rsidTr="00997D20">
        <w:trPr>
          <w:cantSplit/>
          <w:tblHeader/>
          <w:jc w:val="center"/>
        </w:trPr>
        <w:tc>
          <w:tcPr>
            <w:tcW w:w="1649" w:type="pct"/>
            <w:shd w:val="clear" w:color="auto" w:fill="E8F1FA"/>
            <w:tcMar>
              <w:top w:w="90" w:type="dxa"/>
              <w:left w:w="90" w:type="dxa"/>
              <w:bottom w:w="90" w:type="dxa"/>
              <w:right w:w="90" w:type="dxa"/>
            </w:tcMar>
            <w:vAlign w:val="center"/>
          </w:tcPr>
          <w:p w14:paraId="4BB924F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Data Quality Metric</w:t>
            </w:r>
          </w:p>
        </w:tc>
        <w:tc>
          <w:tcPr>
            <w:tcW w:w="3351" w:type="pct"/>
            <w:shd w:val="clear" w:color="auto" w:fill="E8F1FA"/>
            <w:tcMar>
              <w:top w:w="90" w:type="dxa"/>
              <w:left w:w="90" w:type="dxa"/>
              <w:bottom w:w="90" w:type="dxa"/>
              <w:right w:w="90" w:type="dxa"/>
            </w:tcMar>
            <w:vAlign w:val="center"/>
          </w:tcPr>
          <w:p w14:paraId="18CB19C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Purpose</w:t>
            </w:r>
          </w:p>
        </w:tc>
      </w:tr>
      <w:tr w:rsidR="0084730D" w:rsidRPr="00335C63" w14:paraId="06CF5E30" w14:textId="77777777" w:rsidTr="00997D20">
        <w:trPr>
          <w:cantSplit/>
          <w:jc w:val="center"/>
        </w:trPr>
        <w:tc>
          <w:tcPr>
            <w:tcW w:w="1649" w:type="pct"/>
            <w:tcMar>
              <w:top w:w="90" w:type="dxa"/>
              <w:left w:w="90" w:type="dxa"/>
              <w:bottom w:w="90" w:type="dxa"/>
              <w:right w:w="90" w:type="dxa"/>
            </w:tcMar>
            <w:vAlign w:val="center"/>
          </w:tcPr>
          <w:p w14:paraId="5D14BD6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Missing-value summary</w:t>
            </w:r>
          </w:p>
        </w:tc>
        <w:tc>
          <w:tcPr>
            <w:tcW w:w="3351" w:type="pct"/>
            <w:tcMar>
              <w:top w:w="90" w:type="dxa"/>
              <w:left w:w="90" w:type="dxa"/>
              <w:bottom w:w="90" w:type="dxa"/>
              <w:right w:w="90" w:type="dxa"/>
            </w:tcMar>
            <w:vAlign w:val="center"/>
          </w:tcPr>
          <w:p w14:paraId="7FB2BB7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Shows which fields are incomplete by source and by column</w:t>
            </w:r>
          </w:p>
        </w:tc>
      </w:tr>
      <w:tr w:rsidR="0084730D" w:rsidRPr="00335C63" w14:paraId="7B2413BB" w14:textId="77777777" w:rsidTr="00997D20">
        <w:trPr>
          <w:cantSplit/>
          <w:jc w:val="center"/>
        </w:trPr>
        <w:tc>
          <w:tcPr>
            <w:tcW w:w="1649" w:type="pct"/>
            <w:tcMar>
              <w:top w:w="90" w:type="dxa"/>
              <w:left w:w="90" w:type="dxa"/>
              <w:bottom w:w="90" w:type="dxa"/>
              <w:right w:w="90" w:type="dxa"/>
            </w:tcMar>
            <w:vAlign w:val="center"/>
          </w:tcPr>
          <w:p w14:paraId="5C5D1EB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Duplicate-record count</w:t>
            </w:r>
          </w:p>
        </w:tc>
        <w:tc>
          <w:tcPr>
            <w:tcW w:w="3351" w:type="pct"/>
            <w:tcMar>
              <w:top w:w="90" w:type="dxa"/>
              <w:left w:w="90" w:type="dxa"/>
              <w:bottom w:w="90" w:type="dxa"/>
              <w:right w:w="90" w:type="dxa"/>
            </w:tcMar>
            <w:vAlign w:val="center"/>
          </w:tcPr>
          <w:p w14:paraId="7B6F6289" w14:textId="77777777" w:rsidR="0084730D" w:rsidRPr="00335C63" w:rsidRDefault="00357319" w:rsidP="000F4170">
            <w:pPr>
              <w:spacing w:after="0" w:line="360" w:lineRule="auto"/>
              <w:rPr>
                <w:rFonts w:ascii="Times New Roman" w:hAnsi="Times New Roman" w:cs="Times New Roman"/>
                <w:sz w:val="24"/>
                <w:szCs w:val="24"/>
              </w:rPr>
            </w:pPr>
            <w:proofErr w:type="gramStart"/>
            <w:r w:rsidRPr="00335C63">
              <w:rPr>
                <w:rFonts w:ascii="Times New Roman" w:hAnsi="Times New Roman" w:cs="Times New Roman"/>
                <w:sz w:val="24"/>
                <w:szCs w:val="24"/>
              </w:rPr>
              <w:t>Identifies</w:t>
            </w:r>
            <w:proofErr w:type="gramEnd"/>
            <w:r w:rsidRPr="00335C63">
              <w:rPr>
                <w:rFonts w:ascii="Times New Roman" w:hAnsi="Times New Roman" w:cs="Times New Roman"/>
                <w:sz w:val="24"/>
                <w:szCs w:val="24"/>
              </w:rPr>
              <w:t xml:space="preserve"> repeated customers, services, payments, claims, or calendar rows</w:t>
            </w:r>
          </w:p>
        </w:tc>
      </w:tr>
      <w:tr w:rsidR="0084730D" w:rsidRPr="00335C63" w14:paraId="204D30B4" w14:textId="77777777" w:rsidTr="00997D20">
        <w:trPr>
          <w:cantSplit/>
          <w:jc w:val="center"/>
        </w:trPr>
        <w:tc>
          <w:tcPr>
            <w:tcW w:w="1649" w:type="pct"/>
            <w:tcMar>
              <w:top w:w="90" w:type="dxa"/>
              <w:left w:w="90" w:type="dxa"/>
              <w:bottom w:w="90" w:type="dxa"/>
              <w:right w:w="90" w:type="dxa"/>
            </w:tcMar>
            <w:vAlign w:val="center"/>
          </w:tcPr>
          <w:p w14:paraId="3215F7C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Invalid-date count</w:t>
            </w:r>
          </w:p>
        </w:tc>
        <w:tc>
          <w:tcPr>
            <w:tcW w:w="3351" w:type="pct"/>
            <w:tcMar>
              <w:top w:w="90" w:type="dxa"/>
              <w:left w:w="90" w:type="dxa"/>
              <w:bottom w:w="90" w:type="dxa"/>
              <w:right w:w="90" w:type="dxa"/>
            </w:tcMar>
            <w:vAlign w:val="center"/>
          </w:tcPr>
          <w:p w14:paraId="0FCF571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Prevents broken time trends and recurrence calculations</w:t>
            </w:r>
          </w:p>
        </w:tc>
      </w:tr>
      <w:tr w:rsidR="0084730D" w:rsidRPr="00335C63" w14:paraId="15F2267E" w14:textId="77777777" w:rsidTr="00997D20">
        <w:trPr>
          <w:cantSplit/>
          <w:jc w:val="center"/>
        </w:trPr>
        <w:tc>
          <w:tcPr>
            <w:tcW w:w="1649" w:type="pct"/>
            <w:tcMar>
              <w:top w:w="90" w:type="dxa"/>
              <w:left w:w="90" w:type="dxa"/>
              <w:bottom w:w="90" w:type="dxa"/>
              <w:right w:w="90" w:type="dxa"/>
            </w:tcMar>
            <w:vAlign w:val="center"/>
          </w:tcPr>
          <w:p w14:paraId="4C521BF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Unmatched-customer count</w:t>
            </w:r>
          </w:p>
        </w:tc>
        <w:tc>
          <w:tcPr>
            <w:tcW w:w="3351" w:type="pct"/>
            <w:tcMar>
              <w:top w:w="90" w:type="dxa"/>
              <w:left w:w="90" w:type="dxa"/>
              <w:bottom w:w="90" w:type="dxa"/>
              <w:right w:w="90" w:type="dxa"/>
            </w:tcMar>
            <w:vAlign w:val="center"/>
          </w:tcPr>
          <w:p w14:paraId="0507C3E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Shows records that cannot be joined confidently across sheets</w:t>
            </w:r>
          </w:p>
        </w:tc>
      </w:tr>
      <w:tr w:rsidR="0084730D" w:rsidRPr="00335C63" w14:paraId="6AAC93A6" w14:textId="77777777" w:rsidTr="00997D20">
        <w:trPr>
          <w:cantSplit/>
          <w:jc w:val="center"/>
        </w:trPr>
        <w:tc>
          <w:tcPr>
            <w:tcW w:w="1649" w:type="pct"/>
            <w:tcMar>
              <w:top w:w="90" w:type="dxa"/>
              <w:left w:w="90" w:type="dxa"/>
              <w:bottom w:w="90" w:type="dxa"/>
              <w:right w:w="90" w:type="dxa"/>
            </w:tcMar>
            <w:vAlign w:val="center"/>
          </w:tcPr>
          <w:p w14:paraId="05BB798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Area/postcode match confidence</w:t>
            </w:r>
          </w:p>
        </w:tc>
        <w:tc>
          <w:tcPr>
            <w:tcW w:w="3351" w:type="pct"/>
            <w:tcMar>
              <w:top w:w="90" w:type="dxa"/>
              <w:left w:w="90" w:type="dxa"/>
              <w:bottom w:w="90" w:type="dxa"/>
              <w:right w:w="90" w:type="dxa"/>
            </w:tcMar>
            <w:vAlign w:val="center"/>
          </w:tcPr>
          <w:p w14:paraId="0431198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Indicates whether spatial analysis is based on strong or approximate location matching</w:t>
            </w:r>
          </w:p>
        </w:tc>
      </w:tr>
      <w:tr w:rsidR="0084730D" w:rsidRPr="00335C63" w14:paraId="7CDD7677" w14:textId="77777777" w:rsidTr="00997D20">
        <w:trPr>
          <w:cantSplit/>
          <w:jc w:val="center"/>
        </w:trPr>
        <w:tc>
          <w:tcPr>
            <w:tcW w:w="1649" w:type="pct"/>
            <w:tcMar>
              <w:top w:w="90" w:type="dxa"/>
              <w:left w:w="90" w:type="dxa"/>
              <w:bottom w:w="90" w:type="dxa"/>
              <w:right w:w="90" w:type="dxa"/>
            </w:tcMar>
            <w:vAlign w:val="center"/>
          </w:tcPr>
          <w:p w14:paraId="79A9381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Weather-enrichment coverage</w:t>
            </w:r>
          </w:p>
        </w:tc>
        <w:tc>
          <w:tcPr>
            <w:tcW w:w="3351" w:type="pct"/>
            <w:tcMar>
              <w:top w:w="90" w:type="dxa"/>
              <w:left w:w="90" w:type="dxa"/>
              <w:bottom w:w="90" w:type="dxa"/>
              <w:right w:w="90" w:type="dxa"/>
            </w:tcMar>
            <w:vAlign w:val="center"/>
          </w:tcPr>
          <w:p w14:paraId="6BD8F28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Shows the percentage of service records with matched rainfall/humidity/temperature</w:t>
            </w:r>
          </w:p>
        </w:tc>
      </w:tr>
      <w:tr w:rsidR="0084730D" w:rsidRPr="00335C63" w14:paraId="17F21365" w14:textId="77777777" w:rsidTr="00997D20">
        <w:trPr>
          <w:cantSplit/>
          <w:jc w:val="center"/>
        </w:trPr>
        <w:tc>
          <w:tcPr>
            <w:tcW w:w="1649" w:type="pct"/>
            <w:tcMar>
              <w:top w:w="90" w:type="dxa"/>
              <w:left w:w="90" w:type="dxa"/>
              <w:bottom w:w="90" w:type="dxa"/>
              <w:right w:w="90" w:type="dxa"/>
            </w:tcMar>
            <w:vAlign w:val="center"/>
          </w:tcPr>
          <w:p w14:paraId="5716A77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Calendar matching confidence</w:t>
            </w:r>
          </w:p>
        </w:tc>
        <w:tc>
          <w:tcPr>
            <w:tcW w:w="3351" w:type="pct"/>
            <w:tcMar>
              <w:top w:w="90" w:type="dxa"/>
              <w:left w:w="90" w:type="dxa"/>
              <w:bottom w:w="90" w:type="dxa"/>
              <w:right w:w="90" w:type="dxa"/>
            </w:tcMar>
            <w:vAlign w:val="center"/>
          </w:tcPr>
          <w:p w14:paraId="1B228FC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Shows how reliable the service-to-calendar linkage is</w:t>
            </w:r>
          </w:p>
        </w:tc>
      </w:tr>
      <w:tr>
        <w:tc>
          <w:tcPr>
            <w:tcW w:type="dxa" w:w="2973"/>
          </w:tcPr>
          <w:p>
            <w:r>
              <w:t>Flexible data contract status</w:t>
            </w:r>
          </w:p>
        </w:tc>
        <w:tc>
          <w:tcPr>
            <w:tcW w:type="dxa" w:w="6043"/>
          </w:tcPr>
          <w:p>
            <w:r>
              <w:t>Shows whether required business fields were mapped successfully for each source</w:t>
            </w:r>
          </w:p>
        </w:tc>
      </w:tr>
      <w:tr>
        <w:tc>
          <w:tcPr>
            <w:tcW w:type="dxa" w:w="2973"/>
          </w:tcPr>
          <w:p>
            <w:r>
              <w:t>dbt test result summary</w:t>
            </w:r>
          </w:p>
        </w:tc>
        <w:tc>
          <w:tcPr>
            <w:tcW w:type="dxa" w:w="6043"/>
          </w:tcPr>
          <w:p>
            <w:r>
              <w:t>Shows failed not-null, unique, accepted-value, or relationship tests</w:t>
            </w:r>
          </w:p>
        </w:tc>
      </w:tr>
      <w:tr>
        <w:tc>
          <w:tcPr>
            <w:tcW w:type="dxa" w:w="2973"/>
          </w:tcPr>
          <w:p>
            <w:r>
              <w:t>Pipeline run status</w:t>
            </w:r>
          </w:p>
        </w:tc>
        <w:tc>
          <w:tcPr>
            <w:tcW w:type="dxa" w:w="6043"/>
          </w:tcPr>
          <w:p>
            <w:r>
              <w:t>Shows Airflow run time, success/failure state, rows loaded, rows failed, and latest refresh time</w:t>
            </w:r>
          </w:p>
        </w:tc>
      </w:tr>
      <w:tr>
        <w:tc>
          <w:tcPr>
            <w:tcW w:type="dxa" w:w="2973"/>
          </w:tcPr>
          <w:p>
            <w:r>
              <w:t>Lineage coverage</w:t>
            </w:r>
          </w:p>
        </w:tc>
        <w:tc>
          <w:tcPr>
            <w:tcW w:type="dxa" w:w="6043"/>
          </w:tcPr>
          <w:p>
            <w:r>
              <w:t>Shows whether dashboard marts can be traced back to source and transformation models</w:t>
            </w:r>
          </w:p>
        </w:tc>
      </w:tr>
    </w:tbl>
    <w:p w14:paraId="48342A7B" w14:textId="03242148" w:rsidR="0084730D" w:rsidRPr="00335C63" w:rsidRDefault="0084730D" w:rsidP="000F4170">
      <w:pPr>
        <w:spacing w:line="360" w:lineRule="auto"/>
        <w:rPr>
          <w:rFonts w:ascii="Times New Roman" w:hAnsi="Times New Roman" w:cs="Times New Roman"/>
          <w:sz w:val="24"/>
          <w:szCs w:val="24"/>
        </w:rPr>
      </w:pPr>
    </w:p>
    <w:p w14:paraId="144E9D1C"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3.6 Analytics Methods</w:t>
      </w:r>
    </w:p>
    <w:p w14:paraId="5ECB622B" w14:textId="77777777" w:rsidR="00984EB3" w:rsidRPr="008D6A1A" w:rsidRDefault="003C0C08" w:rsidP="008D6A1A">
      <w:pPr>
        <w:spacing w:line="360" w:lineRule="auto"/>
        <w:jc w:val="both"/>
        <w:rPr>
          <w:rFonts w:ascii="Times New Roman" w:hAnsi="Times New Roman" w:cs="Times New Roman"/>
          <w:sz w:val="24"/>
          <w:szCs w:val="24"/>
        </w:rPr>
      </w:pPr>
      <w:r>
        <w:t>Following the AI/ML methodology guide, the CP2 workflow will combine data engineering and analytics. The data engineering lifecycle covers source profiling, extraction, Bronze loading, dbt transformation, data testing, lineage documentation, pipeline logging, and scheduled orchestration. The analytics lifecycle then uses the trusted Gold marts for customer, area, warranty, recurrence, weather, hotspot, upsell, and recommendation outputs.</w:t>
      </w:r>
    </w:p>
    <w:tbl>
      <w:tblPr>
        <w:tblStyle w:val="TableGrid"/>
        <w:tblW w:w="5000" w:type="pct"/>
        <w:jc w:val="center"/>
        <w:tblLook w:val="04A0" w:firstRow="1" w:lastRow="0" w:firstColumn="1" w:lastColumn="0" w:noHBand="0" w:noVBand="1"/>
      </w:tblPr>
      <w:tblGrid>
        <w:gridCol w:w="2793"/>
        <w:gridCol w:w="2921"/>
        <w:gridCol w:w="3302"/>
      </w:tblGrid>
      <w:tr w:rsidR="0084730D" w:rsidRPr="00335C63" w14:paraId="5DBFF39B" w14:textId="77777777" w:rsidTr="00997D20">
        <w:trPr>
          <w:cantSplit/>
          <w:tblHeader/>
          <w:jc w:val="center"/>
        </w:trPr>
        <w:tc>
          <w:tcPr>
            <w:tcW w:w="1549" w:type="pct"/>
            <w:shd w:val="clear" w:color="auto" w:fill="E8F1FA"/>
            <w:tcMar>
              <w:top w:w="90" w:type="dxa"/>
              <w:left w:w="90" w:type="dxa"/>
              <w:bottom w:w="90" w:type="dxa"/>
              <w:right w:w="90" w:type="dxa"/>
            </w:tcMar>
            <w:vAlign w:val="center"/>
          </w:tcPr>
          <w:p w14:paraId="26EDE84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Question</w:t>
            </w:r>
          </w:p>
        </w:tc>
        <w:tc>
          <w:tcPr>
            <w:tcW w:w="1620" w:type="pct"/>
            <w:shd w:val="clear" w:color="auto" w:fill="E8F1FA"/>
            <w:tcMar>
              <w:top w:w="90" w:type="dxa"/>
              <w:left w:w="90" w:type="dxa"/>
              <w:bottom w:w="90" w:type="dxa"/>
              <w:right w:w="90" w:type="dxa"/>
            </w:tcMar>
            <w:vAlign w:val="center"/>
          </w:tcPr>
          <w:p w14:paraId="0FF4D2F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Method</w:t>
            </w:r>
          </w:p>
        </w:tc>
        <w:tc>
          <w:tcPr>
            <w:tcW w:w="1831" w:type="pct"/>
            <w:shd w:val="clear" w:color="auto" w:fill="E8F1FA"/>
            <w:tcMar>
              <w:top w:w="90" w:type="dxa"/>
              <w:left w:w="90" w:type="dxa"/>
              <w:bottom w:w="90" w:type="dxa"/>
              <w:right w:w="90" w:type="dxa"/>
            </w:tcMar>
            <w:vAlign w:val="center"/>
          </w:tcPr>
          <w:p w14:paraId="3E4E528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Output</w:t>
            </w:r>
          </w:p>
        </w:tc>
      </w:tr>
      <w:tr w:rsidR="0084730D" w:rsidRPr="00335C63" w14:paraId="74E5908E" w14:textId="77777777" w:rsidTr="00997D20">
        <w:trPr>
          <w:cantSplit/>
          <w:jc w:val="center"/>
        </w:trPr>
        <w:tc>
          <w:tcPr>
            <w:tcW w:w="1549" w:type="pct"/>
            <w:tcMar>
              <w:top w:w="90" w:type="dxa"/>
              <w:left w:w="90" w:type="dxa"/>
              <w:bottom w:w="90" w:type="dxa"/>
              <w:right w:w="90" w:type="dxa"/>
            </w:tcMar>
            <w:vAlign w:val="center"/>
          </w:tcPr>
          <w:p w14:paraId="27F16BD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What happened?</w:t>
            </w:r>
          </w:p>
        </w:tc>
        <w:tc>
          <w:tcPr>
            <w:tcW w:w="1620" w:type="pct"/>
            <w:tcMar>
              <w:top w:w="90" w:type="dxa"/>
              <w:left w:w="90" w:type="dxa"/>
              <w:bottom w:w="90" w:type="dxa"/>
              <w:right w:w="90" w:type="dxa"/>
            </w:tcMar>
            <w:vAlign w:val="center"/>
          </w:tcPr>
          <w:p w14:paraId="73C395A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Descriptive BI by day/week/month</w:t>
            </w:r>
          </w:p>
        </w:tc>
        <w:tc>
          <w:tcPr>
            <w:tcW w:w="1831" w:type="pct"/>
            <w:tcMar>
              <w:top w:w="90" w:type="dxa"/>
              <w:left w:w="90" w:type="dxa"/>
              <w:bottom w:w="90" w:type="dxa"/>
              <w:right w:w="90" w:type="dxa"/>
            </w:tcMar>
            <w:vAlign w:val="center"/>
          </w:tcPr>
          <w:p w14:paraId="3150695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KPIs, trends, ranking tables, distributions</w:t>
            </w:r>
          </w:p>
        </w:tc>
      </w:tr>
      <w:tr w:rsidR="0084730D" w:rsidRPr="00335C63" w14:paraId="0411D729" w14:textId="77777777" w:rsidTr="00997D20">
        <w:trPr>
          <w:cantSplit/>
          <w:jc w:val="center"/>
        </w:trPr>
        <w:tc>
          <w:tcPr>
            <w:tcW w:w="1549" w:type="pct"/>
            <w:tcMar>
              <w:top w:w="90" w:type="dxa"/>
              <w:left w:w="90" w:type="dxa"/>
              <w:bottom w:w="90" w:type="dxa"/>
              <w:right w:w="90" w:type="dxa"/>
            </w:tcMar>
            <w:vAlign w:val="center"/>
          </w:tcPr>
          <w:p w14:paraId="25E79E0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Where are repeat problems concentrated?</w:t>
            </w:r>
          </w:p>
        </w:tc>
        <w:tc>
          <w:tcPr>
            <w:tcW w:w="1620" w:type="pct"/>
            <w:tcMar>
              <w:top w:w="90" w:type="dxa"/>
              <w:left w:w="90" w:type="dxa"/>
              <w:bottom w:w="90" w:type="dxa"/>
              <w:right w:w="90" w:type="dxa"/>
            </w:tcMar>
            <w:vAlign w:val="center"/>
          </w:tcPr>
          <w:p w14:paraId="41A5877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DBSCAN-style spatial clustering plus KDE heatmap visualization</w:t>
            </w:r>
          </w:p>
        </w:tc>
        <w:tc>
          <w:tcPr>
            <w:tcW w:w="1831" w:type="pct"/>
            <w:tcMar>
              <w:top w:w="90" w:type="dxa"/>
              <w:left w:w="90" w:type="dxa"/>
              <w:bottom w:w="90" w:type="dxa"/>
              <w:right w:w="90" w:type="dxa"/>
            </w:tcMar>
            <w:vAlign w:val="center"/>
          </w:tcPr>
          <w:p w14:paraId="064AF12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Hotspot clusters and density map</w:t>
            </w:r>
          </w:p>
        </w:tc>
      </w:tr>
      <w:tr w:rsidR="0084730D" w:rsidRPr="00335C63" w14:paraId="790587E6" w14:textId="77777777" w:rsidTr="00997D20">
        <w:trPr>
          <w:cantSplit/>
          <w:jc w:val="center"/>
        </w:trPr>
        <w:tc>
          <w:tcPr>
            <w:tcW w:w="1549" w:type="pct"/>
            <w:tcMar>
              <w:top w:w="90" w:type="dxa"/>
              <w:left w:w="90" w:type="dxa"/>
              <w:bottom w:w="90" w:type="dxa"/>
              <w:right w:w="90" w:type="dxa"/>
            </w:tcMar>
            <w:vAlign w:val="center"/>
          </w:tcPr>
          <w:p w14:paraId="3B77F4A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 xml:space="preserve">When do </w:t>
            </w:r>
            <w:proofErr w:type="gramStart"/>
            <w:r w:rsidRPr="00335C63">
              <w:rPr>
                <w:rFonts w:ascii="Times New Roman" w:hAnsi="Times New Roman" w:cs="Times New Roman"/>
                <w:sz w:val="24"/>
                <w:szCs w:val="24"/>
              </w:rPr>
              <w:t>pest</w:t>
            </w:r>
            <w:proofErr w:type="gramEnd"/>
            <w:r w:rsidRPr="00335C63">
              <w:rPr>
                <w:rFonts w:ascii="Times New Roman" w:hAnsi="Times New Roman" w:cs="Times New Roman"/>
                <w:sz w:val="24"/>
                <w:szCs w:val="24"/>
              </w:rPr>
              <w:t xml:space="preserve"> issues recur?</w:t>
            </w:r>
          </w:p>
        </w:tc>
        <w:tc>
          <w:tcPr>
            <w:tcW w:w="1620" w:type="pct"/>
            <w:tcMar>
              <w:top w:w="90" w:type="dxa"/>
              <w:left w:w="90" w:type="dxa"/>
              <w:bottom w:w="90" w:type="dxa"/>
              <w:right w:w="90" w:type="dxa"/>
            </w:tcMar>
            <w:vAlign w:val="center"/>
          </w:tcPr>
          <w:p w14:paraId="03F132F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Days-to-recurrence and interval comparison</w:t>
            </w:r>
          </w:p>
        </w:tc>
        <w:tc>
          <w:tcPr>
            <w:tcW w:w="1831" w:type="pct"/>
            <w:tcMar>
              <w:top w:w="90" w:type="dxa"/>
              <w:left w:w="90" w:type="dxa"/>
              <w:bottom w:w="90" w:type="dxa"/>
              <w:right w:w="90" w:type="dxa"/>
            </w:tcMar>
            <w:vAlign w:val="center"/>
          </w:tcPr>
          <w:p w14:paraId="573DCD9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Average/median recurrence windows and recurrence buckets</w:t>
            </w:r>
          </w:p>
        </w:tc>
      </w:tr>
      <w:tr w:rsidR="0084730D" w:rsidRPr="00335C63" w14:paraId="216BF0E5" w14:textId="77777777" w:rsidTr="00997D20">
        <w:trPr>
          <w:cantSplit/>
          <w:jc w:val="center"/>
        </w:trPr>
        <w:tc>
          <w:tcPr>
            <w:tcW w:w="1549" w:type="pct"/>
            <w:tcMar>
              <w:top w:w="90" w:type="dxa"/>
              <w:left w:w="90" w:type="dxa"/>
              <w:bottom w:w="90" w:type="dxa"/>
              <w:right w:w="90" w:type="dxa"/>
            </w:tcMar>
            <w:vAlign w:val="center"/>
          </w:tcPr>
          <w:p w14:paraId="643B858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Is weather associated with higher warranty/repeat risk?</w:t>
            </w:r>
          </w:p>
        </w:tc>
        <w:tc>
          <w:tcPr>
            <w:tcW w:w="1620" w:type="pct"/>
            <w:tcMar>
              <w:top w:w="90" w:type="dxa"/>
              <w:left w:w="90" w:type="dxa"/>
              <w:bottom w:w="90" w:type="dxa"/>
              <w:right w:w="90" w:type="dxa"/>
            </w:tcMar>
            <w:vAlign w:val="center"/>
          </w:tcPr>
          <w:p w14:paraId="5A7E795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Rainfall time-lag features, correlation review, and logistic regression if data is sufficient</w:t>
            </w:r>
          </w:p>
        </w:tc>
        <w:tc>
          <w:tcPr>
            <w:tcW w:w="1831" w:type="pct"/>
            <w:tcMar>
              <w:top w:w="90" w:type="dxa"/>
              <w:left w:w="90" w:type="dxa"/>
              <w:bottom w:w="90" w:type="dxa"/>
              <w:right w:w="90" w:type="dxa"/>
            </w:tcMar>
            <w:vAlign w:val="center"/>
          </w:tcPr>
          <w:p w14:paraId="4102BF2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Weather-associated indicators and risk probabilities</w:t>
            </w:r>
          </w:p>
        </w:tc>
      </w:tr>
      <w:tr w:rsidR="0084730D" w:rsidRPr="00335C63" w14:paraId="3C6FC3A0" w14:textId="77777777" w:rsidTr="00997D20">
        <w:trPr>
          <w:cantSplit/>
          <w:jc w:val="center"/>
        </w:trPr>
        <w:tc>
          <w:tcPr>
            <w:tcW w:w="1549" w:type="pct"/>
            <w:tcMar>
              <w:top w:w="90" w:type="dxa"/>
              <w:left w:w="90" w:type="dxa"/>
              <w:bottom w:w="90" w:type="dxa"/>
              <w:right w:w="90" w:type="dxa"/>
            </w:tcMar>
            <w:vAlign w:val="center"/>
          </w:tcPr>
          <w:p w14:paraId="45053DB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Which areas are harder to treat?</w:t>
            </w:r>
          </w:p>
        </w:tc>
        <w:tc>
          <w:tcPr>
            <w:tcW w:w="1620" w:type="pct"/>
            <w:tcMar>
              <w:top w:w="90" w:type="dxa"/>
              <w:left w:w="90" w:type="dxa"/>
              <w:bottom w:w="90" w:type="dxa"/>
              <w:right w:w="90" w:type="dxa"/>
            </w:tcMar>
            <w:vAlign w:val="center"/>
          </w:tcPr>
          <w:p w14:paraId="751E262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Weighted treatment difficulty index</w:t>
            </w:r>
          </w:p>
        </w:tc>
        <w:tc>
          <w:tcPr>
            <w:tcW w:w="1831" w:type="pct"/>
            <w:tcMar>
              <w:top w:w="90" w:type="dxa"/>
              <w:left w:w="90" w:type="dxa"/>
              <w:bottom w:w="90" w:type="dxa"/>
              <w:right w:w="90" w:type="dxa"/>
            </w:tcMar>
            <w:vAlign w:val="center"/>
          </w:tcPr>
          <w:p w14:paraId="20AA32E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Area/pest/team difficulty level and planning action</w:t>
            </w:r>
          </w:p>
        </w:tc>
      </w:tr>
      <w:tr w:rsidR="0084730D" w:rsidRPr="00335C63" w14:paraId="5EC8AEDD" w14:textId="77777777" w:rsidTr="00997D20">
        <w:trPr>
          <w:cantSplit/>
          <w:jc w:val="center"/>
        </w:trPr>
        <w:tc>
          <w:tcPr>
            <w:tcW w:w="1549" w:type="pct"/>
            <w:tcMar>
              <w:top w:w="90" w:type="dxa"/>
              <w:left w:w="90" w:type="dxa"/>
              <w:bottom w:w="90" w:type="dxa"/>
              <w:right w:w="90" w:type="dxa"/>
            </w:tcMar>
            <w:vAlign w:val="center"/>
          </w:tcPr>
          <w:p w14:paraId="26B0A6B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Which package fits which customer group?</w:t>
            </w:r>
          </w:p>
        </w:tc>
        <w:tc>
          <w:tcPr>
            <w:tcW w:w="1620" w:type="pct"/>
            <w:tcMar>
              <w:top w:w="90" w:type="dxa"/>
              <w:left w:w="90" w:type="dxa"/>
              <w:bottom w:w="90" w:type="dxa"/>
              <w:right w:w="90" w:type="dxa"/>
            </w:tcMar>
            <w:vAlign w:val="center"/>
          </w:tcPr>
          <w:p w14:paraId="61F7BEC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Frequency and revenue-based package-fit matrix</w:t>
            </w:r>
          </w:p>
        </w:tc>
        <w:tc>
          <w:tcPr>
            <w:tcW w:w="1831" w:type="pct"/>
            <w:tcMar>
              <w:top w:w="90" w:type="dxa"/>
              <w:left w:w="90" w:type="dxa"/>
              <w:bottom w:w="90" w:type="dxa"/>
              <w:right w:w="90" w:type="dxa"/>
            </w:tcMar>
            <w:vAlign w:val="center"/>
          </w:tcPr>
          <w:p w14:paraId="785E900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 xml:space="preserve">Recommended </w:t>
            </w:r>
            <w:proofErr w:type="gramStart"/>
            <w:r w:rsidRPr="00335C63">
              <w:rPr>
                <w:rFonts w:ascii="Times New Roman" w:hAnsi="Times New Roman" w:cs="Times New Roman"/>
                <w:sz w:val="24"/>
                <w:szCs w:val="24"/>
              </w:rPr>
              <w:t>upsell</w:t>
            </w:r>
            <w:proofErr w:type="gramEnd"/>
            <w:r w:rsidRPr="00335C63">
              <w:rPr>
                <w:rFonts w:ascii="Times New Roman" w:hAnsi="Times New Roman" w:cs="Times New Roman"/>
                <w:sz w:val="24"/>
                <w:szCs w:val="24"/>
              </w:rPr>
              <w:t xml:space="preserve"> package by customer/pest/area segment</w:t>
            </w:r>
          </w:p>
        </w:tc>
      </w:tr>
      <w:tr w:rsidR="0084730D" w:rsidRPr="00335C63" w14:paraId="627F3C40" w14:textId="77777777" w:rsidTr="00997D20">
        <w:trPr>
          <w:cantSplit/>
          <w:jc w:val="center"/>
        </w:trPr>
        <w:tc>
          <w:tcPr>
            <w:tcW w:w="1549" w:type="pct"/>
            <w:tcMar>
              <w:top w:w="90" w:type="dxa"/>
              <w:left w:w="90" w:type="dxa"/>
              <w:bottom w:w="90" w:type="dxa"/>
              <w:right w:w="90" w:type="dxa"/>
            </w:tcMar>
            <w:vAlign w:val="center"/>
          </w:tcPr>
          <w:p w14:paraId="53E94F6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What should management do?</w:t>
            </w:r>
          </w:p>
        </w:tc>
        <w:tc>
          <w:tcPr>
            <w:tcW w:w="1620" w:type="pct"/>
            <w:tcMar>
              <w:top w:w="90" w:type="dxa"/>
              <w:left w:w="90" w:type="dxa"/>
              <w:bottom w:w="90" w:type="dxa"/>
              <w:right w:w="90" w:type="dxa"/>
            </w:tcMar>
            <w:vAlign w:val="center"/>
          </w:tcPr>
          <w:p w14:paraId="389799E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Prescriptive scoring rules and optional local AI explanation</w:t>
            </w:r>
          </w:p>
        </w:tc>
        <w:tc>
          <w:tcPr>
            <w:tcW w:w="1831" w:type="pct"/>
            <w:tcMar>
              <w:top w:w="90" w:type="dxa"/>
              <w:left w:w="90" w:type="dxa"/>
              <w:bottom w:w="90" w:type="dxa"/>
              <w:right w:w="90" w:type="dxa"/>
            </w:tcMar>
            <w:vAlign w:val="center"/>
          </w:tcPr>
          <w:p w14:paraId="2AF70B7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Recommended follow-up, assignment, review, or upsell action</w:t>
            </w:r>
          </w:p>
        </w:tc>
      </w:tr>
    </w:tbl>
    <w:p w14:paraId="46375EA8" w14:textId="77777777" w:rsidR="0084730D" w:rsidRPr="00335C63" w:rsidRDefault="0084730D" w:rsidP="000F4170">
      <w:pPr>
        <w:spacing w:line="360" w:lineRule="auto"/>
        <w:rPr>
          <w:rFonts w:ascii="Times New Roman" w:hAnsi="Times New Roman" w:cs="Times New Roman"/>
          <w:sz w:val="24"/>
          <w:szCs w:val="24"/>
        </w:rPr>
      </w:pPr>
    </w:p>
    <w:p w14:paraId="55373317"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3.7 Key Analytics Logic</w:t>
      </w:r>
    </w:p>
    <w:p w14:paraId="41AFCDF3"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b/>
          <w:sz w:val="24"/>
          <w:szCs w:val="24"/>
        </w:rPr>
        <w:t>Treatment Difficulty Index:</w:t>
      </w:r>
    </w:p>
    <w:p w14:paraId="107CBFE4"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The treatment difficulty index will combine repeat-problem rate, warranty-claim rate, refund rate, complimentary-service rate, and extra-session rate. The initial weights will be reviewed with management because the score is intended as a planning indicator, not an absolute measurement.</w:t>
      </w:r>
    </w:p>
    <w:p w14:paraId="1CDA54CA"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b/>
          <w:sz w:val="24"/>
          <w:szCs w:val="24"/>
        </w:rPr>
        <w:t>Weather windows:</w:t>
      </w:r>
    </w:p>
    <w:p w14:paraId="7EF37D61"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For each service record, the ETL process will calculate rain_same_day_mm, rain_</w:t>
      </w:r>
      <w:proofErr w:type="gramStart"/>
      <w:r w:rsidRPr="00335C63">
        <w:rPr>
          <w:rFonts w:ascii="Times New Roman" w:hAnsi="Times New Roman" w:cs="Times New Roman"/>
          <w:sz w:val="24"/>
          <w:szCs w:val="24"/>
        </w:rPr>
        <w:t>previous_1</w:t>
      </w:r>
      <w:proofErr w:type="gramEnd"/>
      <w:r w:rsidRPr="00335C63">
        <w:rPr>
          <w:rFonts w:ascii="Times New Roman" w:hAnsi="Times New Roman" w:cs="Times New Roman"/>
          <w:sz w:val="24"/>
          <w:szCs w:val="24"/>
        </w:rPr>
        <w:t>_day_mm, rain_last_3_days_mm, rain_last_7_days_mm, temperature_mean, humidity_mean, and heavy_rain_flag. Warranty and repeat-problem analysis will use service-date weather windows, while area risk dashboards may also show recent/current weather indicators.</w:t>
      </w:r>
    </w:p>
    <w:p w14:paraId="5E1DF4B0"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b/>
          <w:sz w:val="24"/>
          <w:szCs w:val="24"/>
        </w:rPr>
        <w:t>Warranty factor categories:</w:t>
      </w:r>
    </w:p>
    <w:p w14:paraId="3E40E6EB"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Warranty claims will be grouped into review categories: Weather-associated, Technician or </w:t>
      </w:r>
      <w:proofErr w:type="gramStart"/>
      <w:r w:rsidRPr="00335C63">
        <w:rPr>
          <w:rFonts w:ascii="Times New Roman" w:hAnsi="Times New Roman" w:cs="Times New Roman"/>
          <w:sz w:val="24"/>
          <w:szCs w:val="24"/>
        </w:rPr>
        <w:t>service</w:t>
      </w:r>
      <w:proofErr w:type="gramEnd"/>
      <w:r w:rsidRPr="00335C63">
        <w:rPr>
          <w:rFonts w:ascii="Times New Roman" w:hAnsi="Times New Roman" w:cs="Times New Roman"/>
          <w:sz w:val="24"/>
          <w:szCs w:val="24"/>
        </w:rPr>
        <w:t xml:space="preserve"> quality review, Area/premise condition, Customer expectation, and </w:t>
      </w:r>
      <w:proofErr w:type="gramStart"/>
      <w:r w:rsidRPr="00335C63">
        <w:rPr>
          <w:rFonts w:ascii="Times New Roman" w:hAnsi="Times New Roman" w:cs="Times New Roman"/>
          <w:sz w:val="24"/>
          <w:szCs w:val="24"/>
        </w:rPr>
        <w:t>Needs</w:t>
      </w:r>
      <w:proofErr w:type="gramEnd"/>
      <w:r w:rsidRPr="00335C63">
        <w:rPr>
          <w:rFonts w:ascii="Times New Roman" w:hAnsi="Times New Roman" w:cs="Times New Roman"/>
          <w:sz w:val="24"/>
          <w:szCs w:val="24"/>
        </w:rPr>
        <w:t xml:space="preserve"> manual review. The wording will remain careful and non-punitive.</w:t>
      </w:r>
    </w:p>
    <w:p w14:paraId="5AE79D30"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b/>
          <w:sz w:val="24"/>
          <w:szCs w:val="24"/>
        </w:rPr>
        <w:lastRenderedPageBreak/>
        <w:t>Recurrence buckets:</w:t>
      </w:r>
    </w:p>
    <w:p w14:paraId="02860FC9"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Recurrence windows will be grouped into 0-7 days, 8-14 days, 15-30 days, 31-60 days, and 61+ days. These buckets help management plan follow-ups around observed recurrence patterns.</w:t>
      </w:r>
    </w:p>
    <w:p w14:paraId="6C184139"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b/>
          <w:sz w:val="24"/>
          <w:szCs w:val="24"/>
        </w:rPr>
        <w:t>Scheduled refresh:</w:t>
      </w:r>
    </w:p>
    <w:p w14:paraId="798B122E"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The system will use a near-real-time refresh design rather than streaming real-time processing. A scheduled Python ETL job or BigQuery scheduled query will refresh cleaned tables and dashboard marts daily or weekly, depending on company needs and data update frequency. This is sufficient for management reporting, warranty review, and service planning because the main business questions are based on day/week/month trends rather than second-by-second operations.</w:t>
      </w:r>
    </w:p>
    <w:p w14:paraId="674563D2"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b/>
          <w:sz w:val="24"/>
          <w:szCs w:val="24"/>
        </w:rPr>
        <w:t>Recommendation log:</w:t>
      </w:r>
    </w:p>
    <w:p w14:paraId="6C136BE4"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Prescriptive outputs will be stored in a recommendation log. Each record will include recommendation type, generated date, related customer/service/area, supporting reason, confidence or review label, management action taken, and later outcome where available. This allows the company to review whether suggested actions were useful and prepares the system for a future Ollama-based AI explanation layer.</w:t>
      </w:r>
    </w:p>
    <w:p>
      <w:pPr/>
      <w:r>
        <w:t>Pipeline orchestration:</w:t>
      </w:r>
    </w:p>
    <w:p>
      <w:pPr/>
      <w:r>
        <w:t>Apache Airflow will coordinate the CP2 pipeline as a directed workflow. A planned DAG will run tasks such as extract_google_sheets, extract_google_calendar, extract_weather_data, load_bronze_bigquery, run_dbt_models, run_dbt_tests, update_data_quality_log, and update_refresh_status. This demonstrates workflow scheduling, dependency management, retry handling, and failure monitoring.</w:t>
      </w:r>
    </w:p>
    <w:p>
      <w:pPr/>
      <w:r>
        <w:t>dbt transformations and lineage:</w:t>
      </w:r>
    </w:p>
    <w:p>
      <w:pPr/>
      <w:r>
        <w:t>dbt Core will transform BigQuery Bronze tables into Silver cleaned tables and Gold marts using modular SQL models. dbt tests will check fields such as uniqueness, not-null requirements, accepted values, and relationship consistency where practical. dbt documentation and lineage will show how raw data flows into dashboard outputs.</w:t>
      </w:r>
    </w:p>
    <w:p>
      <w:pPr/>
      <w:r>
        <w:t>Flexible data contracts:</w:t>
      </w:r>
    </w:p>
    <w:p>
      <w:pPr/>
      <w:r>
        <w:t>Each source will have a flexible contract defining standard fields, accepted aliases, required/important/optional levels, and validation rules. For example, Nama, Name, and Customer Name may map to customer_name, while Phone No, Contact, and Tel may map to phone_number. If a critical field cannot be mapped, the source or row is flagged for review.</w:t>
      </w:r>
    </w:p>
    <w:p>
      <w:pPr/>
      <w:r>
        <w:t>Incremental loading:</w:t>
      </w:r>
    </w:p>
    <w:p>
      <w:pPr/>
      <w:r>
        <w:t>Where a source provides updated timestamps or stable row identifiers, the pipeline will load only new or changed rows. If such metadata is unavailable, the prototype will use row hashes and loaded_at timestamps to detect changes. Full refresh remains available as a fallback during prototype testing.</w:t>
      </w:r>
    </w:p>
    <w:p w14:paraId="401F0CA7" w14:textId="77777777" w:rsidR="0084730D" w:rsidRPr="00335C63" w:rsidRDefault="00357319" w:rsidP="008D6A1A">
      <w:pPr>
        <w:pStyle w:val="Heading2"/>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3.8 Dashboard Design</w:t>
      </w:r>
    </w:p>
    <w:p w14:paraId="02354235" w14:textId="77777777" w:rsidR="0084730D" w:rsidRPr="00335C63" w:rsidRDefault="00357319" w:rsidP="008D6A1A">
      <w:pPr>
        <w:spacing w:line="360" w:lineRule="auto"/>
        <w:jc w:val="both"/>
        <w:rPr>
          <w:rFonts w:ascii="Times New Roman" w:hAnsi="Times New Roman" w:cs="Times New Roman"/>
          <w:sz w:val="24"/>
          <w:szCs w:val="24"/>
        </w:rPr>
      </w:pPr>
      <w:r>
        <w:t>The visualization layer will be implemented in Apache Superset to reduce custom frontend development and align the project with a data analytics capstone. Superset will connect only to curated Gold marts and anonymised reporting views in BigQuery rather than raw source tables. This ensures the dashboards are based on tested, documented, and refresh-controlled data outputs.</w:t>
      </w:r>
    </w:p>
    <w:tbl>
      <w:tblPr>
        <w:tblStyle w:val="TableGrid"/>
        <w:tblW w:w="5000" w:type="pct"/>
        <w:jc w:val="center"/>
        <w:tblLook w:val="04A0" w:firstRow="1" w:lastRow="0" w:firstColumn="1" w:lastColumn="0" w:noHBand="0" w:noVBand="1"/>
      </w:tblPr>
      <w:tblGrid>
        <w:gridCol w:w="3329"/>
        <w:gridCol w:w="5687"/>
      </w:tblGrid>
      <w:tr w:rsidR="0084730D" w:rsidRPr="00335C63" w14:paraId="6A4AE08D" w14:textId="77777777" w:rsidTr="00997D20">
        <w:trPr>
          <w:cantSplit/>
          <w:tblHeader/>
          <w:jc w:val="center"/>
        </w:trPr>
        <w:tc>
          <w:tcPr>
            <w:tcW w:w="1846" w:type="pct"/>
            <w:shd w:val="clear" w:color="auto" w:fill="E8F1FA"/>
            <w:tcMar>
              <w:top w:w="90" w:type="dxa"/>
              <w:left w:w="90" w:type="dxa"/>
              <w:bottom w:w="90" w:type="dxa"/>
              <w:right w:w="90" w:type="dxa"/>
            </w:tcMar>
            <w:vAlign w:val="center"/>
          </w:tcPr>
          <w:p w14:paraId="50398F1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Dashboard Area</w:t>
            </w:r>
          </w:p>
        </w:tc>
        <w:tc>
          <w:tcPr>
            <w:tcW w:w="3154" w:type="pct"/>
            <w:shd w:val="clear" w:color="auto" w:fill="E8F1FA"/>
            <w:tcMar>
              <w:top w:w="90" w:type="dxa"/>
              <w:left w:w="90" w:type="dxa"/>
              <w:bottom w:w="90" w:type="dxa"/>
              <w:right w:w="90" w:type="dxa"/>
            </w:tcMar>
            <w:vAlign w:val="center"/>
          </w:tcPr>
          <w:p w14:paraId="4B3278A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Main Visuals</w:t>
            </w:r>
          </w:p>
        </w:tc>
      </w:tr>
      <w:tr w:rsidR="0084730D" w:rsidRPr="00335C63" w14:paraId="2A66CAEE" w14:textId="77777777" w:rsidTr="00997D20">
        <w:trPr>
          <w:cantSplit/>
          <w:jc w:val="center"/>
        </w:trPr>
        <w:tc>
          <w:tcPr>
            <w:tcW w:w="1846" w:type="pct"/>
            <w:tcMar>
              <w:top w:w="90" w:type="dxa"/>
              <w:left w:w="90" w:type="dxa"/>
              <w:bottom w:w="90" w:type="dxa"/>
              <w:right w:w="90" w:type="dxa"/>
            </w:tcMar>
            <w:vAlign w:val="center"/>
          </w:tcPr>
          <w:p w14:paraId="55956B2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Executive Summary</w:t>
            </w:r>
          </w:p>
        </w:tc>
        <w:tc>
          <w:tcPr>
            <w:tcW w:w="3154" w:type="pct"/>
            <w:tcMar>
              <w:top w:w="90" w:type="dxa"/>
              <w:left w:w="90" w:type="dxa"/>
              <w:bottom w:w="90" w:type="dxa"/>
              <w:right w:w="90" w:type="dxa"/>
            </w:tcMar>
            <w:vAlign w:val="center"/>
          </w:tcPr>
          <w:p w14:paraId="603D4AA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KPI cards, service/revenue/warranty trends, top areas, active risk indicators</w:t>
            </w:r>
          </w:p>
        </w:tc>
      </w:tr>
      <w:tr w:rsidR="0084730D" w:rsidRPr="00335C63" w14:paraId="0A4333B5" w14:textId="77777777" w:rsidTr="00997D20">
        <w:trPr>
          <w:cantSplit/>
          <w:jc w:val="center"/>
        </w:trPr>
        <w:tc>
          <w:tcPr>
            <w:tcW w:w="1846" w:type="pct"/>
            <w:tcMar>
              <w:top w:w="90" w:type="dxa"/>
              <w:left w:w="90" w:type="dxa"/>
              <w:bottom w:w="90" w:type="dxa"/>
              <w:right w:w="90" w:type="dxa"/>
            </w:tcMar>
            <w:vAlign w:val="center"/>
          </w:tcPr>
          <w:p w14:paraId="4483DE8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Marketing and Funnel</w:t>
            </w:r>
          </w:p>
        </w:tc>
        <w:tc>
          <w:tcPr>
            <w:tcW w:w="3154" w:type="pct"/>
            <w:tcMar>
              <w:top w:w="90" w:type="dxa"/>
              <w:left w:w="90" w:type="dxa"/>
              <w:bottom w:w="90" w:type="dxa"/>
              <w:right w:w="90" w:type="dxa"/>
            </w:tcMar>
            <w:vAlign w:val="center"/>
          </w:tcPr>
          <w:p w14:paraId="11FBF71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Lead source quality, conversion funnel, follow-up depth, PIC performance</w:t>
            </w:r>
          </w:p>
        </w:tc>
      </w:tr>
      <w:tr w:rsidR="0084730D" w:rsidRPr="00335C63" w14:paraId="54638805" w14:textId="77777777" w:rsidTr="00997D20">
        <w:trPr>
          <w:cantSplit/>
          <w:jc w:val="center"/>
        </w:trPr>
        <w:tc>
          <w:tcPr>
            <w:tcW w:w="1846" w:type="pct"/>
            <w:tcMar>
              <w:top w:w="90" w:type="dxa"/>
              <w:left w:w="90" w:type="dxa"/>
              <w:bottom w:w="90" w:type="dxa"/>
              <w:right w:w="90" w:type="dxa"/>
            </w:tcMar>
            <w:vAlign w:val="center"/>
          </w:tcPr>
          <w:p w14:paraId="4F234E0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Area and Weather Risk</w:t>
            </w:r>
          </w:p>
        </w:tc>
        <w:tc>
          <w:tcPr>
            <w:tcW w:w="3154" w:type="pct"/>
            <w:tcMar>
              <w:top w:w="90" w:type="dxa"/>
              <w:left w:w="90" w:type="dxa"/>
              <w:bottom w:w="90" w:type="dxa"/>
              <w:right w:w="90" w:type="dxa"/>
            </w:tcMar>
            <w:vAlign w:val="center"/>
          </w:tcPr>
          <w:p w14:paraId="1874D03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Map, rainfall indicators, area risk ranking, weather-associated labels</w:t>
            </w:r>
          </w:p>
        </w:tc>
      </w:tr>
      <w:tr w:rsidR="0084730D" w:rsidRPr="00335C63" w14:paraId="4D5737E0" w14:textId="77777777" w:rsidTr="00997D20">
        <w:trPr>
          <w:cantSplit/>
          <w:jc w:val="center"/>
        </w:trPr>
        <w:tc>
          <w:tcPr>
            <w:tcW w:w="1846" w:type="pct"/>
            <w:tcMar>
              <w:top w:w="90" w:type="dxa"/>
              <w:left w:w="90" w:type="dxa"/>
              <w:bottom w:w="90" w:type="dxa"/>
              <w:right w:w="90" w:type="dxa"/>
            </w:tcMar>
            <w:vAlign w:val="center"/>
          </w:tcPr>
          <w:p w14:paraId="096605B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Treatment Difficulty</w:t>
            </w:r>
          </w:p>
        </w:tc>
        <w:tc>
          <w:tcPr>
            <w:tcW w:w="3154" w:type="pct"/>
            <w:tcMar>
              <w:top w:w="90" w:type="dxa"/>
              <w:left w:w="90" w:type="dxa"/>
              <w:bottom w:w="90" w:type="dxa"/>
              <w:right w:w="90" w:type="dxa"/>
            </w:tcMar>
            <w:vAlign w:val="center"/>
          </w:tcPr>
          <w:p w14:paraId="29F594B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Difficulty ranking, area/pest/team score table, recommended planning actions</w:t>
            </w:r>
          </w:p>
        </w:tc>
      </w:tr>
      <w:tr w:rsidR="0084730D" w:rsidRPr="00335C63" w14:paraId="07C4FA7D" w14:textId="77777777" w:rsidTr="00997D20">
        <w:trPr>
          <w:cantSplit/>
          <w:jc w:val="center"/>
        </w:trPr>
        <w:tc>
          <w:tcPr>
            <w:tcW w:w="1846" w:type="pct"/>
            <w:tcMar>
              <w:top w:w="90" w:type="dxa"/>
              <w:left w:w="90" w:type="dxa"/>
              <w:bottom w:w="90" w:type="dxa"/>
              <w:right w:w="90" w:type="dxa"/>
            </w:tcMar>
            <w:vAlign w:val="center"/>
          </w:tcPr>
          <w:p w14:paraId="26076ED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Warranty and Repeat Analysis</w:t>
            </w:r>
          </w:p>
        </w:tc>
        <w:tc>
          <w:tcPr>
            <w:tcW w:w="3154" w:type="pct"/>
            <w:tcMar>
              <w:top w:w="90" w:type="dxa"/>
              <w:left w:w="90" w:type="dxa"/>
              <w:bottom w:w="90" w:type="dxa"/>
              <w:right w:w="90" w:type="dxa"/>
            </w:tcMar>
            <w:vAlign w:val="center"/>
          </w:tcPr>
          <w:p w14:paraId="0633AEC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Warranty factors by area/pest/technician, review queue, repeat rate trends</w:t>
            </w:r>
          </w:p>
        </w:tc>
      </w:tr>
      <w:tr w:rsidR="0084730D" w:rsidRPr="00335C63" w14:paraId="77980829" w14:textId="77777777" w:rsidTr="00997D20">
        <w:trPr>
          <w:cantSplit/>
          <w:jc w:val="center"/>
        </w:trPr>
        <w:tc>
          <w:tcPr>
            <w:tcW w:w="1846" w:type="pct"/>
            <w:tcMar>
              <w:top w:w="90" w:type="dxa"/>
              <w:left w:w="90" w:type="dxa"/>
              <w:bottom w:w="90" w:type="dxa"/>
              <w:right w:w="90" w:type="dxa"/>
            </w:tcMar>
            <w:vAlign w:val="center"/>
          </w:tcPr>
          <w:p w14:paraId="2ACA39F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Recurrence and Hotspots</w:t>
            </w:r>
          </w:p>
        </w:tc>
        <w:tc>
          <w:tcPr>
            <w:tcW w:w="3154" w:type="pct"/>
            <w:tcMar>
              <w:top w:w="90" w:type="dxa"/>
              <w:left w:w="90" w:type="dxa"/>
              <w:bottom w:w="90" w:type="dxa"/>
              <w:right w:w="90" w:type="dxa"/>
            </w:tcMar>
            <w:vAlign w:val="center"/>
          </w:tcPr>
          <w:p w14:paraId="2B1FA20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Recurrence buckets, DBSCAN clusters, KDE map layer, cluster movement by period</w:t>
            </w:r>
          </w:p>
        </w:tc>
      </w:tr>
      <w:tr w:rsidR="0084730D" w:rsidRPr="00335C63" w14:paraId="3ACAAFC4" w14:textId="77777777" w:rsidTr="00997D20">
        <w:trPr>
          <w:cantSplit/>
          <w:jc w:val="center"/>
        </w:trPr>
        <w:tc>
          <w:tcPr>
            <w:tcW w:w="1846" w:type="pct"/>
            <w:tcMar>
              <w:top w:w="90" w:type="dxa"/>
              <w:left w:w="90" w:type="dxa"/>
              <w:bottom w:w="90" w:type="dxa"/>
              <w:right w:w="90" w:type="dxa"/>
            </w:tcMar>
            <w:vAlign w:val="center"/>
          </w:tcPr>
          <w:p w14:paraId="1E7E056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Upsell Intelligence</w:t>
            </w:r>
          </w:p>
        </w:tc>
        <w:tc>
          <w:tcPr>
            <w:tcW w:w="3154" w:type="pct"/>
            <w:tcMar>
              <w:top w:w="90" w:type="dxa"/>
              <w:left w:w="90" w:type="dxa"/>
              <w:bottom w:w="90" w:type="dxa"/>
              <w:right w:w="90" w:type="dxa"/>
            </w:tcMar>
            <w:vAlign w:val="center"/>
          </w:tcPr>
          <w:p w14:paraId="63A1371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Package effectiveness, package-fit matrix, window performance</w:t>
            </w:r>
          </w:p>
        </w:tc>
      </w:tr>
      <w:tr w:rsidR="0084730D" w:rsidRPr="00335C63" w14:paraId="488585C9" w14:textId="77777777" w:rsidTr="00997D20">
        <w:trPr>
          <w:cantSplit/>
          <w:jc w:val="center"/>
        </w:trPr>
        <w:tc>
          <w:tcPr>
            <w:tcW w:w="1846" w:type="pct"/>
            <w:tcMar>
              <w:top w:w="90" w:type="dxa"/>
              <w:left w:w="90" w:type="dxa"/>
              <w:bottom w:w="90" w:type="dxa"/>
              <w:right w:w="90" w:type="dxa"/>
            </w:tcMar>
            <w:vAlign w:val="center"/>
          </w:tcPr>
          <w:p w14:paraId="0CC5C03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Scheduling Capacity</w:t>
            </w:r>
          </w:p>
        </w:tc>
        <w:tc>
          <w:tcPr>
            <w:tcW w:w="3154" w:type="pct"/>
            <w:tcMar>
              <w:top w:w="90" w:type="dxa"/>
              <w:left w:w="90" w:type="dxa"/>
              <w:bottom w:w="90" w:type="dxa"/>
              <w:right w:w="90" w:type="dxa"/>
            </w:tcMar>
            <w:vAlign w:val="center"/>
          </w:tcPr>
          <w:p w14:paraId="196B681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Slots used, new/warranty/extra split, peak days/times, area density</w:t>
            </w:r>
          </w:p>
        </w:tc>
      </w:tr>
      <w:tr w:rsidR="0084730D" w:rsidRPr="00335C63" w14:paraId="3DAEA3F9" w14:textId="77777777" w:rsidTr="00997D20">
        <w:trPr>
          <w:cantSplit/>
          <w:jc w:val="center"/>
        </w:trPr>
        <w:tc>
          <w:tcPr>
            <w:tcW w:w="1846" w:type="pct"/>
            <w:tcMar>
              <w:top w:w="90" w:type="dxa"/>
              <w:left w:w="90" w:type="dxa"/>
              <w:bottom w:w="90" w:type="dxa"/>
              <w:right w:w="90" w:type="dxa"/>
            </w:tcMar>
            <w:vAlign w:val="center"/>
          </w:tcPr>
          <w:p w14:paraId="456A4FC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Refund Root Cause</w:t>
            </w:r>
          </w:p>
        </w:tc>
        <w:tc>
          <w:tcPr>
            <w:tcW w:w="3154" w:type="pct"/>
            <w:tcMar>
              <w:top w:w="90" w:type="dxa"/>
              <w:left w:w="90" w:type="dxa"/>
              <w:bottom w:w="90" w:type="dxa"/>
              <w:right w:w="90" w:type="dxa"/>
            </w:tcMar>
            <w:vAlign w:val="center"/>
          </w:tcPr>
          <w:p w14:paraId="1A83646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Refund categories, amount/rate by area, pest, technician, and source</w:t>
            </w:r>
          </w:p>
        </w:tc>
      </w:tr>
      <w:tr w:rsidR="0084730D" w:rsidRPr="00335C63" w14:paraId="16168B70" w14:textId="77777777" w:rsidTr="00997D20">
        <w:trPr>
          <w:cantSplit/>
          <w:jc w:val="center"/>
        </w:trPr>
        <w:tc>
          <w:tcPr>
            <w:tcW w:w="1846" w:type="pct"/>
            <w:tcMar>
              <w:top w:w="90" w:type="dxa"/>
              <w:left w:w="90" w:type="dxa"/>
              <w:bottom w:w="90" w:type="dxa"/>
              <w:right w:w="90" w:type="dxa"/>
            </w:tcMar>
            <w:vAlign w:val="center"/>
          </w:tcPr>
          <w:p w14:paraId="6FD54CE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Data Quality and Refresh</w:t>
            </w:r>
          </w:p>
        </w:tc>
        <w:tc>
          <w:tcPr>
            <w:tcW w:w="3154" w:type="pct"/>
            <w:tcMar>
              <w:top w:w="90" w:type="dxa"/>
              <w:left w:w="90" w:type="dxa"/>
              <w:bottom w:w="90" w:type="dxa"/>
              <w:right w:w="90" w:type="dxa"/>
            </w:tcMar>
            <w:vAlign w:val="center"/>
          </w:tcPr>
          <w:p w14:paraId="64F4957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Missing values, duplicates, invalid dates, match confidence, weather coverage, refresh status</w:t>
            </w:r>
          </w:p>
        </w:tc>
      </w:tr>
      <w:tr w:rsidR="0084730D" w:rsidRPr="00335C63" w14:paraId="20F4624B" w14:textId="77777777" w:rsidTr="00997D20">
        <w:trPr>
          <w:cantSplit/>
          <w:jc w:val="center"/>
        </w:trPr>
        <w:tc>
          <w:tcPr>
            <w:tcW w:w="1846" w:type="pct"/>
            <w:tcMar>
              <w:top w:w="90" w:type="dxa"/>
              <w:left w:w="90" w:type="dxa"/>
              <w:bottom w:w="90" w:type="dxa"/>
              <w:right w:w="90" w:type="dxa"/>
            </w:tcMar>
            <w:vAlign w:val="center"/>
          </w:tcPr>
          <w:p w14:paraId="79F00AA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Recommendation Log</w:t>
            </w:r>
          </w:p>
        </w:tc>
        <w:tc>
          <w:tcPr>
            <w:tcW w:w="3154" w:type="pct"/>
            <w:tcMar>
              <w:top w:w="90" w:type="dxa"/>
              <w:left w:w="90" w:type="dxa"/>
              <w:bottom w:w="90" w:type="dxa"/>
              <w:right w:w="90" w:type="dxa"/>
            </w:tcMar>
            <w:vAlign w:val="center"/>
          </w:tcPr>
          <w:p w14:paraId="08D6512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Suggested action, reason, review label, management response, and outcome tracking</w:t>
            </w:r>
          </w:p>
        </w:tc>
      </w:tr>
    </w:tbl>
    <w:p w14:paraId="5A6BAD43" w14:textId="77777777" w:rsidR="0084730D" w:rsidRPr="00335C63" w:rsidRDefault="0084730D" w:rsidP="000F4170">
      <w:pPr>
        <w:spacing w:line="360" w:lineRule="auto"/>
        <w:rPr>
          <w:rFonts w:ascii="Times New Roman" w:hAnsi="Times New Roman" w:cs="Times New Roman"/>
          <w:sz w:val="24"/>
          <w:szCs w:val="24"/>
        </w:rPr>
      </w:pPr>
    </w:p>
    <w:p w14:paraId="6FE2D142"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3.9 Data Governance and Privacy</w:t>
      </w:r>
    </w:p>
    <w:p w14:paraId="6B82BCB9"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The dashboard will separate internal operational data from academic/reporting views. Sensitive fields such as customer names, phone numbers, and full addresses will be available only where needed for internal matching. Management dashboards and academic outputs will use customer IDs, general area/postcode, pest type, service type, and aggregated metrics. Technician-related analytics will be framed as review indicators for quality improvement rather than blame or direct causation.</w:t>
      </w:r>
    </w:p>
    <w:p w14:paraId="1FFFF74C" w14:textId="77777777" w:rsidR="008D6A1A" w:rsidRPr="00335C63" w:rsidRDefault="008D6A1A" w:rsidP="008D6A1A">
      <w:pPr>
        <w:spacing w:line="360" w:lineRule="auto"/>
        <w:jc w:val="both"/>
        <w:rPr>
          <w:rFonts w:ascii="Times New Roman" w:hAnsi="Times New Roman" w:cs="Times New Roman"/>
          <w:sz w:val="24"/>
          <w:szCs w:val="24"/>
        </w:rPr>
      </w:pPr>
    </w:p>
    <w:p w14:paraId="118EE6D7"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 xml:space="preserve">The BigQuery model will support anonymised views for reporting. These views will remove or mask personally identifiable information while preserving the fields needed for analysis, </w:t>
      </w:r>
      <w:r w:rsidRPr="00335C63">
        <w:rPr>
          <w:rFonts w:ascii="Times New Roman" w:hAnsi="Times New Roman" w:cs="Times New Roman"/>
          <w:sz w:val="24"/>
          <w:szCs w:val="24"/>
        </w:rPr>
        <w:lastRenderedPageBreak/>
        <w:t>such as service date, area, pest type, package type, claim status, refund category, and difficulty level. This supports privacy, ethics, and company confidence in using the system.</w:t>
      </w:r>
    </w:p>
    <w:p w14:paraId="323A93A8"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3.10 AI Recommendation Extension</w:t>
      </w:r>
    </w:p>
    <w:p w14:paraId="0C3F6DCD" w14:textId="77777777" w:rsidR="0084730D"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A future enhancement will connect a local Ollama model to the analytics system. The recommended design is to keep the AI outside BigQuery and Superset as a local service. The Python backend or worker will retrieve relevant scores from BigQuery, pass structured context to Ollama, and store the generated recommendation text back into the recommendation log for dashboard display.</w:t>
      </w:r>
    </w:p>
    <w:p w14:paraId="6CB5F7D0" w14:textId="77777777" w:rsidR="008D6A1A" w:rsidRPr="00335C63" w:rsidRDefault="008D6A1A" w:rsidP="008D6A1A">
      <w:pPr>
        <w:spacing w:line="360" w:lineRule="auto"/>
        <w:jc w:val="both"/>
        <w:rPr>
          <w:rFonts w:ascii="Times New Roman" w:hAnsi="Times New Roman" w:cs="Times New Roman"/>
          <w:sz w:val="24"/>
          <w:szCs w:val="24"/>
        </w:rPr>
      </w:pPr>
    </w:p>
    <w:p w14:paraId="7863F5CF"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This design avoids external AI API cost and protects company data. The AI will explain analytics-backed recommendations such as assigning an experienced technician, scheduling a follow-up within a specific window, reviewing an area/premise condition, or recommending a package-fit upsell. It will not make final decisions or invent unsupported claims.</w:t>
      </w:r>
    </w:p>
    <w:p w14:paraId="2DDA0A13"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3.11 Computing Factors and Constraints</w:t>
      </w:r>
    </w:p>
    <w:tbl>
      <w:tblPr>
        <w:tblStyle w:val="TableGrid"/>
        <w:tblW w:w="5000" w:type="pct"/>
        <w:jc w:val="center"/>
        <w:tblLook w:val="04A0" w:firstRow="1" w:lastRow="0" w:firstColumn="1" w:lastColumn="0" w:noHBand="0" w:noVBand="1"/>
      </w:tblPr>
      <w:tblGrid>
        <w:gridCol w:w="2396"/>
        <w:gridCol w:w="2916"/>
        <w:gridCol w:w="3704"/>
      </w:tblGrid>
      <w:tr w:rsidR="0084730D" w:rsidRPr="00335C63" w14:paraId="351032DF" w14:textId="77777777" w:rsidTr="00997D20">
        <w:trPr>
          <w:cantSplit/>
          <w:tblHeader/>
          <w:jc w:val="center"/>
        </w:trPr>
        <w:tc>
          <w:tcPr>
            <w:tcW w:w="1329" w:type="pct"/>
            <w:shd w:val="clear" w:color="auto" w:fill="E8F1FA"/>
            <w:tcMar>
              <w:top w:w="90" w:type="dxa"/>
              <w:left w:w="90" w:type="dxa"/>
              <w:bottom w:w="90" w:type="dxa"/>
              <w:right w:w="90" w:type="dxa"/>
            </w:tcMar>
            <w:vAlign w:val="center"/>
          </w:tcPr>
          <w:p w14:paraId="20C148C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Factor</w:t>
            </w:r>
          </w:p>
        </w:tc>
        <w:tc>
          <w:tcPr>
            <w:tcW w:w="1617" w:type="pct"/>
            <w:shd w:val="clear" w:color="auto" w:fill="E8F1FA"/>
            <w:tcMar>
              <w:top w:w="90" w:type="dxa"/>
              <w:left w:w="90" w:type="dxa"/>
              <w:bottom w:w="90" w:type="dxa"/>
              <w:right w:w="90" w:type="dxa"/>
            </w:tcMar>
            <w:vAlign w:val="center"/>
          </w:tcPr>
          <w:p w14:paraId="3210E36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Consideration</w:t>
            </w:r>
          </w:p>
        </w:tc>
        <w:tc>
          <w:tcPr>
            <w:tcW w:w="2054" w:type="pct"/>
            <w:shd w:val="clear" w:color="auto" w:fill="E8F1FA"/>
            <w:tcMar>
              <w:top w:w="90" w:type="dxa"/>
              <w:left w:w="90" w:type="dxa"/>
              <w:bottom w:w="90" w:type="dxa"/>
              <w:right w:w="90" w:type="dxa"/>
            </w:tcMar>
            <w:vAlign w:val="center"/>
          </w:tcPr>
          <w:p w14:paraId="4CF02D8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Proposed Handling</w:t>
            </w:r>
          </w:p>
        </w:tc>
      </w:tr>
      <w:tr w:rsidR="0084730D" w:rsidRPr="00335C63" w14:paraId="1626AF4C" w14:textId="77777777" w:rsidTr="00997D20">
        <w:trPr>
          <w:cantSplit/>
          <w:jc w:val="center"/>
        </w:trPr>
        <w:tc>
          <w:tcPr>
            <w:tcW w:w="1329" w:type="pct"/>
            <w:tcMar>
              <w:top w:w="90" w:type="dxa"/>
              <w:left w:w="90" w:type="dxa"/>
              <w:bottom w:w="90" w:type="dxa"/>
              <w:right w:w="90" w:type="dxa"/>
            </w:tcMar>
            <w:vAlign w:val="center"/>
          </w:tcPr>
          <w:p w14:paraId="497C54C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Performance</w:t>
            </w:r>
          </w:p>
        </w:tc>
        <w:tc>
          <w:tcPr>
            <w:tcW w:w="1617" w:type="pct"/>
            <w:tcMar>
              <w:top w:w="90" w:type="dxa"/>
              <w:left w:w="90" w:type="dxa"/>
              <w:bottom w:w="90" w:type="dxa"/>
              <w:right w:w="90" w:type="dxa"/>
            </w:tcMar>
            <w:vAlign w:val="center"/>
          </w:tcPr>
          <w:p w14:paraId="41CD1FD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Dashboard queries should remain responsive</w:t>
            </w:r>
          </w:p>
        </w:tc>
        <w:tc>
          <w:tcPr>
            <w:tcW w:w="2054" w:type="pct"/>
            <w:tcMar>
              <w:top w:w="90" w:type="dxa"/>
              <w:left w:w="90" w:type="dxa"/>
              <w:bottom w:w="90" w:type="dxa"/>
              <w:right w:w="90" w:type="dxa"/>
            </w:tcMar>
            <w:vAlign w:val="center"/>
          </w:tcPr>
          <w:p w14:paraId="754C961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BigQuery marts and scheduled transformations rather than recalculating every chart live</w:t>
            </w:r>
          </w:p>
        </w:tc>
      </w:tr>
      <w:tr w:rsidR="0084730D" w:rsidRPr="00335C63" w14:paraId="150B7A0D" w14:textId="77777777" w:rsidTr="00997D20">
        <w:trPr>
          <w:cantSplit/>
          <w:jc w:val="center"/>
        </w:trPr>
        <w:tc>
          <w:tcPr>
            <w:tcW w:w="1329" w:type="pct"/>
            <w:tcMar>
              <w:top w:w="90" w:type="dxa"/>
              <w:left w:w="90" w:type="dxa"/>
              <w:bottom w:w="90" w:type="dxa"/>
              <w:right w:w="90" w:type="dxa"/>
            </w:tcMar>
            <w:vAlign w:val="center"/>
          </w:tcPr>
          <w:p w14:paraId="651FC04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Security and privacy</w:t>
            </w:r>
          </w:p>
        </w:tc>
        <w:tc>
          <w:tcPr>
            <w:tcW w:w="1617" w:type="pct"/>
            <w:tcMar>
              <w:top w:w="90" w:type="dxa"/>
              <w:left w:w="90" w:type="dxa"/>
              <w:bottom w:w="90" w:type="dxa"/>
              <w:right w:w="90" w:type="dxa"/>
            </w:tcMar>
            <w:vAlign w:val="center"/>
          </w:tcPr>
          <w:p w14:paraId="0E1FB96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Customer names, phone numbers, and locations are sensitive</w:t>
            </w:r>
          </w:p>
        </w:tc>
        <w:tc>
          <w:tcPr>
            <w:tcW w:w="2054" w:type="pct"/>
            <w:tcMar>
              <w:top w:w="90" w:type="dxa"/>
              <w:left w:w="90" w:type="dxa"/>
              <w:bottom w:w="90" w:type="dxa"/>
              <w:right w:w="90" w:type="dxa"/>
            </w:tcMar>
            <w:vAlign w:val="center"/>
          </w:tcPr>
          <w:p w14:paraId="7217C5C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access control, anonymised reports, customer IDs, and area/postcode-level coordinates</w:t>
            </w:r>
          </w:p>
        </w:tc>
      </w:tr>
      <w:tr w:rsidR="0084730D" w:rsidRPr="00335C63" w14:paraId="462B9C31" w14:textId="77777777" w:rsidTr="00997D20">
        <w:trPr>
          <w:cantSplit/>
          <w:jc w:val="center"/>
        </w:trPr>
        <w:tc>
          <w:tcPr>
            <w:tcW w:w="1329" w:type="pct"/>
            <w:tcMar>
              <w:top w:w="90" w:type="dxa"/>
              <w:left w:w="90" w:type="dxa"/>
              <w:bottom w:w="90" w:type="dxa"/>
              <w:right w:w="90" w:type="dxa"/>
            </w:tcMar>
            <w:vAlign w:val="center"/>
          </w:tcPr>
          <w:p w14:paraId="745609E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Ethics</w:t>
            </w:r>
          </w:p>
        </w:tc>
        <w:tc>
          <w:tcPr>
            <w:tcW w:w="1617" w:type="pct"/>
            <w:tcMar>
              <w:top w:w="90" w:type="dxa"/>
              <w:left w:w="90" w:type="dxa"/>
              <w:bottom w:w="90" w:type="dxa"/>
              <w:right w:w="90" w:type="dxa"/>
            </w:tcMar>
            <w:vAlign w:val="center"/>
          </w:tcPr>
          <w:p w14:paraId="23C5EFA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Technician and weather analysis can be misread as blame or causation</w:t>
            </w:r>
          </w:p>
        </w:tc>
        <w:tc>
          <w:tcPr>
            <w:tcW w:w="2054" w:type="pct"/>
            <w:tcMar>
              <w:top w:w="90" w:type="dxa"/>
              <w:left w:w="90" w:type="dxa"/>
              <w:bottom w:w="90" w:type="dxa"/>
              <w:right w:w="90" w:type="dxa"/>
            </w:tcMar>
            <w:vAlign w:val="center"/>
          </w:tcPr>
          <w:p w14:paraId="7B88B24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wording such as review indicator, associated factor, and requires manual review</w:t>
            </w:r>
          </w:p>
        </w:tc>
      </w:tr>
      <w:tr w:rsidR="0084730D" w:rsidRPr="00335C63" w14:paraId="7AEDD6A8" w14:textId="77777777" w:rsidTr="00997D20">
        <w:trPr>
          <w:cantSplit/>
          <w:jc w:val="center"/>
        </w:trPr>
        <w:tc>
          <w:tcPr>
            <w:tcW w:w="1329" w:type="pct"/>
            <w:tcMar>
              <w:top w:w="90" w:type="dxa"/>
              <w:left w:w="90" w:type="dxa"/>
              <w:bottom w:w="90" w:type="dxa"/>
              <w:right w:w="90" w:type="dxa"/>
            </w:tcMar>
            <w:vAlign w:val="center"/>
          </w:tcPr>
          <w:p w14:paraId="1213D45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Usability</w:t>
            </w:r>
          </w:p>
        </w:tc>
        <w:tc>
          <w:tcPr>
            <w:tcW w:w="1617" w:type="pct"/>
            <w:tcMar>
              <w:top w:w="90" w:type="dxa"/>
              <w:left w:w="90" w:type="dxa"/>
              <w:bottom w:w="90" w:type="dxa"/>
              <w:right w:w="90" w:type="dxa"/>
            </w:tcMar>
            <w:vAlign w:val="center"/>
          </w:tcPr>
          <w:p w14:paraId="1DC63E4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Management needs quick insights, not technical complexity</w:t>
            </w:r>
          </w:p>
        </w:tc>
        <w:tc>
          <w:tcPr>
            <w:tcW w:w="2054" w:type="pct"/>
            <w:tcMar>
              <w:top w:w="90" w:type="dxa"/>
              <w:left w:w="90" w:type="dxa"/>
              <w:bottom w:w="90" w:type="dxa"/>
              <w:right w:w="90" w:type="dxa"/>
            </w:tcMar>
            <w:vAlign w:val="center"/>
          </w:tcPr>
          <w:p w14:paraId="59505C3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KPI cards, maps, filters, ranking tables, and short recommendations</w:t>
            </w:r>
          </w:p>
        </w:tc>
      </w:tr>
      <w:tr w:rsidR="0084730D" w:rsidRPr="00335C63" w14:paraId="1FA59F49" w14:textId="77777777" w:rsidTr="00997D20">
        <w:trPr>
          <w:cantSplit/>
          <w:jc w:val="center"/>
        </w:trPr>
        <w:tc>
          <w:tcPr>
            <w:tcW w:w="1329" w:type="pct"/>
            <w:tcMar>
              <w:top w:w="90" w:type="dxa"/>
              <w:left w:w="90" w:type="dxa"/>
              <w:bottom w:w="90" w:type="dxa"/>
              <w:right w:w="90" w:type="dxa"/>
            </w:tcMar>
            <w:vAlign w:val="center"/>
          </w:tcPr>
          <w:p w14:paraId="1150EBD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Data quality</w:t>
            </w:r>
          </w:p>
        </w:tc>
        <w:tc>
          <w:tcPr>
            <w:tcW w:w="1617" w:type="pct"/>
            <w:tcMar>
              <w:top w:w="90" w:type="dxa"/>
              <w:left w:w="90" w:type="dxa"/>
              <w:bottom w:w="90" w:type="dxa"/>
              <w:right w:w="90" w:type="dxa"/>
            </w:tcMar>
            <w:vAlign w:val="center"/>
          </w:tcPr>
          <w:p w14:paraId="68742D8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Sheets may contain duplicates, missing fields, inconsistent labels</w:t>
            </w:r>
          </w:p>
        </w:tc>
        <w:tc>
          <w:tcPr>
            <w:tcW w:w="2054" w:type="pct"/>
            <w:tcMar>
              <w:top w:w="90" w:type="dxa"/>
              <w:left w:w="90" w:type="dxa"/>
              <w:bottom w:w="90" w:type="dxa"/>
              <w:right w:w="90" w:type="dxa"/>
            </w:tcMar>
            <w:vAlign w:val="center"/>
          </w:tcPr>
          <w:p w14:paraId="4C02B9F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Create cleaning rules, validation reports, unmatched-record logs, and data quality dashboard</w:t>
            </w:r>
          </w:p>
        </w:tc>
      </w:tr>
      <w:tr w:rsidR="0084730D" w:rsidRPr="00335C63" w14:paraId="4BBD24DE" w14:textId="77777777" w:rsidTr="00997D20">
        <w:trPr>
          <w:cantSplit/>
          <w:jc w:val="center"/>
        </w:trPr>
        <w:tc>
          <w:tcPr>
            <w:tcW w:w="1329" w:type="pct"/>
            <w:tcMar>
              <w:top w:w="90" w:type="dxa"/>
              <w:left w:w="90" w:type="dxa"/>
              <w:bottom w:w="90" w:type="dxa"/>
              <w:right w:w="90" w:type="dxa"/>
            </w:tcMar>
            <w:vAlign w:val="center"/>
          </w:tcPr>
          <w:p w14:paraId="2FDC89D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Refresh reliability</w:t>
            </w:r>
          </w:p>
        </w:tc>
        <w:tc>
          <w:tcPr>
            <w:tcW w:w="1617" w:type="pct"/>
            <w:tcMar>
              <w:top w:w="90" w:type="dxa"/>
              <w:left w:w="90" w:type="dxa"/>
              <w:bottom w:w="90" w:type="dxa"/>
              <w:right w:w="90" w:type="dxa"/>
            </w:tcMar>
            <w:vAlign w:val="center"/>
          </w:tcPr>
          <w:p w14:paraId="3AA0BA2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Company data changes over time</w:t>
            </w:r>
          </w:p>
        </w:tc>
        <w:tc>
          <w:tcPr>
            <w:tcW w:w="2054" w:type="pct"/>
            <w:tcMar>
              <w:top w:w="90" w:type="dxa"/>
              <w:left w:w="90" w:type="dxa"/>
              <w:bottom w:w="90" w:type="dxa"/>
              <w:right w:w="90" w:type="dxa"/>
            </w:tcMar>
            <w:vAlign w:val="center"/>
          </w:tcPr>
          <w:p w14:paraId="4313053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scheduled ETL/queries and show last refresh time and failed refresh status</w:t>
            </w:r>
          </w:p>
        </w:tc>
      </w:tr>
      <w:tr w:rsidR="0084730D" w:rsidRPr="00335C63" w14:paraId="78C66A90" w14:textId="77777777" w:rsidTr="00997D20">
        <w:trPr>
          <w:cantSplit/>
          <w:jc w:val="center"/>
        </w:trPr>
        <w:tc>
          <w:tcPr>
            <w:tcW w:w="1329" w:type="pct"/>
            <w:tcMar>
              <w:top w:w="90" w:type="dxa"/>
              <w:left w:w="90" w:type="dxa"/>
              <w:bottom w:w="90" w:type="dxa"/>
              <w:right w:w="90" w:type="dxa"/>
            </w:tcMar>
            <w:vAlign w:val="center"/>
          </w:tcPr>
          <w:p w14:paraId="323C307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Cost</w:t>
            </w:r>
          </w:p>
        </w:tc>
        <w:tc>
          <w:tcPr>
            <w:tcW w:w="1617" w:type="pct"/>
            <w:tcMar>
              <w:top w:w="90" w:type="dxa"/>
              <w:left w:w="90" w:type="dxa"/>
              <w:bottom w:w="90" w:type="dxa"/>
              <w:right w:w="90" w:type="dxa"/>
            </w:tcMar>
            <w:vAlign w:val="center"/>
          </w:tcPr>
          <w:p w14:paraId="4A1C1A9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Company prefers low-cost tools</w:t>
            </w:r>
          </w:p>
        </w:tc>
        <w:tc>
          <w:tcPr>
            <w:tcW w:w="2054" w:type="pct"/>
            <w:tcMar>
              <w:top w:w="90" w:type="dxa"/>
              <w:left w:w="90" w:type="dxa"/>
              <w:bottom w:w="90" w:type="dxa"/>
              <w:right w:w="90" w:type="dxa"/>
            </w:tcMar>
            <w:vAlign w:val="center"/>
          </w:tcPr>
          <w:p w14:paraId="33344EF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BigQuery within free/low usage limits, Superset open source, Open-Meteo, and local Ollama later</w:t>
            </w:r>
          </w:p>
        </w:tc>
      </w:tr>
      <w:tr w:rsidR="0084730D" w:rsidRPr="00335C63" w14:paraId="655087AE" w14:textId="77777777" w:rsidTr="00997D20">
        <w:trPr>
          <w:cantSplit/>
          <w:jc w:val="center"/>
        </w:trPr>
        <w:tc>
          <w:tcPr>
            <w:tcW w:w="1329" w:type="pct"/>
            <w:tcMar>
              <w:top w:w="90" w:type="dxa"/>
              <w:left w:w="90" w:type="dxa"/>
              <w:bottom w:w="90" w:type="dxa"/>
              <w:right w:w="90" w:type="dxa"/>
            </w:tcMar>
            <w:vAlign w:val="center"/>
          </w:tcPr>
          <w:p w14:paraId="6EF31AC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Model reliability</w:t>
            </w:r>
          </w:p>
        </w:tc>
        <w:tc>
          <w:tcPr>
            <w:tcW w:w="1617" w:type="pct"/>
            <w:tcMar>
              <w:top w:w="90" w:type="dxa"/>
              <w:left w:w="90" w:type="dxa"/>
              <w:bottom w:w="90" w:type="dxa"/>
              <w:right w:w="90" w:type="dxa"/>
            </w:tcMar>
            <w:vAlign w:val="center"/>
          </w:tcPr>
          <w:p w14:paraId="7F57704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Warranty dataset is limited</w:t>
            </w:r>
          </w:p>
        </w:tc>
        <w:tc>
          <w:tcPr>
            <w:tcW w:w="2054" w:type="pct"/>
            <w:tcMar>
              <w:top w:w="90" w:type="dxa"/>
              <w:left w:w="90" w:type="dxa"/>
              <w:bottom w:w="90" w:type="dxa"/>
              <w:right w:w="90" w:type="dxa"/>
            </w:tcMar>
            <w:vAlign w:val="center"/>
          </w:tcPr>
          <w:p w14:paraId="587A425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Prefer explainable scoring and simple statistical methods before complex ML</w:t>
            </w:r>
          </w:p>
        </w:tc>
      </w:tr>
      <w:tr>
        <w:tc>
          <w:tcPr>
            <w:tcW w:type="dxa" w:w="2396"/>
          </w:tcPr>
          <w:p>
            <w:r>
              <w:t>Pipeline complexity</w:t>
            </w:r>
          </w:p>
        </w:tc>
        <w:tc>
          <w:tcPr>
            <w:tcW w:type="dxa" w:w="2916"/>
          </w:tcPr>
          <w:p>
            <w:r>
              <w:t>Airflow and dbt add setup effort compared with a simple script</w:t>
            </w:r>
          </w:p>
        </w:tc>
        <w:tc>
          <w:tcPr>
            <w:tcW w:type="dxa" w:w="3704"/>
          </w:tcPr>
          <w:p>
            <w:r>
              <w:t>Keep the DAG small, use batch refresh, document fallback manual runs, and prioritise core tables first</w:t>
            </w:r>
          </w:p>
        </w:tc>
      </w:tr>
      <w:tr>
        <w:tc>
          <w:tcPr>
            <w:tcW w:type="dxa" w:w="2396"/>
          </w:tcPr>
          <w:p>
            <w:r>
              <w:t>Schema flexibility</w:t>
            </w:r>
          </w:p>
        </w:tc>
        <w:tc>
          <w:tcPr>
            <w:tcW w:type="dxa" w:w="2916"/>
          </w:tcPr>
          <w:p>
            <w:r>
              <w:t>Company sheets may change column names or contain messy formats</w:t>
            </w:r>
          </w:p>
        </w:tc>
        <w:tc>
          <w:tcPr>
            <w:tcW w:type="dxa" w:w="3704"/>
          </w:tcPr>
          <w:p>
            <w:r>
              <w:t>Use flexible data contracts, alias mapping, validation flags, and source-level quality status</w:t>
            </w:r>
          </w:p>
        </w:tc>
      </w:tr>
    </w:tbl>
    <w:p w14:paraId="5D720A42" w14:textId="77777777" w:rsidR="0084730D" w:rsidRPr="00335C63" w:rsidRDefault="0084730D" w:rsidP="000F4170">
      <w:pPr>
        <w:spacing w:line="360" w:lineRule="auto"/>
        <w:rPr>
          <w:rFonts w:ascii="Times New Roman" w:hAnsi="Times New Roman" w:cs="Times New Roman"/>
          <w:sz w:val="24"/>
          <w:szCs w:val="24"/>
        </w:rPr>
      </w:pPr>
    </w:p>
    <w:p w14:paraId="7B005CF7" w14:textId="77777777" w:rsidR="0084730D" w:rsidRPr="00335C63" w:rsidRDefault="00357319" w:rsidP="000F4170">
      <w:pPr>
        <w:pStyle w:val="Heading2"/>
        <w:spacing w:line="360" w:lineRule="auto"/>
        <w:rPr>
          <w:rFonts w:ascii="Times New Roman" w:hAnsi="Times New Roman" w:cs="Times New Roman"/>
          <w:sz w:val="24"/>
          <w:szCs w:val="24"/>
        </w:rPr>
      </w:pPr>
      <w:r w:rsidRPr="00335C63">
        <w:rPr>
          <w:rFonts w:ascii="Times New Roman" w:hAnsi="Times New Roman" w:cs="Times New Roman"/>
          <w:sz w:val="24"/>
          <w:szCs w:val="24"/>
        </w:rPr>
        <w:t>3.12 Evaluation Plan</w:t>
      </w:r>
    </w:p>
    <w:p w14:paraId="57FB6B83"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Functional testing: verify data upload/sync, cleaning outputs, BigQuery table creation, and dashboard refresh.</w:t>
      </w:r>
    </w:p>
    <w:p w14:paraId="63585D20"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Data quality testing: verify missing-value summaries, duplicate counts, invalid-date flags, unmatched-customer logs, coordinate match confidence, weather coverage, and calendar matching confidence.</w:t>
      </w:r>
    </w:p>
    <w:p w14:paraId="4FF97AFA"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Refresh testing: confirm scheduled ETL or BigQuery scheduled queries update marts and show last refresh status.</w:t>
      </w:r>
    </w:p>
    <w:p w14:paraId="30EFA74E"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Analytics validation: compare selected dashboard metrics against manual spreadsheet calculations.</w:t>
      </w:r>
    </w:p>
    <w:p w14:paraId="74F2370C"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Usability testing: ask management or operations users to complete business questions using the dashboard.</w:t>
      </w:r>
    </w:p>
    <w:p w14:paraId="0B36ADCA"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Privacy testing: confirm anonymised views remove customer names, phone numbers, and full address fields from academic/reporting outputs.</w:t>
      </w:r>
    </w:p>
    <w:p w14:paraId="4BB5DD8C"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Recommendation testing: verify recommendation log fields are generated and that management response/outcome can be tracked.</w:t>
      </w:r>
    </w:p>
    <w:p w14:paraId="1B01226C"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lastRenderedPageBreak/>
        <w:t>Insight usefulness: collect feedback on whether area risk, recurrence, treatment difficulty, and upsell outputs are actionable.</w:t>
      </w:r>
    </w:p>
    <w:p w14:paraId="1592458E" w14:textId="77777777" w:rsidR="0084730D" w:rsidRPr="00335C63" w:rsidRDefault="00357319" w:rsidP="008D6A1A">
      <w:pPr>
        <w:pStyle w:val="ListBullet"/>
        <w:spacing w:after="60" w:line="360" w:lineRule="auto"/>
        <w:jc w:val="both"/>
        <w:rPr>
          <w:rFonts w:ascii="Times New Roman" w:hAnsi="Times New Roman" w:cs="Times New Roman"/>
          <w:sz w:val="24"/>
          <w:szCs w:val="24"/>
        </w:rPr>
      </w:pPr>
      <w:r w:rsidRPr="00335C63">
        <w:rPr>
          <w:rFonts w:ascii="Times New Roman" w:hAnsi="Times New Roman" w:cs="Times New Roman"/>
          <w:sz w:val="24"/>
          <w:szCs w:val="24"/>
        </w:rPr>
        <w:t>Method review: confirm that weather and technician analysis is framed as association/review indicator, not direct blame or causation.</w:t>
      </w:r>
    </w:p>
    <w:p w14:paraId="27831488" w14:textId="77777777" w:rsidR="0084730D" w:rsidRPr="00335C63" w:rsidRDefault="00357319" w:rsidP="000F4170">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t>Chapter 4: Work Plan and Timeline</w:t>
      </w:r>
    </w:p>
    <w:p w14:paraId="6AB764DE" w14:textId="77777777" w:rsidR="0084730D" w:rsidRPr="00335C63" w:rsidRDefault="00357319" w:rsidP="008D6A1A">
      <w:pPr>
        <w:spacing w:line="360" w:lineRule="auto"/>
        <w:jc w:val="both"/>
        <w:rPr>
          <w:rFonts w:ascii="Times New Roman" w:hAnsi="Times New Roman" w:cs="Times New Roman"/>
          <w:sz w:val="24"/>
          <w:szCs w:val="24"/>
        </w:rPr>
      </w:pPr>
      <w:r w:rsidRPr="00335C63">
        <w:rPr>
          <w:rFonts w:ascii="Times New Roman" w:hAnsi="Times New Roman" w:cs="Times New Roman"/>
          <w:sz w:val="24"/>
          <w:szCs w:val="24"/>
        </w:rPr>
        <w:t>The project will be completed in iterative stages. The timeline below assumes a 14-week capstone implementation period after proposal approval. Activities are arranged to reduce risk: data understanding and warehouse design come first, then analytics logic, then dashboards, then evaluation.</w:t>
      </w:r>
    </w:p>
    <w:p w14:paraId="3B81EFF3" w14:textId="77777777" w:rsidR="00984EB3" w:rsidRDefault="003C0C08">
      <w:pPr>
        <w:pStyle w:val="Heading2"/>
      </w:pPr>
      <w:r>
        <w:t>4.1 Proposed CP1 Gantt Chart</w:t>
      </w:r>
    </w:p>
    <w:p w14:paraId="02DF1F70" w14:textId="77777777" w:rsidR="00984EB3" w:rsidRPr="008D6A1A" w:rsidRDefault="003C0C08" w:rsidP="008D6A1A">
      <w:pPr>
        <w:spacing w:line="360" w:lineRule="auto"/>
        <w:jc w:val="both"/>
        <w:rPr>
          <w:rFonts w:ascii="Times New Roman" w:hAnsi="Times New Roman" w:cs="Times New Roman"/>
          <w:sz w:val="24"/>
          <w:szCs w:val="24"/>
        </w:rPr>
      </w:pPr>
      <w:r w:rsidRPr="008D6A1A">
        <w:rPr>
          <w:rFonts w:ascii="Times New Roman" w:hAnsi="Times New Roman" w:cs="Times New Roman"/>
          <w:sz w:val="24"/>
          <w:szCs w:val="24"/>
        </w:rPr>
        <w:t>The Gantt chart below summarises the proposed CP1 planning timeline. It focuses on proposal preparation, literature review, methodology design, data understanding, architecture planning, and report finalisation. System implementation, dashboard development, and company evaluation will continue in CP2.</w:t>
      </w:r>
    </w:p>
    <w:p w14:paraId="44C5BD37" w14:textId="77777777" w:rsidR="00984EB3" w:rsidRDefault="00984EB3">
      <w:pPr>
        <w:jc w:val="center"/>
      </w:pPr>
    </w:p>
    <w:p w14:paraId="70F8C34B" w14:textId="77777777" w:rsidR="00984EB3" w:rsidRDefault="003C0C08">
      <w:pPr>
        <w:jc w:val="center"/>
      </w:pPr>
      <w:r>
        <w:rPr>
          <w:i/>
          <w:sz w:val="21"/>
        </w:rPr>
        <w:t>Figure 4.1: Proposed Gantt chart for Capstone Project 1 planning activities.</w:t>
      </w:r>
    </w:p>
    <w:tbl>
      <w:tblPr>
        <w:tblStyle w:val="TableGrid"/>
        <w:tblW w:w="5000" w:type="pct"/>
        <w:jc w:val="center"/>
        <w:tblLook w:val="04A0" w:firstRow="1" w:lastRow="0" w:firstColumn="1" w:lastColumn="0" w:noHBand="0" w:noVBand="1"/>
      </w:tblPr>
      <w:tblGrid>
        <w:gridCol w:w="1272"/>
        <w:gridCol w:w="4320"/>
        <w:gridCol w:w="3424"/>
      </w:tblGrid>
      <w:tr w:rsidR="0084730D" w:rsidRPr="00335C63" w14:paraId="668D683E" w14:textId="77777777" w:rsidTr="00997D20">
        <w:trPr>
          <w:cantSplit/>
          <w:tblHeader/>
          <w:jc w:val="center"/>
        </w:trPr>
        <w:tc>
          <w:tcPr>
            <w:tcW w:w="705" w:type="pct"/>
            <w:shd w:val="clear" w:color="auto" w:fill="E8F1FA"/>
            <w:tcMar>
              <w:top w:w="90" w:type="dxa"/>
              <w:left w:w="90" w:type="dxa"/>
              <w:bottom w:w="90" w:type="dxa"/>
              <w:right w:w="90" w:type="dxa"/>
            </w:tcMar>
            <w:vAlign w:val="center"/>
          </w:tcPr>
          <w:p w14:paraId="18A5931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Week</w:t>
            </w:r>
          </w:p>
        </w:tc>
        <w:tc>
          <w:tcPr>
            <w:tcW w:w="2396" w:type="pct"/>
            <w:shd w:val="clear" w:color="auto" w:fill="E8F1FA"/>
            <w:tcMar>
              <w:top w:w="90" w:type="dxa"/>
              <w:left w:w="90" w:type="dxa"/>
              <w:bottom w:w="90" w:type="dxa"/>
              <w:right w:w="90" w:type="dxa"/>
            </w:tcMar>
            <w:vAlign w:val="center"/>
          </w:tcPr>
          <w:p w14:paraId="23085ED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Work Package</w:t>
            </w:r>
          </w:p>
        </w:tc>
        <w:tc>
          <w:tcPr>
            <w:tcW w:w="1899" w:type="pct"/>
            <w:shd w:val="clear" w:color="auto" w:fill="E8F1FA"/>
            <w:tcMar>
              <w:top w:w="90" w:type="dxa"/>
              <w:left w:w="90" w:type="dxa"/>
              <w:bottom w:w="90" w:type="dxa"/>
              <w:right w:w="90" w:type="dxa"/>
            </w:tcMar>
            <w:vAlign w:val="center"/>
          </w:tcPr>
          <w:p w14:paraId="132AA87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Deliverable</w:t>
            </w:r>
          </w:p>
        </w:tc>
      </w:tr>
      <w:tr w:rsidR="0084730D" w:rsidRPr="00335C63" w14:paraId="3CF9FA36" w14:textId="77777777" w:rsidTr="00997D20">
        <w:trPr>
          <w:cantSplit/>
          <w:jc w:val="center"/>
        </w:trPr>
        <w:tc>
          <w:tcPr>
            <w:tcW w:w="705" w:type="pct"/>
            <w:tcMar>
              <w:top w:w="90" w:type="dxa"/>
              <w:left w:w="90" w:type="dxa"/>
              <w:bottom w:w="90" w:type="dxa"/>
              <w:right w:w="90" w:type="dxa"/>
            </w:tcMar>
            <w:vAlign w:val="center"/>
          </w:tcPr>
          <w:p w14:paraId="59E5074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1</w:t>
            </w:r>
          </w:p>
        </w:tc>
        <w:tc>
          <w:tcPr>
            <w:tcW w:w="2396" w:type="pct"/>
            <w:tcMar>
              <w:top w:w="90" w:type="dxa"/>
              <w:left w:w="90" w:type="dxa"/>
              <w:bottom w:w="90" w:type="dxa"/>
              <w:right w:w="90" w:type="dxa"/>
            </w:tcMar>
            <w:vAlign w:val="center"/>
          </w:tcPr>
          <w:p w14:paraId="42546F0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Confirm scope, finalise data sources, review rubric and supervisor feedback</w:t>
            </w:r>
          </w:p>
        </w:tc>
        <w:tc>
          <w:tcPr>
            <w:tcW w:w="1899" w:type="pct"/>
            <w:tcMar>
              <w:top w:w="90" w:type="dxa"/>
              <w:left w:w="90" w:type="dxa"/>
              <w:bottom w:w="90" w:type="dxa"/>
              <w:right w:w="90" w:type="dxa"/>
            </w:tcMar>
            <w:vAlign w:val="center"/>
          </w:tcPr>
          <w:p w14:paraId="3C3449A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Approved project scope and data access checklist</w:t>
            </w:r>
          </w:p>
        </w:tc>
      </w:tr>
      <w:tr w:rsidR="0084730D" w:rsidRPr="00335C63" w14:paraId="3523C36E" w14:textId="77777777" w:rsidTr="00997D20">
        <w:trPr>
          <w:cantSplit/>
          <w:jc w:val="center"/>
        </w:trPr>
        <w:tc>
          <w:tcPr>
            <w:tcW w:w="705" w:type="pct"/>
            <w:tcMar>
              <w:top w:w="90" w:type="dxa"/>
              <w:left w:w="90" w:type="dxa"/>
              <w:bottom w:w="90" w:type="dxa"/>
              <w:right w:w="90" w:type="dxa"/>
            </w:tcMar>
            <w:vAlign w:val="center"/>
          </w:tcPr>
          <w:p w14:paraId="5D00B71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2</w:t>
            </w:r>
          </w:p>
        </w:tc>
        <w:tc>
          <w:tcPr>
            <w:tcW w:w="2396" w:type="pct"/>
            <w:tcMar>
              <w:top w:w="90" w:type="dxa"/>
              <w:left w:w="90" w:type="dxa"/>
              <w:bottom w:w="90" w:type="dxa"/>
              <w:right w:w="90" w:type="dxa"/>
            </w:tcMar>
            <w:vAlign w:val="center"/>
          </w:tcPr>
          <w:p w14:paraId="7F7CE68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Data profiling for Google Sheets, warranty records, refunds, services, payments, and calendar exports</w:t>
            </w:r>
          </w:p>
        </w:tc>
        <w:tc>
          <w:tcPr>
            <w:tcW w:w="1899" w:type="pct"/>
            <w:tcMar>
              <w:top w:w="90" w:type="dxa"/>
              <w:left w:w="90" w:type="dxa"/>
              <w:bottom w:w="90" w:type="dxa"/>
              <w:right w:w="90" w:type="dxa"/>
            </w:tcMar>
            <w:vAlign w:val="center"/>
          </w:tcPr>
          <w:p w14:paraId="75A424C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Data quality report</w:t>
            </w:r>
          </w:p>
        </w:tc>
      </w:tr>
      <w:tr w:rsidR="0084730D" w:rsidRPr="00335C63" w14:paraId="51032CF8" w14:textId="77777777" w:rsidTr="00997D20">
        <w:trPr>
          <w:cantSplit/>
          <w:jc w:val="center"/>
        </w:trPr>
        <w:tc>
          <w:tcPr>
            <w:tcW w:w="705" w:type="pct"/>
            <w:tcMar>
              <w:top w:w="90" w:type="dxa"/>
              <w:left w:w="90" w:type="dxa"/>
              <w:bottom w:w="90" w:type="dxa"/>
              <w:right w:w="90" w:type="dxa"/>
            </w:tcMar>
            <w:vAlign w:val="center"/>
          </w:tcPr>
          <w:p>
            <w:r>
              <w:t>3</w:t>
            </w:r>
          </w:p>
        </w:tc>
        <w:tc>
          <w:tcPr>
            <w:tcW w:w="2396" w:type="pct"/>
            <w:tcMar>
              <w:top w:w="90" w:type="dxa"/>
              <w:left w:w="90" w:type="dxa"/>
              <w:bottom w:w="90" w:type="dxa"/>
              <w:right w:w="90" w:type="dxa"/>
            </w:tcMar>
            <w:vAlign w:val="center"/>
          </w:tcPr>
          <w:p>
            <w:r>
              <w:t>Design Bronze/Silver/Gold BigQuery warehouse, dbt model layers, table relationships, matching keys, anonymised views, and recommendation log</w:t>
            </w:r>
          </w:p>
        </w:tc>
        <w:tc>
          <w:tcPr>
            <w:tcW w:w="1899" w:type="pct"/>
            <w:tcMar>
              <w:top w:w="90" w:type="dxa"/>
              <w:left w:w="90" w:type="dxa"/>
              <w:bottom w:w="90" w:type="dxa"/>
              <w:right w:w="90" w:type="dxa"/>
            </w:tcMar>
            <w:vAlign w:val="center"/>
          </w:tcPr>
          <w:p>
            <w:r>
              <w:t>Warehouse and dbt design document</w:t>
            </w:r>
          </w:p>
        </w:tc>
      </w:tr>
      <w:tr w:rsidR="0084730D" w:rsidRPr="00335C63" w14:paraId="6F1D6434" w14:textId="77777777" w:rsidTr="00997D20">
        <w:trPr>
          <w:cantSplit/>
          <w:jc w:val="center"/>
        </w:trPr>
        <w:tc>
          <w:tcPr>
            <w:tcW w:w="705" w:type="pct"/>
            <w:tcMar>
              <w:top w:w="90" w:type="dxa"/>
              <w:left w:w="90" w:type="dxa"/>
              <w:bottom w:w="90" w:type="dxa"/>
              <w:right w:w="90" w:type="dxa"/>
            </w:tcMar>
            <w:vAlign w:val="center"/>
          </w:tcPr>
          <w:p>
            <w:r>
              <w:t>4</w:t>
            </w:r>
          </w:p>
        </w:tc>
        <w:tc>
          <w:tcPr>
            <w:tcW w:w="2396" w:type="pct"/>
            <w:tcMar>
              <w:top w:w="90" w:type="dxa"/>
              <w:left w:w="90" w:type="dxa"/>
              <w:bottom w:w="90" w:type="dxa"/>
              <w:right w:w="90" w:type="dxa"/>
            </w:tcMar>
            <w:vAlign w:val="center"/>
          </w:tcPr>
          <w:p>
            <w:r>
              <w:t>Build Python extraction/load scripts, flexible data contracts, validation flags, and Bronze raw loading</w:t>
            </w:r>
          </w:p>
        </w:tc>
        <w:tc>
          <w:tcPr>
            <w:tcW w:w="1899" w:type="pct"/>
            <w:tcMar>
              <w:top w:w="90" w:type="dxa"/>
              <w:left w:w="90" w:type="dxa"/>
              <w:bottom w:w="90" w:type="dxa"/>
              <w:right w:w="90" w:type="dxa"/>
            </w:tcMar>
            <w:vAlign w:val="center"/>
          </w:tcPr>
          <w:p>
            <w:r>
              <w:t>Bronze loading pipeline and source quality report</w:t>
            </w:r>
          </w:p>
        </w:tc>
      </w:tr>
      <w:tr w:rsidR="0084730D" w:rsidRPr="00335C63" w14:paraId="6E08B66A" w14:textId="77777777" w:rsidTr="00997D20">
        <w:trPr>
          <w:cantSplit/>
          <w:jc w:val="center"/>
        </w:trPr>
        <w:tc>
          <w:tcPr>
            <w:tcW w:w="705" w:type="pct"/>
            <w:tcMar>
              <w:top w:w="90" w:type="dxa"/>
              <w:left w:w="90" w:type="dxa"/>
              <w:bottom w:w="90" w:type="dxa"/>
              <w:right w:w="90" w:type="dxa"/>
            </w:tcMar>
            <w:vAlign w:val="center"/>
          </w:tcPr>
          <w:p w14:paraId="559A1B3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5</w:t>
            </w:r>
          </w:p>
        </w:tc>
        <w:tc>
          <w:tcPr>
            <w:tcW w:w="2396" w:type="pct"/>
            <w:tcMar>
              <w:top w:w="90" w:type="dxa"/>
              <w:left w:w="90" w:type="dxa"/>
              <w:bottom w:w="90" w:type="dxa"/>
              <w:right w:w="90" w:type="dxa"/>
            </w:tcMar>
            <w:vAlign w:val="center"/>
          </w:tcPr>
          <w:p w14:paraId="1412343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Implement area/postcode lookup, weather enrichment features, and weather coverage reporting</w:t>
            </w:r>
          </w:p>
        </w:tc>
        <w:tc>
          <w:tcPr>
            <w:tcW w:w="1899" w:type="pct"/>
            <w:tcMar>
              <w:top w:w="90" w:type="dxa"/>
              <w:left w:w="90" w:type="dxa"/>
              <w:bottom w:w="90" w:type="dxa"/>
              <w:right w:w="90" w:type="dxa"/>
            </w:tcMar>
            <w:vAlign w:val="center"/>
          </w:tcPr>
          <w:p w14:paraId="19690C4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Weather-enriched service table</w:t>
            </w:r>
          </w:p>
        </w:tc>
      </w:tr>
      <w:tr w:rsidR="0084730D" w:rsidRPr="00335C63" w14:paraId="0F12C288" w14:textId="77777777" w:rsidTr="00997D20">
        <w:trPr>
          <w:cantSplit/>
          <w:jc w:val="center"/>
        </w:trPr>
        <w:tc>
          <w:tcPr>
            <w:tcW w:w="705" w:type="pct"/>
            <w:tcMar>
              <w:top w:w="90" w:type="dxa"/>
              <w:left w:w="90" w:type="dxa"/>
              <w:bottom w:w="90" w:type="dxa"/>
              <w:right w:w="90" w:type="dxa"/>
            </w:tcMar>
            <w:vAlign w:val="center"/>
          </w:tcPr>
          <w:p>
            <w:r>
              <w:t>6</w:t>
            </w:r>
          </w:p>
        </w:tc>
        <w:tc>
          <w:tcPr>
            <w:tcW w:w="2396" w:type="pct"/>
            <w:tcMar>
              <w:top w:w="90" w:type="dxa"/>
              <w:left w:w="90" w:type="dxa"/>
              <w:bottom w:w="90" w:type="dxa"/>
              <w:right w:w="90" w:type="dxa"/>
            </w:tcMar>
            <w:vAlign w:val="center"/>
          </w:tcPr>
          <w:p>
            <w:r>
              <w:t>Build dbt staging, fact, dimension, and core descriptive marts for service, sales, warranty, refund, and scheduling</w:t>
            </w:r>
          </w:p>
        </w:tc>
        <w:tc>
          <w:tcPr>
            <w:tcW w:w="1899" w:type="pct"/>
            <w:tcMar>
              <w:top w:w="90" w:type="dxa"/>
              <w:left w:w="90" w:type="dxa"/>
              <w:bottom w:w="90" w:type="dxa"/>
              <w:right w:w="90" w:type="dxa"/>
            </w:tcMar>
            <w:vAlign w:val="center"/>
          </w:tcPr>
          <w:p>
            <w:r>
              <w:t>Silver tables and core Gold marts</w:t>
            </w:r>
          </w:p>
        </w:tc>
      </w:tr>
      <w:tr w:rsidR="0084730D" w:rsidRPr="00335C63" w14:paraId="26006E54" w14:textId="77777777" w:rsidTr="00997D20">
        <w:trPr>
          <w:cantSplit/>
          <w:jc w:val="center"/>
        </w:trPr>
        <w:tc>
          <w:tcPr>
            <w:tcW w:w="705" w:type="pct"/>
            <w:tcMar>
              <w:top w:w="90" w:type="dxa"/>
              <w:left w:w="90" w:type="dxa"/>
              <w:bottom w:w="90" w:type="dxa"/>
              <w:right w:w="90" w:type="dxa"/>
            </w:tcMar>
            <w:vAlign w:val="center"/>
          </w:tcPr>
          <w:p w14:paraId="5DBD91F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7</w:t>
            </w:r>
          </w:p>
        </w:tc>
        <w:tc>
          <w:tcPr>
            <w:tcW w:w="2396" w:type="pct"/>
            <w:tcMar>
              <w:top w:w="90" w:type="dxa"/>
              <w:left w:w="90" w:type="dxa"/>
              <w:bottom w:w="90" w:type="dxa"/>
              <w:right w:w="90" w:type="dxa"/>
            </w:tcMar>
            <w:vAlign w:val="center"/>
          </w:tcPr>
          <w:p w14:paraId="4C95207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Develop treatment difficulty, recurrence window, and warranty factor analytics</w:t>
            </w:r>
          </w:p>
        </w:tc>
        <w:tc>
          <w:tcPr>
            <w:tcW w:w="1899" w:type="pct"/>
            <w:tcMar>
              <w:top w:w="90" w:type="dxa"/>
              <w:left w:w="90" w:type="dxa"/>
              <w:bottom w:w="90" w:type="dxa"/>
              <w:right w:w="90" w:type="dxa"/>
            </w:tcMar>
            <w:vAlign w:val="center"/>
          </w:tcPr>
          <w:p w14:paraId="100B8BD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Quality and recurrence marts</w:t>
            </w:r>
          </w:p>
        </w:tc>
      </w:tr>
      <w:tr w:rsidR="0084730D" w:rsidRPr="00335C63" w14:paraId="321A35BD" w14:textId="77777777" w:rsidTr="00997D20">
        <w:trPr>
          <w:cantSplit/>
          <w:jc w:val="center"/>
        </w:trPr>
        <w:tc>
          <w:tcPr>
            <w:tcW w:w="705" w:type="pct"/>
            <w:tcMar>
              <w:top w:w="90" w:type="dxa"/>
              <w:left w:w="90" w:type="dxa"/>
              <w:bottom w:w="90" w:type="dxa"/>
              <w:right w:w="90" w:type="dxa"/>
            </w:tcMar>
            <w:vAlign w:val="center"/>
          </w:tcPr>
          <w:p w14:paraId="7995615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8</w:t>
            </w:r>
          </w:p>
        </w:tc>
        <w:tc>
          <w:tcPr>
            <w:tcW w:w="2396" w:type="pct"/>
            <w:tcMar>
              <w:top w:w="90" w:type="dxa"/>
              <w:left w:w="90" w:type="dxa"/>
              <w:bottom w:w="90" w:type="dxa"/>
              <w:right w:w="90" w:type="dxa"/>
            </w:tcMar>
            <w:vAlign w:val="center"/>
          </w:tcPr>
          <w:p w14:paraId="72C3EB6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Develop DBSCAN hotspot detection and KDE map-ready outputs</w:t>
            </w:r>
          </w:p>
        </w:tc>
        <w:tc>
          <w:tcPr>
            <w:tcW w:w="1899" w:type="pct"/>
            <w:tcMar>
              <w:top w:w="90" w:type="dxa"/>
              <w:left w:w="90" w:type="dxa"/>
              <w:bottom w:w="90" w:type="dxa"/>
              <w:right w:w="90" w:type="dxa"/>
            </w:tcMar>
            <w:vAlign w:val="center"/>
          </w:tcPr>
          <w:p w14:paraId="612A62B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Hotspot output table</w:t>
            </w:r>
          </w:p>
        </w:tc>
      </w:tr>
      <w:tr w:rsidR="0084730D" w:rsidRPr="00335C63" w14:paraId="5834804C" w14:textId="77777777" w:rsidTr="00997D20">
        <w:trPr>
          <w:cantSplit/>
          <w:jc w:val="center"/>
        </w:trPr>
        <w:tc>
          <w:tcPr>
            <w:tcW w:w="705" w:type="pct"/>
            <w:tcMar>
              <w:top w:w="90" w:type="dxa"/>
              <w:left w:w="90" w:type="dxa"/>
              <w:bottom w:w="90" w:type="dxa"/>
              <w:right w:w="90" w:type="dxa"/>
            </w:tcMar>
            <w:vAlign w:val="center"/>
          </w:tcPr>
          <w:p w14:paraId="328C680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9</w:t>
            </w:r>
          </w:p>
        </w:tc>
        <w:tc>
          <w:tcPr>
            <w:tcW w:w="2396" w:type="pct"/>
            <w:tcMar>
              <w:top w:w="90" w:type="dxa"/>
              <w:left w:w="90" w:type="dxa"/>
              <w:bottom w:w="90" w:type="dxa"/>
              <w:right w:w="90" w:type="dxa"/>
            </w:tcMar>
            <w:vAlign w:val="center"/>
          </w:tcPr>
          <w:p w14:paraId="4F7FC29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Develop upsell package effectiveness, package-fit, window performance analytics, and recommendation log outputs</w:t>
            </w:r>
          </w:p>
        </w:tc>
        <w:tc>
          <w:tcPr>
            <w:tcW w:w="1899" w:type="pct"/>
            <w:tcMar>
              <w:top w:w="90" w:type="dxa"/>
              <w:left w:w="90" w:type="dxa"/>
              <w:bottom w:w="90" w:type="dxa"/>
              <w:right w:w="90" w:type="dxa"/>
            </w:tcMar>
            <w:vAlign w:val="center"/>
          </w:tcPr>
          <w:p w14:paraId="7359D45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Upsell intelligence and recommendation marts</w:t>
            </w:r>
          </w:p>
        </w:tc>
      </w:tr>
      <w:tr w:rsidR="0084730D" w:rsidRPr="00335C63" w14:paraId="31196977" w14:textId="77777777" w:rsidTr="00997D20">
        <w:trPr>
          <w:cantSplit/>
          <w:jc w:val="center"/>
        </w:trPr>
        <w:tc>
          <w:tcPr>
            <w:tcW w:w="705" w:type="pct"/>
            <w:tcMar>
              <w:top w:w="90" w:type="dxa"/>
              <w:left w:w="90" w:type="dxa"/>
              <w:bottom w:w="90" w:type="dxa"/>
              <w:right w:w="90" w:type="dxa"/>
            </w:tcMar>
            <w:vAlign w:val="center"/>
          </w:tcPr>
          <w:p>
            <w:r>
              <w:t>10</w:t>
            </w:r>
          </w:p>
        </w:tc>
        <w:tc>
          <w:tcPr>
            <w:tcW w:w="2396" w:type="pct"/>
            <w:tcMar>
              <w:top w:w="90" w:type="dxa"/>
              <w:left w:w="90" w:type="dxa"/>
              <w:bottom w:w="90" w:type="dxa"/>
              <w:right w:w="90" w:type="dxa"/>
            </w:tcMar>
            <w:vAlign w:val="center"/>
          </w:tcPr>
          <w:p>
            <w:r>
              <w:t>Create Airflow DAG to orchestrate extraction, BigQuery loading, dbt models/tests, weather enrichment, and refresh logging</w:t>
            </w:r>
          </w:p>
        </w:tc>
        <w:tc>
          <w:tcPr>
            <w:tcW w:w="1899" w:type="pct"/>
            <w:tcMar>
              <w:top w:w="90" w:type="dxa"/>
              <w:left w:w="90" w:type="dxa"/>
              <w:bottom w:w="90" w:type="dxa"/>
              <w:right w:w="90" w:type="dxa"/>
            </w:tcMar>
            <w:vAlign w:val="center"/>
          </w:tcPr>
          <w:p>
            <w:r>
              <w:t>Airflow-orchestrated ELT prototype</w:t>
            </w:r>
          </w:p>
        </w:tc>
      </w:tr>
      <w:tr w:rsidR="0084730D" w:rsidRPr="00335C63" w14:paraId="7D5589D4" w14:textId="77777777" w:rsidTr="00997D20">
        <w:trPr>
          <w:cantSplit/>
          <w:jc w:val="center"/>
        </w:trPr>
        <w:tc>
          <w:tcPr>
            <w:tcW w:w="705" w:type="pct"/>
            <w:tcMar>
              <w:top w:w="90" w:type="dxa"/>
              <w:left w:w="90" w:type="dxa"/>
              <w:bottom w:w="90" w:type="dxa"/>
              <w:right w:w="90" w:type="dxa"/>
            </w:tcMar>
            <w:vAlign w:val="center"/>
          </w:tcPr>
          <w:p>
            <w:r>
              <w:t>11</w:t>
            </w:r>
          </w:p>
        </w:tc>
        <w:tc>
          <w:tcPr>
            <w:tcW w:w="2396" w:type="pct"/>
            <w:tcMar>
              <w:top w:w="90" w:type="dxa"/>
              <w:left w:w="90" w:type="dxa"/>
              <w:bottom w:w="90" w:type="dxa"/>
              <w:right w:w="90" w:type="dxa"/>
            </w:tcMar>
            <w:vAlign w:val="center"/>
          </w:tcPr>
          <w:p>
            <w:r>
              <w:t>Connect Apache Superset to BigQuery Gold marts and build first dashboard pages</w:t>
            </w:r>
          </w:p>
        </w:tc>
        <w:tc>
          <w:tcPr>
            <w:tcW w:w="1899" w:type="pct"/>
            <w:tcMar>
              <w:top w:w="90" w:type="dxa"/>
              <w:left w:w="90" w:type="dxa"/>
              <w:bottom w:w="90" w:type="dxa"/>
              <w:right w:w="90" w:type="dxa"/>
            </w:tcMar>
            <w:vAlign w:val="center"/>
          </w:tcPr>
          <w:p>
            <w:r>
              <w:t>Dashboard prototype v1</w:t>
            </w:r>
          </w:p>
        </w:tc>
      </w:tr>
      <w:tr w:rsidR="0084730D" w:rsidRPr="00335C63" w14:paraId="17D18D3B" w14:textId="77777777" w:rsidTr="00997D20">
        <w:trPr>
          <w:cantSplit/>
          <w:jc w:val="center"/>
        </w:trPr>
        <w:tc>
          <w:tcPr>
            <w:tcW w:w="705" w:type="pct"/>
            <w:tcMar>
              <w:top w:w="90" w:type="dxa"/>
              <w:left w:w="90" w:type="dxa"/>
              <w:bottom w:w="90" w:type="dxa"/>
              <w:right w:w="90" w:type="dxa"/>
            </w:tcMar>
            <w:vAlign w:val="center"/>
          </w:tcPr>
          <w:p>
            <w:r>
              <w:t>12</w:t>
            </w:r>
          </w:p>
        </w:tc>
        <w:tc>
          <w:tcPr>
            <w:tcW w:w="2396" w:type="pct"/>
            <w:tcMar>
              <w:top w:w="90" w:type="dxa"/>
              <w:left w:w="90" w:type="dxa"/>
              <w:bottom w:w="90" w:type="dxa"/>
              <w:right w:w="90" w:type="dxa"/>
            </w:tcMar>
            <w:vAlign w:val="center"/>
          </w:tcPr>
          <w:p>
            <w:r>
              <w:t>Refine filters, maps, data quality views, pipeline status, rankings, and recommendations with company feedback</w:t>
            </w:r>
          </w:p>
        </w:tc>
        <w:tc>
          <w:tcPr>
            <w:tcW w:w="1899" w:type="pct"/>
            <w:tcMar>
              <w:top w:w="90" w:type="dxa"/>
              <w:left w:w="90" w:type="dxa"/>
              <w:bottom w:w="90" w:type="dxa"/>
              <w:right w:w="90" w:type="dxa"/>
            </w:tcMar>
            <w:vAlign w:val="center"/>
          </w:tcPr>
          <w:p>
            <w:r>
              <w:t>Dashboard prototype v2 and pipeline status view</w:t>
            </w:r>
          </w:p>
        </w:tc>
      </w:tr>
      <w:tr w:rsidR="0084730D" w:rsidRPr="00335C63" w14:paraId="2882B876" w14:textId="77777777" w:rsidTr="00997D20">
        <w:trPr>
          <w:cantSplit/>
          <w:jc w:val="center"/>
        </w:trPr>
        <w:tc>
          <w:tcPr>
            <w:tcW w:w="705" w:type="pct"/>
            <w:tcMar>
              <w:top w:w="90" w:type="dxa"/>
              <w:left w:w="90" w:type="dxa"/>
              <w:bottom w:w="90" w:type="dxa"/>
              <w:right w:w="90" w:type="dxa"/>
            </w:tcMar>
            <w:vAlign w:val="center"/>
          </w:tcPr>
          <w:p>
            <w:r>
              <w:t>13</w:t>
            </w:r>
          </w:p>
        </w:tc>
        <w:tc>
          <w:tcPr>
            <w:tcW w:w="2396" w:type="pct"/>
            <w:tcMar>
              <w:top w:w="90" w:type="dxa"/>
              <w:left w:w="90" w:type="dxa"/>
              <w:bottom w:w="90" w:type="dxa"/>
              <w:right w:w="90" w:type="dxa"/>
            </w:tcMar>
            <w:vAlign w:val="center"/>
          </w:tcPr>
          <w:p>
            <w:r>
              <w:t>Evaluate dashboard and pipeline against manual spreadsheet answers, dbt test results, and refresh logs</w:t>
            </w:r>
          </w:p>
        </w:tc>
        <w:tc>
          <w:tcPr>
            <w:tcW w:w="1899" w:type="pct"/>
            <w:tcMar>
              <w:top w:w="90" w:type="dxa"/>
              <w:left w:w="90" w:type="dxa"/>
              <w:bottom w:w="90" w:type="dxa"/>
              <w:right w:w="90" w:type="dxa"/>
            </w:tcMar>
            <w:vAlign w:val="center"/>
          </w:tcPr>
          <w:p>
            <w:r>
              <w:t>Evaluation report draft</w:t>
            </w:r>
          </w:p>
        </w:tc>
      </w:tr>
      <w:tr w:rsidR="0084730D" w:rsidRPr="00335C63" w14:paraId="606204AF" w14:textId="77777777" w:rsidTr="00997D20">
        <w:trPr>
          <w:cantSplit/>
          <w:jc w:val="center"/>
        </w:trPr>
        <w:tc>
          <w:tcPr>
            <w:tcW w:w="705" w:type="pct"/>
            <w:tcMar>
              <w:top w:w="90" w:type="dxa"/>
              <w:left w:w="90" w:type="dxa"/>
              <w:bottom w:w="90" w:type="dxa"/>
              <w:right w:w="90" w:type="dxa"/>
            </w:tcMar>
            <w:vAlign w:val="center"/>
          </w:tcPr>
          <w:p>
            <w:r>
              <w:t>14</w:t>
            </w:r>
          </w:p>
        </w:tc>
        <w:tc>
          <w:tcPr>
            <w:tcW w:w="2396" w:type="pct"/>
            <w:tcMar>
              <w:top w:w="90" w:type="dxa"/>
              <w:left w:w="90" w:type="dxa"/>
              <w:bottom w:w="90" w:type="dxa"/>
              <w:right w:w="90" w:type="dxa"/>
            </w:tcMar>
            <w:vAlign w:val="center"/>
          </w:tcPr>
          <w:p>
            <w:r>
              <w:t>Prepare final report, screenshots, architecture diagram, Airflow DAG view, dbt lineage graph, and viva explanation</w:t>
            </w:r>
          </w:p>
        </w:tc>
        <w:tc>
          <w:tcPr>
            <w:tcW w:w="1899" w:type="pct"/>
            <w:tcMar>
              <w:top w:w="90" w:type="dxa"/>
              <w:left w:w="90" w:type="dxa"/>
              <w:bottom w:w="90" w:type="dxa"/>
              <w:right w:w="90" w:type="dxa"/>
            </w:tcMar>
            <w:vAlign w:val="center"/>
          </w:tcPr>
          <w:p>
            <w:r>
              <w:t>Final project submission</w:t>
            </w:r>
          </w:p>
        </w:tc>
      </w:tr>
    </w:tbl>
    <w:p w14:paraId="2B5A86E4" w14:textId="77777777" w:rsidR="0084730D" w:rsidRPr="00335C63" w:rsidRDefault="0084730D" w:rsidP="000F4170">
      <w:pPr>
        <w:spacing w:line="360" w:lineRule="auto"/>
        <w:rPr>
          <w:rFonts w:ascii="Times New Roman" w:hAnsi="Times New Roman" w:cs="Times New Roman"/>
          <w:sz w:val="24"/>
          <w:szCs w:val="24"/>
        </w:rPr>
      </w:pPr>
    </w:p>
    <w:p w14:paraId="4AF5A016" w14:textId="77777777" w:rsidR="0084730D" w:rsidRPr="00335C63" w:rsidRDefault="00357319" w:rsidP="000F4170">
      <w:pPr>
        <w:pStyle w:val="Heading2"/>
        <w:spacing w:line="360" w:lineRule="auto"/>
        <w:rPr>
          <w:rFonts w:ascii="Times New Roman" w:hAnsi="Times New Roman" w:cs="Times New Roman"/>
          <w:sz w:val="24"/>
          <w:szCs w:val="24"/>
        </w:rPr>
      </w:pPr>
      <w:r>
        <w:lastRenderedPageBreak/>
        <w:t>4.2 Milestones</w:t>
      </w:r>
    </w:p>
    <w:tbl>
      <w:tblPr>
        <w:tblStyle w:val="TableGrid"/>
        <w:tblW w:w="5000" w:type="pct"/>
        <w:jc w:val="center"/>
        <w:tblLook w:val="04A0" w:firstRow="1" w:lastRow="0" w:firstColumn="1" w:lastColumn="0" w:noHBand="0" w:noVBand="1"/>
      </w:tblPr>
      <w:tblGrid>
        <w:gridCol w:w="2857"/>
        <w:gridCol w:w="1518"/>
        <w:gridCol w:w="4641"/>
      </w:tblGrid>
      <w:tr w:rsidR="0084730D" w:rsidRPr="00335C63" w14:paraId="74DD55CA" w14:textId="77777777" w:rsidTr="00997D20">
        <w:trPr>
          <w:cantSplit/>
          <w:tblHeader/>
          <w:jc w:val="center"/>
        </w:trPr>
        <w:tc>
          <w:tcPr>
            <w:tcW w:w="1584" w:type="pct"/>
            <w:shd w:val="clear" w:color="auto" w:fill="E8F1FA"/>
            <w:tcMar>
              <w:top w:w="90" w:type="dxa"/>
              <w:left w:w="90" w:type="dxa"/>
              <w:bottom w:w="90" w:type="dxa"/>
              <w:right w:w="90" w:type="dxa"/>
            </w:tcMar>
            <w:vAlign w:val="center"/>
          </w:tcPr>
          <w:p w14:paraId="4C0B3BD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Milestone</w:t>
            </w:r>
          </w:p>
        </w:tc>
        <w:tc>
          <w:tcPr>
            <w:tcW w:w="842" w:type="pct"/>
            <w:shd w:val="clear" w:color="auto" w:fill="E8F1FA"/>
            <w:tcMar>
              <w:top w:w="90" w:type="dxa"/>
              <w:left w:w="90" w:type="dxa"/>
              <w:bottom w:w="90" w:type="dxa"/>
              <w:right w:w="90" w:type="dxa"/>
            </w:tcMar>
            <w:vAlign w:val="center"/>
          </w:tcPr>
          <w:p w14:paraId="66047F4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Target Week</w:t>
            </w:r>
          </w:p>
        </w:tc>
        <w:tc>
          <w:tcPr>
            <w:tcW w:w="2573" w:type="pct"/>
            <w:shd w:val="clear" w:color="auto" w:fill="E8F1FA"/>
            <w:tcMar>
              <w:top w:w="90" w:type="dxa"/>
              <w:left w:w="90" w:type="dxa"/>
              <w:bottom w:w="90" w:type="dxa"/>
              <w:right w:w="90" w:type="dxa"/>
            </w:tcMar>
            <w:vAlign w:val="center"/>
          </w:tcPr>
          <w:p w14:paraId="55929EA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Success Criteria</w:t>
            </w:r>
          </w:p>
        </w:tc>
      </w:tr>
      <w:tr w:rsidR="0084730D" w:rsidRPr="00335C63" w14:paraId="7651A009" w14:textId="77777777" w:rsidTr="00997D20">
        <w:trPr>
          <w:cantSplit/>
          <w:jc w:val="center"/>
        </w:trPr>
        <w:tc>
          <w:tcPr>
            <w:tcW w:w="1584" w:type="pct"/>
            <w:tcMar>
              <w:top w:w="90" w:type="dxa"/>
              <w:left w:w="90" w:type="dxa"/>
              <w:bottom w:w="90" w:type="dxa"/>
              <w:right w:w="90" w:type="dxa"/>
            </w:tcMar>
            <w:vAlign w:val="center"/>
          </w:tcPr>
          <w:p w14:paraId="6A31208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M1: Data source confirmation</w:t>
            </w:r>
          </w:p>
        </w:tc>
        <w:tc>
          <w:tcPr>
            <w:tcW w:w="842" w:type="pct"/>
            <w:tcMar>
              <w:top w:w="90" w:type="dxa"/>
              <w:left w:w="90" w:type="dxa"/>
              <w:bottom w:w="90" w:type="dxa"/>
              <w:right w:w="90" w:type="dxa"/>
            </w:tcMar>
            <w:vAlign w:val="center"/>
          </w:tcPr>
          <w:p w14:paraId="79B944C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Week 1</w:t>
            </w:r>
          </w:p>
        </w:tc>
        <w:tc>
          <w:tcPr>
            <w:tcW w:w="2573" w:type="pct"/>
            <w:tcMar>
              <w:top w:w="90" w:type="dxa"/>
              <w:left w:w="90" w:type="dxa"/>
              <w:bottom w:w="90" w:type="dxa"/>
              <w:right w:w="90" w:type="dxa"/>
            </w:tcMar>
            <w:vAlign w:val="center"/>
          </w:tcPr>
          <w:p w14:paraId="5390D53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Required sheets/calendar exports identified and accessible</w:t>
            </w:r>
          </w:p>
        </w:tc>
      </w:tr>
      <w:tr w:rsidR="0084730D" w:rsidRPr="00335C63" w14:paraId="2BE2EDC5" w14:textId="77777777" w:rsidTr="00997D20">
        <w:trPr>
          <w:cantSplit/>
          <w:jc w:val="center"/>
        </w:trPr>
        <w:tc>
          <w:tcPr>
            <w:tcW w:w="1584" w:type="pct"/>
            <w:tcMar>
              <w:top w:w="90" w:type="dxa"/>
              <w:left w:w="90" w:type="dxa"/>
              <w:bottom w:w="90" w:type="dxa"/>
              <w:right w:w="90" w:type="dxa"/>
            </w:tcMar>
            <w:vAlign w:val="center"/>
          </w:tcPr>
          <w:p w14:paraId="3475646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M2: Clean analytics dataset</w:t>
            </w:r>
          </w:p>
        </w:tc>
        <w:tc>
          <w:tcPr>
            <w:tcW w:w="842" w:type="pct"/>
            <w:tcMar>
              <w:top w:w="90" w:type="dxa"/>
              <w:left w:w="90" w:type="dxa"/>
              <w:bottom w:w="90" w:type="dxa"/>
              <w:right w:w="90" w:type="dxa"/>
            </w:tcMar>
            <w:vAlign w:val="center"/>
          </w:tcPr>
          <w:p w14:paraId="169A2D1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Week 4</w:t>
            </w:r>
          </w:p>
        </w:tc>
        <w:tc>
          <w:tcPr>
            <w:tcW w:w="2573" w:type="pct"/>
            <w:tcMar>
              <w:top w:w="90" w:type="dxa"/>
              <w:left w:w="90" w:type="dxa"/>
              <w:bottom w:w="90" w:type="dxa"/>
              <w:right w:w="90" w:type="dxa"/>
            </w:tcMar>
            <w:vAlign w:val="center"/>
          </w:tcPr>
          <w:p w14:paraId="33C1C65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 xml:space="preserve">Cleaning rules run </w:t>
            </w:r>
            <w:proofErr w:type="gramStart"/>
            <w:r w:rsidRPr="00335C63">
              <w:rPr>
                <w:rFonts w:ascii="Times New Roman" w:hAnsi="Times New Roman" w:cs="Times New Roman"/>
                <w:sz w:val="24"/>
                <w:szCs w:val="24"/>
              </w:rPr>
              <w:t>successfully</w:t>
            </w:r>
            <w:proofErr w:type="gramEnd"/>
            <w:r w:rsidRPr="00335C63">
              <w:rPr>
                <w:rFonts w:ascii="Times New Roman" w:hAnsi="Times New Roman" w:cs="Times New Roman"/>
                <w:sz w:val="24"/>
                <w:szCs w:val="24"/>
              </w:rPr>
              <w:t xml:space="preserve"> and data quality issues are documented</w:t>
            </w:r>
          </w:p>
        </w:tc>
      </w:tr>
      <w:tr w:rsidR="0084730D" w:rsidRPr="00335C63" w14:paraId="17842C40" w14:textId="77777777" w:rsidTr="00997D20">
        <w:trPr>
          <w:cantSplit/>
          <w:jc w:val="center"/>
        </w:trPr>
        <w:tc>
          <w:tcPr>
            <w:tcW w:w="1584" w:type="pct"/>
            <w:tcMar>
              <w:top w:w="90" w:type="dxa"/>
              <w:left w:w="90" w:type="dxa"/>
              <w:bottom w:w="90" w:type="dxa"/>
              <w:right w:w="90" w:type="dxa"/>
            </w:tcMar>
            <w:vAlign w:val="center"/>
          </w:tcPr>
          <w:p>
            <w:r>
              <w:t>M3: BigQuery and dbt warehouse ready</w:t>
            </w:r>
          </w:p>
        </w:tc>
        <w:tc>
          <w:tcPr>
            <w:tcW w:w="842" w:type="pct"/>
            <w:tcMar>
              <w:top w:w="90" w:type="dxa"/>
              <w:left w:w="90" w:type="dxa"/>
              <w:bottom w:w="90" w:type="dxa"/>
              <w:right w:w="90" w:type="dxa"/>
            </w:tcMar>
            <w:vAlign w:val="center"/>
          </w:tcPr>
          <w:p>
            <w:r>
              <w:t>Week 6</w:t>
            </w:r>
          </w:p>
        </w:tc>
        <w:tc>
          <w:tcPr>
            <w:tcW w:w="2573" w:type="pct"/>
            <w:tcMar>
              <w:top w:w="90" w:type="dxa"/>
              <w:left w:w="90" w:type="dxa"/>
              <w:bottom w:w="90" w:type="dxa"/>
              <w:right w:w="90" w:type="dxa"/>
            </w:tcMar>
            <w:vAlign w:val="center"/>
          </w:tcPr>
          <w:p>
            <w:r>
              <w:t>Bronze, Silver, and Gold tables created with dbt models and initial tests</w:t>
            </w:r>
          </w:p>
        </w:tc>
      </w:tr>
      <w:tr w:rsidR="0084730D" w:rsidRPr="00335C63" w14:paraId="0035FCB4" w14:textId="77777777" w:rsidTr="00997D20">
        <w:trPr>
          <w:cantSplit/>
          <w:jc w:val="center"/>
        </w:trPr>
        <w:tc>
          <w:tcPr>
            <w:tcW w:w="1584" w:type="pct"/>
            <w:tcMar>
              <w:top w:w="90" w:type="dxa"/>
              <w:left w:w="90" w:type="dxa"/>
              <w:bottom w:w="90" w:type="dxa"/>
              <w:right w:w="90" w:type="dxa"/>
            </w:tcMar>
            <w:vAlign w:val="center"/>
          </w:tcPr>
          <w:p w14:paraId="44A25E2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M4: Core analytics complete</w:t>
            </w:r>
          </w:p>
        </w:tc>
        <w:tc>
          <w:tcPr>
            <w:tcW w:w="842" w:type="pct"/>
            <w:tcMar>
              <w:top w:w="90" w:type="dxa"/>
              <w:left w:w="90" w:type="dxa"/>
              <w:bottom w:w="90" w:type="dxa"/>
              <w:right w:w="90" w:type="dxa"/>
            </w:tcMar>
            <w:vAlign w:val="center"/>
          </w:tcPr>
          <w:p w14:paraId="2403D6C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Week 9</w:t>
            </w:r>
          </w:p>
        </w:tc>
        <w:tc>
          <w:tcPr>
            <w:tcW w:w="2573" w:type="pct"/>
            <w:tcMar>
              <w:top w:w="90" w:type="dxa"/>
              <w:left w:w="90" w:type="dxa"/>
              <w:bottom w:w="90" w:type="dxa"/>
              <w:right w:w="90" w:type="dxa"/>
            </w:tcMar>
            <w:vAlign w:val="center"/>
          </w:tcPr>
          <w:p w14:paraId="4252DEB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Treatment, recurrence, hotspot, weather, and upsell analytics produce outputs</w:t>
            </w:r>
          </w:p>
        </w:tc>
      </w:tr>
      <w:tr w:rsidR="0084730D" w:rsidRPr="00335C63" w14:paraId="7E65B4C3" w14:textId="77777777" w:rsidTr="00997D20">
        <w:trPr>
          <w:cantSplit/>
          <w:jc w:val="center"/>
        </w:trPr>
        <w:tc>
          <w:tcPr>
            <w:tcW w:w="1584" w:type="pct"/>
            <w:tcMar>
              <w:top w:w="90" w:type="dxa"/>
              <w:left w:w="90" w:type="dxa"/>
              <w:bottom w:w="90" w:type="dxa"/>
              <w:right w:w="90" w:type="dxa"/>
            </w:tcMar>
            <w:vAlign w:val="center"/>
          </w:tcPr>
          <w:p>
            <w:r>
              <w:t>M5: Airflow and dashboard prototype complete</w:t>
            </w:r>
          </w:p>
        </w:tc>
        <w:tc>
          <w:tcPr>
            <w:tcW w:w="842" w:type="pct"/>
            <w:tcMar>
              <w:top w:w="90" w:type="dxa"/>
              <w:left w:w="90" w:type="dxa"/>
              <w:bottom w:w="90" w:type="dxa"/>
              <w:right w:w="90" w:type="dxa"/>
            </w:tcMar>
            <w:vAlign w:val="center"/>
          </w:tcPr>
          <w:p>
            <w:r>
              <w:t>Week 11</w:t>
            </w:r>
          </w:p>
        </w:tc>
        <w:tc>
          <w:tcPr>
            <w:tcW w:w="2573" w:type="pct"/>
            <w:tcMar>
              <w:top w:w="90" w:type="dxa"/>
              <w:left w:w="90" w:type="dxa"/>
              <w:bottom w:w="90" w:type="dxa"/>
              <w:right w:w="90" w:type="dxa"/>
            </w:tcMar>
            <w:vAlign w:val="center"/>
          </w:tcPr>
          <w:p>
            <w:r>
              <w:t>Airflow DAG runs core pipeline and Superset dashboards answer key management questions</w:t>
            </w:r>
          </w:p>
        </w:tc>
      </w:tr>
      <w:tr w:rsidR="0084730D" w:rsidRPr="00335C63" w14:paraId="72B01493" w14:textId="77777777" w:rsidTr="00997D20">
        <w:trPr>
          <w:cantSplit/>
          <w:jc w:val="center"/>
        </w:trPr>
        <w:tc>
          <w:tcPr>
            <w:tcW w:w="1584" w:type="pct"/>
            <w:tcMar>
              <w:top w:w="90" w:type="dxa"/>
              <w:left w:w="90" w:type="dxa"/>
              <w:bottom w:w="90" w:type="dxa"/>
              <w:right w:w="90" w:type="dxa"/>
            </w:tcMar>
            <w:vAlign w:val="center"/>
          </w:tcPr>
          <w:p w14:paraId="1ED4912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M6: Evaluation complete</w:t>
            </w:r>
          </w:p>
        </w:tc>
        <w:tc>
          <w:tcPr>
            <w:tcW w:w="842" w:type="pct"/>
            <w:tcMar>
              <w:top w:w="90" w:type="dxa"/>
              <w:left w:w="90" w:type="dxa"/>
              <w:bottom w:w="90" w:type="dxa"/>
              <w:right w:w="90" w:type="dxa"/>
            </w:tcMar>
            <w:vAlign w:val="center"/>
          </w:tcPr>
          <w:p w14:paraId="5BD0753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Week 12</w:t>
            </w:r>
          </w:p>
        </w:tc>
        <w:tc>
          <w:tcPr>
            <w:tcW w:w="2573" w:type="pct"/>
            <w:tcMar>
              <w:top w:w="90" w:type="dxa"/>
              <w:left w:w="90" w:type="dxa"/>
              <w:bottom w:w="90" w:type="dxa"/>
              <w:right w:w="90" w:type="dxa"/>
            </w:tcMar>
            <w:vAlign w:val="center"/>
          </w:tcPr>
          <w:p w14:paraId="672E34E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Management feedback and manual-check comparison documented</w:t>
            </w:r>
          </w:p>
        </w:tc>
      </w:tr>
      <w:tr w:rsidR="0084730D" w:rsidRPr="00335C63" w14:paraId="279B0D89" w14:textId="77777777" w:rsidTr="00997D20">
        <w:trPr>
          <w:cantSplit/>
          <w:jc w:val="center"/>
        </w:trPr>
        <w:tc>
          <w:tcPr>
            <w:tcW w:w="1584" w:type="pct"/>
            <w:tcMar>
              <w:top w:w="90" w:type="dxa"/>
              <w:left w:w="90" w:type="dxa"/>
              <w:bottom w:w="90" w:type="dxa"/>
              <w:right w:w="90" w:type="dxa"/>
            </w:tcMar>
            <w:vAlign w:val="center"/>
          </w:tcPr>
          <w:p w14:paraId="68122E0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M7: Final submission ready</w:t>
            </w:r>
          </w:p>
        </w:tc>
        <w:tc>
          <w:tcPr>
            <w:tcW w:w="842" w:type="pct"/>
            <w:tcMar>
              <w:top w:w="90" w:type="dxa"/>
              <w:left w:w="90" w:type="dxa"/>
              <w:bottom w:w="90" w:type="dxa"/>
              <w:right w:w="90" w:type="dxa"/>
            </w:tcMar>
            <w:vAlign w:val="center"/>
          </w:tcPr>
          <w:p w14:paraId="1C7BDE1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Week 14</w:t>
            </w:r>
          </w:p>
        </w:tc>
        <w:tc>
          <w:tcPr>
            <w:tcW w:w="2573" w:type="pct"/>
            <w:tcMar>
              <w:top w:w="90" w:type="dxa"/>
              <w:left w:w="90" w:type="dxa"/>
              <w:bottom w:w="90" w:type="dxa"/>
              <w:right w:w="90" w:type="dxa"/>
            </w:tcMar>
            <w:vAlign w:val="center"/>
          </w:tcPr>
          <w:p w14:paraId="5702F5C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Report, dashboard screenshots, and demonstration environment prepared</w:t>
            </w:r>
          </w:p>
        </w:tc>
      </w:tr>
    </w:tbl>
    <w:p w14:paraId="2E628B75" w14:textId="4163B594" w:rsidR="0084730D" w:rsidRPr="00335C63" w:rsidRDefault="0084730D" w:rsidP="000F4170">
      <w:pPr>
        <w:spacing w:line="360" w:lineRule="auto"/>
        <w:rPr>
          <w:rFonts w:ascii="Times New Roman" w:hAnsi="Times New Roman" w:cs="Times New Roman"/>
          <w:sz w:val="24"/>
          <w:szCs w:val="24"/>
        </w:rPr>
      </w:pPr>
    </w:p>
    <w:p w14:paraId="158CDD61" w14:textId="77777777" w:rsidR="0084730D" w:rsidRPr="00335C63" w:rsidRDefault="00357319" w:rsidP="000F4170">
      <w:pPr>
        <w:pStyle w:val="Heading2"/>
        <w:spacing w:line="360" w:lineRule="auto"/>
        <w:rPr>
          <w:rFonts w:ascii="Times New Roman" w:hAnsi="Times New Roman" w:cs="Times New Roman"/>
          <w:sz w:val="24"/>
          <w:szCs w:val="24"/>
        </w:rPr>
      </w:pPr>
      <w:r>
        <w:t>4.3 Risks and Mitigation</w:t>
      </w:r>
    </w:p>
    <w:tbl>
      <w:tblPr>
        <w:tblStyle w:val="TableGrid"/>
        <w:tblW w:w="5000" w:type="pct"/>
        <w:jc w:val="center"/>
        <w:tblLook w:val="04A0" w:firstRow="1" w:lastRow="0" w:firstColumn="1" w:lastColumn="0" w:noHBand="0" w:noVBand="1"/>
      </w:tblPr>
      <w:tblGrid>
        <w:gridCol w:w="3394"/>
        <w:gridCol w:w="2416"/>
        <w:gridCol w:w="3206"/>
      </w:tblGrid>
      <w:tr w:rsidR="0084730D" w:rsidRPr="00335C63" w14:paraId="133A473D" w14:textId="77777777" w:rsidTr="00997D20">
        <w:trPr>
          <w:cantSplit/>
          <w:tblHeader/>
          <w:jc w:val="center"/>
        </w:trPr>
        <w:tc>
          <w:tcPr>
            <w:tcW w:w="1882" w:type="pct"/>
            <w:shd w:val="clear" w:color="auto" w:fill="E8F1FA"/>
            <w:tcMar>
              <w:top w:w="90" w:type="dxa"/>
              <w:left w:w="90" w:type="dxa"/>
              <w:bottom w:w="90" w:type="dxa"/>
              <w:right w:w="90" w:type="dxa"/>
            </w:tcMar>
            <w:vAlign w:val="center"/>
          </w:tcPr>
          <w:p w14:paraId="58157C7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Risk</w:t>
            </w:r>
          </w:p>
        </w:tc>
        <w:tc>
          <w:tcPr>
            <w:tcW w:w="1340" w:type="pct"/>
            <w:shd w:val="clear" w:color="auto" w:fill="E8F1FA"/>
            <w:tcMar>
              <w:top w:w="90" w:type="dxa"/>
              <w:left w:w="90" w:type="dxa"/>
              <w:bottom w:w="90" w:type="dxa"/>
              <w:right w:w="90" w:type="dxa"/>
            </w:tcMar>
            <w:vAlign w:val="center"/>
          </w:tcPr>
          <w:p w14:paraId="4B55FF0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Impact</w:t>
            </w:r>
          </w:p>
        </w:tc>
        <w:tc>
          <w:tcPr>
            <w:tcW w:w="1778" w:type="pct"/>
            <w:shd w:val="clear" w:color="auto" w:fill="E8F1FA"/>
            <w:tcMar>
              <w:top w:w="90" w:type="dxa"/>
              <w:left w:w="90" w:type="dxa"/>
              <w:bottom w:w="90" w:type="dxa"/>
              <w:right w:w="90" w:type="dxa"/>
            </w:tcMar>
            <w:vAlign w:val="center"/>
          </w:tcPr>
          <w:p w14:paraId="3D26C40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Mitigation</w:t>
            </w:r>
          </w:p>
        </w:tc>
      </w:tr>
      <w:tr w:rsidR="0084730D" w:rsidRPr="00335C63" w14:paraId="51EF88E0" w14:textId="77777777" w:rsidTr="00997D20">
        <w:trPr>
          <w:cantSplit/>
          <w:jc w:val="center"/>
        </w:trPr>
        <w:tc>
          <w:tcPr>
            <w:tcW w:w="1882" w:type="pct"/>
            <w:tcMar>
              <w:top w:w="90" w:type="dxa"/>
              <w:left w:w="90" w:type="dxa"/>
              <w:bottom w:w="90" w:type="dxa"/>
              <w:right w:w="90" w:type="dxa"/>
            </w:tcMar>
            <w:vAlign w:val="center"/>
          </w:tcPr>
          <w:p w14:paraId="3DCB9FB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Warranty data has only around 200+ records</w:t>
            </w:r>
          </w:p>
        </w:tc>
        <w:tc>
          <w:tcPr>
            <w:tcW w:w="1340" w:type="pct"/>
            <w:tcMar>
              <w:top w:w="90" w:type="dxa"/>
              <w:left w:w="90" w:type="dxa"/>
              <w:bottom w:w="90" w:type="dxa"/>
              <w:right w:w="90" w:type="dxa"/>
            </w:tcMar>
            <w:vAlign w:val="center"/>
          </w:tcPr>
          <w:p w14:paraId="47BAFDE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Complex ML may overfit</w:t>
            </w:r>
          </w:p>
        </w:tc>
        <w:tc>
          <w:tcPr>
            <w:tcW w:w="1778" w:type="pct"/>
            <w:tcMar>
              <w:top w:w="90" w:type="dxa"/>
              <w:left w:w="90" w:type="dxa"/>
              <w:bottom w:w="90" w:type="dxa"/>
              <w:right w:w="90" w:type="dxa"/>
            </w:tcMar>
            <w:vAlign w:val="center"/>
          </w:tcPr>
          <w:p w14:paraId="6BAC741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explainable scoring, lag analysis, and logistic regression only if stable</w:t>
            </w:r>
          </w:p>
        </w:tc>
      </w:tr>
      <w:tr w:rsidR="0084730D" w:rsidRPr="00335C63" w14:paraId="433DC9FB" w14:textId="77777777" w:rsidTr="00997D20">
        <w:trPr>
          <w:cantSplit/>
          <w:jc w:val="center"/>
        </w:trPr>
        <w:tc>
          <w:tcPr>
            <w:tcW w:w="1882" w:type="pct"/>
            <w:tcMar>
              <w:top w:w="90" w:type="dxa"/>
              <w:left w:w="90" w:type="dxa"/>
              <w:bottom w:w="90" w:type="dxa"/>
              <w:right w:w="90" w:type="dxa"/>
            </w:tcMar>
            <w:vAlign w:val="center"/>
          </w:tcPr>
          <w:p w14:paraId="6D62DB7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Google Sheets columns change</w:t>
            </w:r>
          </w:p>
        </w:tc>
        <w:tc>
          <w:tcPr>
            <w:tcW w:w="1340" w:type="pct"/>
            <w:tcMar>
              <w:top w:w="90" w:type="dxa"/>
              <w:left w:w="90" w:type="dxa"/>
              <w:bottom w:w="90" w:type="dxa"/>
              <w:right w:w="90" w:type="dxa"/>
            </w:tcMar>
            <w:vAlign w:val="center"/>
          </w:tcPr>
          <w:p w14:paraId="0489E86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ETL can break</w:t>
            </w:r>
          </w:p>
        </w:tc>
        <w:tc>
          <w:tcPr>
            <w:tcW w:w="1778" w:type="pct"/>
            <w:tcMar>
              <w:top w:w="90" w:type="dxa"/>
              <w:left w:w="90" w:type="dxa"/>
              <w:bottom w:w="90" w:type="dxa"/>
              <w:right w:w="90" w:type="dxa"/>
            </w:tcMar>
            <w:vAlign w:val="center"/>
          </w:tcPr>
          <w:p w14:paraId="39A67E0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canonical column mapping and alias handling</w:t>
            </w:r>
          </w:p>
        </w:tc>
      </w:tr>
      <w:tr w:rsidR="0084730D" w:rsidRPr="00335C63" w14:paraId="7D75C775" w14:textId="77777777" w:rsidTr="00997D20">
        <w:trPr>
          <w:cantSplit/>
          <w:jc w:val="center"/>
        </w:trPr>
        <w:tc>
          <w:tcPr>
            <w:tcW w:w="1882" w:type="pct"/>
            <w:tcMar>
              <w:top w:w="90" w:type="dxa"/>
              <w:left w:w="90" w:type="dxa"/>
              <w:bottom w:w="90" w:type="dxa"/>
              <w:right w:w="90" w:type="dxa"/>
            </w:tcMar>
            <w:vAlign w:val="center"/>
          </w:tcPr>
          <w:p w14:paraId="347A6A3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Calendar event names are inconsistent</w:t>
            </w:r>
          </w:p>
        </w:tc>
        <w:tc>
          <w:tcPr>
            <w:tcW w:w="1340" w:type="pct"/>
            <w:tcMar>
              <w:top w:w="90" w:type="dxa"/>
              <w:left w:w="90" w:type="dxa"/>
              <w:bottom w:w="90" w:type="dxa"/>
              <w:right w:w="90" w:type="dxa"/>
            </w:tcMar>
            <w:vAlign w:val="center"/>
          </w:tcPr>
          <w:p w14:paraId="5748A2A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Session classification errors</w:t>
            </w:r>
          </w:p>
        </w:tc>
        <w:tc>
          <w:tcPr>
            <w:tcW w:w="1778" w:type="pct"/>
            <w:tcMar>
              <w:top w:w="90" w:type="dxa"/>
              <w:left w:w="90" w:type="dxa"/>
              <w:bottom w:w="90" w:type="dxa"/>
              <w:right w:w="90" w:type="dxa"/>
            </w:tcMar>
            <w:vAlign w:val="center"/>
          </w:tcPr>
          <w:p w14:paraId="1893E99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keyword rules and manual review list</w:t>
            </w:r>
          </w:p>
        </w:tc>
      </w:tr>
      <w:tr w:rsidR="0084730D" w:rsidRPr="00335C63" w14:paraId="12F5DA18" w14:textId="77777777" w:rsidTr="00997D20">
        <w:trPr>
          <w:cantSplit/>
          <w:jc w:val="center"/>
        </w:trPr>
        <w:tc>
          <w:tcPr>
            <w:tcW w:w="1882" w:type="pct"/>
            <w:tcMar>
              <w:top w:w="90" w:type="dxa"/>
              <w:left w:w="90" w:type="dxa"/>
              <w:bottom w:w="90" w:type="dxa"/>
              <w:right w:w="90" w:type="dxa"/>
            </w:tcMar>
            <w:vAlign w:val="center"/>
          </w:tcPr>
          <w:p w14:paraId="2A71BFC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Coordinates are incomplete</w:t>
            </w:r>
          </w:p>
        </w:tc>
        <w:tc>
          <w:tcPr>
            <w:tcW w:w="1340" w:type="pct"/>
            <w:tcMar>
              <w:top w:w="90" w:type="dxa"/>
              <w:left w:w="90" w:type="dxa"/>
              <w:bottom w:w="90" w:type="dxa"/>
              <w:right w:w="90" w:type="dxa"/>
            </w:tcMar>
            <w:vAlign w:val="center"/>
          </w:tcPr>
          <w:p w14:paraId="68D6FAE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Hotspot analysis becomes less precise</w:t>
            </w:r>
          </w:p>
        </w:tc>
        <w:tc>
          <w:tcPr>
            <w:tcW w:w="1778" w:type="pct"/>
            <w:tcMar>
              <w:top w:w="90" w:type="dxa"/>
              <w:left w:w="90" w:type="dxa"/>
              <w:bottom w:w="90" w:type="dxa"/>
              <w:right w:w="90" w:type="dxa"/>
            </w:tcMar>
            <w:vAlign w:val="center"/>
          </w:tcPr>
          <w:p w14:paraId="1A643FF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postcode/area centroid fallback and document confidence</w:t>
            </w:r>
          </w:p>
        </w:tc>
      </w:tr>
      <w:tr w:rsidR="0084730D" w:rsidRPr="00335C63" w14:paraId="49E958BC" w14:textId="77777777" w:rsidTr="00997D20">
        <w:trPr>
          <w:cantSplit/>
          <w:jc w:val="center"/>
        </w:trPr>
        <w:tc>
          <w:tcPr>
            <w:tcW w:w="1882" w:type="pct"/>
            <w:tcMar>
              <w:top w:w="90" w:type="dxa"/>
              <w:left w:w="90" w:type="dxa"/>
              <w:bottom w:w="90" w:type="dxa"/>
              <w:right w:w="90" w:type="dxa"/>
            </w:tcMar>
            <w:vAlign w:val="center"/>
          </w:tcPr>
          <w:p w14:paraId="7CBC808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Weather data does not match micro-location conditions</w:t>
            </w:r>
          </w:p>
        </w:tc>
        <w:tc>
          <w:tcPr>
            <w:tcW w:w="1340" w:type="pct"/>
            <w:tcMar>
              <w:top w:w="90" w:type="dxa"/>
              <w:left w:w="90" w:type="dxa"/>
              <w:bottom w:w="90" w:type="dxa"/>
              <w:right w:w="90" w:type="dxa"/>
            </w:tcMar>
            <w:vAlign w:val="center"/>
          </w:tcPr>
          <w:p w14:paraId="669B31D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Risk of overclaiming weather effect</w:t>
            </w:r>
          </w:p>
        </w:tc>
        <w:tc>
          <w:tcPr>
            <w:tcW w:w="1778" w:type="pct"/>
            <w:tcMar>
              <w:top w:w="90" w:type="dxa"/>
              <w:left w:w="90" w:type="dxa"/>
              <w:bottom w:w="90" w:type="dxa"/>
              <w:right w:w="90" w:type="dxa"/>
            </w:tcMar>
            <w:vAlign w:val="center"/>
          </w:tcPr>
          <w:p w14:paraId="6AD35ED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association wording and service-date weather windows</w:t>
            </w:r>
          </w:p>
        </w:tc>
      </w:tr>
      <w:tr w:rsidR="0084730D" w:rsidRPr="00335C63" w14:paraId="3AA42908" w14:textId="77777777" w:rsidTr="00997D20">
        <w:trPr>
          <w:cantSplit/>
          <w:jc w:val="center"/>
        </w:trPr>
        <w:tc>
          <w:tcPr>
            <w:tcW w:w="1882" w:type="pct"/>
            <w:tcMar>
              <w:top w:w="90" w:type="dxa"/>
              <w:left w:w="90" w:type="dxa"/>
              <w:bottom w:w="90" w:type="dxa"/>
              <w:right w:w="90" w:type="dxa"/>
            </w:tcMar>
            <w:vAlign w:val="center"/>
          </w:tcPr>
          <w:p>
            <w:r>
              <w:t>Airflow, dbt, or Google Sheets access fails during demo</w:t>
            </w:r>
          </w:p>
        </w:tc>
        <w:tc>
          <w:tcPr>
            <w:tcW w:w="1340" w:type="pct"/>
            <w:tcMar>
              <w:top w:w="90" w:type="dxa"/>
              <w:left w:w="90" w:type="dxa"/>
              <w:bottom w:w="90" w:type="dxa"/>
              <w:right w:w="90" w:type="dxa"/>
            </w:tcMar>
            <w:vAlign w:val="center"/>
          </w:tcPr>
          <w:p>
            <w:r>
              <w:t>Pipeline/dashboard may show stale data</w:t>
            </w:r>
          </w:p>
        </w:tc>
        <w:tc>
          <w:tcPr>
            <w:tcW w:w="1778" w:type="pct"/>
            <w:tcMar>
              <w:top w:w="90" w:type="dxa"/>
              <w:left w:w="90" w:type="dxa"/>
              <w:bottom w:w="90" w:type="dxa"/>
              <w:right w:w="90" w:type="dxa"/>
            </w:tcMar>
            <w:vAlign w:val="center"/>
          </w:tcPr>
          <w:p>
            <w:r>
              <w:t>Show last successful refresh, failed task status, manual run fallback, and static exported marts for backup</w:t>
            </w:r>
          </w:p>
        </w:tc>
      </w:tr>
      <w:tr w:rsidR="0084730D" w:rsidRPr="00335C63" w14:paraId="49A80BE3" w14:textId="77777777" w:rsidTr="00997D20">
        <w:trPr>
          <w:cantSplit/>
          <w:jc w:val="center"/>
        </w:trPr>
        <w:tc>
          <w:tcPr>
            <w:tcW w:w="1882" w:type="pct"/>
            <w:tcMar>
              <w:top w:w="90" w:type="dxa"/>
              <w:left w:w="90" w:type="dxa"/>
              <w:bottom w:w="90" w:type="dxa"/>
              <w:right w:w="90" w:type="dxa"/>
            </w:tcMar>
            <w:vAlign w:val="center"/>
          </w:tcPr>
          <w:p>
            <w:r>
              <w:t>BigQuery/Superset/dbt setup takes longer than expected</w:t>
            </w:r>
          </w:p>
        </w:tc>
        <w:tc>
          <w:tcPr>
            <w:tcW w:w="1340" w:type="pct"/>
            <w:tcMar>
              <w:top w:w="90" w:type="dxa"/>
              <w:left w:w="90" w:type="dxa"/>
              <w:bottom w:w="90" w:type="dxa"/>
              <w:right w:w="90" w:type="dxa"/>
            </w:tcMar>
            <w:vAlign w:val="center"/>
          </w:tcPr>
          <w:p>
            <w:r>
              <w:t>Dashboard delivery risk</w:t>
            </w:r>
          </w:p>
        </w:tc>
        <w:tc>
          <w:tcPr>
            <w:tcW w:w="1778" w:type="pct"/>
            <w:tcMar>
              <w:top w:w="90" w:type="dxa"/>
              <w:left w:w="90" w:type="dxa"/>
              <w:bottom w:w="90" w:type="dxa"/>
              <w:right w:w="90" w:type="dxa"/>
            </w:tcMar>
            <w:vAlign w:val="center"/>
          </w:tcPr>
          <w:p>
            <w:r>
              <w:t>Build minimum Bronze/Silver/Gold path first and add advanced marts after core pipeline works</w:t>
            </w:r>
          </w:p>
        </w:tc>
      </w:tr>
      <w:tr w:rsidR="0084730D" w:rsidRPr="00335C63" w14:paraId="198FDF61" w14:textId="77777777" w:rsidTr="00997D20">
        <w:trPr>
          <w:cantSplit/>
          <w:jc w:val="center"/>
        </w:trPr>
        <w:tc>
          <w:tcPr>
            <w:tcW w:w="1882" w:type="pct"/>
            <w:tcMar>
              <w:top w:w="90" w:type="dxa"/>
              <w:left w:w="90" w:type="dxa"/>
              <w:bottom w:w="90" w:type="dxa"/>
              <w:right w:w="90" w:type="dxa"/>
            </w:tcMar>
            <w:vAlign w:val="center"/>
          </w:tcPr>
          <w:p w14:paraId="4EDCE99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Company users need simpler explanations</w:t>
            </w:r>
          </w:p>
        </w:tc>
        <w:tc>
          <w:tcPr>
            <w:tcW w:w="1340" w:type="pct"/>
            <w:tcMar>
              <w:top w:w="90" w:type="dxa"/>
              <w:left w:w="90" w:type="dxa"/>
              <w:bottom w:w="90" w:type="dxa"/>
              <w:right w:w="90" w:type="dxa"/>
            </w:tcMar>
            <w:vAlign w:val="center"/>
          </w:tcPr>
          <w:p w14:paraId="0BFA35C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Low adoption</w:t>
            </w:r>
          </w:p>
        </w:tc>
        <w:tc>
          <w:tcPr>
            <w:tcW w:w="1778" w:type="pct"/>
            <w:tcMar>
              <w:top w:w="90" w:type="dxa"/>
              <w:left w:w="90" w:type="dxa"/>
              <w:bottom w:w="90" w:type="dxa"/>
              <w:right w:w="90" w:type="dxa"/>
            </w:tcMar>
            <w:vAlign w:val="center"/>
          </w:tcPr>
          <w:p w14:paraId="18EEBB3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Use short recommendation labels and management-friendly dashboards</w:t>
            </w:r>
          </w:p>
        </w:tc>
      </w:tr>
      <w:tr>
        <w:tc>
          <w:tcPr>
            <w:tcW w:type="dxa" w:w="3394"/>
          </w:tcPr>
          <w:p>
            <w:r>
              <w:t>Flexible contracts map a field incorrectly</w:t>
            </w:r>
          </w:p>
        </w:tc>
        <w:tc>
          <w:tcPr>
            <w:tcW w:type="dxa" w:w="2416"/>
          </w:tcPr>
          <w:p>
            <w:r>
              <w:t>Analytics may use wrong source meaning</w:t>
            </w:r>
          </w:p>
        </w:tc>
        <w:tc>
          <w:tcPr>
            <w:tcW w:type="dxa" w:w="3206"/>
          </w:tcPr>
          <w:p>
            <w:r>
              <w:t>Store source-to-standard mappings, mapping confidence, and manual review notes in the data quality report</w:t>
            </w:r>
          </w:p>
        </w:tc>
      </w:tr>
    </w:tbl>
    <w:p w14:paraId="3F7955E5" w14:textId="77777777" w:rsidR="0084730D" w:rsidRPr="00335C63" w:rsidRDefault="0084730D" w:rsidP="000F4170">
      <w:pPr>
        <w:spacing w:line="360" w:lineRule="auto"/>
        <w:rPr>
          <w:rFonts w:ascii="Times New Roman" w:hAnsi="Times New Roman" w:cs="Times New Roman"/>
          <w:sz w:val="24"/>
          <w:szCs w:val="24"/>
        </w:rPr>
      </w:pPr>
    </w:p>
    <w:p w14:paraId="2CE0FAE0" w14:textId="77777777" w:rsidR="0084730D" w:rsidRPr="00335C63" w:rsidRDefault="00357319" w:rsidP="000F4170">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t>References</w:t>
      </w:r>
    </w:p>
    <w:p>
      <w:pPr/>
      <w:r>
        <w:t>Apache Airflow. (2026). Apache Airflow documentation. https://airflow.apache.org/docs/</w:t>
      </w:r>
    </w:p>
    <w:p>
      <w:pPr/>
      <w:r>
        <w:t>Apache Airflow. (2026). DAGs. https://airflow.apache.org/docs/apache-airflow/stable/core-concepts/dags.html</w:t>
      </w:r>
    </w:p>
    <w:p>
      <w:pPr/>
      <w:r>
        <w:t>Apache Superset. (2026). Google BigQuery database support. https://superset.apache.org/user-docs/databases/supported/google-bigquery</w:t>
      </w:r>
    </w:p>
    <w:p>
      <w:pPr/>
      <w:r>
        <w:t>Apache Superset. (2026). Introduction to Apache Superset. https://superset.apache.org/user-docs/intro/</w:t>
      </w:r>
    </w:p>
    <w:p>
      <w:pPr/>
      <w:r>
        <w:t>Biswas, S., Mohite, J., &amp; Pappula, S. (2022). Systems and methods for pest forecasting using historical pesticide usage information. U.S. Patent No. US11397837B2. https://patents.google.com/patent/US11397837B2</w:t>
      </w:r>
    </w:p>
    <w:p>
      <w:pPr/>
      <w:r>
        <w:t>Blacketer, C., Defalco, F. J., Ryan, P. B., &amp; Rijnbeek, P. R. (2021). Increasing trust in real-world evidence through evaluation of observational data quality. Journal of the American Medical Informatics Association, 28(10), 2251-2257. https://doi.org/10.1093/jamia/ocab132</w:t>
      </w:r>
    </w:p>
    <w:p>
      <w:pPr/>
      <w:r>
        <w:t>Brimblecombe, P., Muller, G., Schmidt, M., Tischhauser, W., Landau, I., &amp; Querner, P. (2023). Urban pest abundance and public enquiries in Zurich 1991-2022. Insects, 14(10), 798. https://doi.org/10.3390/insects14100798</w:t>
      </w:r>
    </w:p>
    <w:p>
      <w:pPr/>
      <w:r>
        <w:t>Calatayud, J., Jornet, M., Mateu, J., &amp; Pinto, C. M. A. (2023). A new population model for urban infestations. Chaos, Solitons &amp; Fractals, 175, 113939. https://doi.org/10.1016/j.chaos.2023.113939</w:t>
      </w:r>
    </w:p>
    <w:p>
      <w:pPr/>
      <w:r>
        <w:t>Choi, C., &amp; Hong, S.-Y. (2021). MDST-DBSCAN: A density-based clustering method for multidimensional spatiotemporal data. ISPRS International Journal of Geo-Information, 10(6), 391. https://doi.org/10.3390/ijgi10060391</w:t>
      </w:r>
    </w:p>
    <w:p>
      <w:pPr/>
      <w:r>
        <w:t>Cordon, J. A. (2026). Temporal evolution of predictive heat maps for Periplaneta americana infestation in urban sanitation networks (April 7 - June 23, 2022). Zenodo. https://doi.org/10.5281/zenodo.18186918</w:t>
      </w:r>
    </w:p>
    <w:p>
      <w:pPr/>
      <w:r>
        <w:t>dbt Labs. (2026). About dbt documentation. https://docs.getdbt.com/docs/build/documentation</w:t>
      </w:r>
    </w:p>
    <w:p>
      <w:pPr/>
      <w:r>
        <w:t>dbt Labs. (2026). What is dbt? https://docs.getdbt.com/docs/introduction</w:t>
      </w:r>
    </w:p>
    <w:p>
      <w:pPr/>
      <w:r>
        <w:t>Dey, S., &amp; Roy, S. (2025). Digital Guardians: Revolutionizing pest management with AI and IoT for a greener future. In IoT and advanced intelligence computation for smart agriculture. CRC Press. https://doi.org/10.1201/9781003527664-5</w:t>
      </w:r>
    </w:p>
    <w:p>
      <w:pPr/>
      <w:r>
        <w:t>Ejike, O., Ndzi, D., &amp; Shakir, M. Z. (2025). Comparative study of machine learning-based rainfall prediction in tropical and temperate climates. Climate, 13(8), 167. https://doi.org/10.3390/cli13080167</w:t>
      </w:r>
    </w:p>
    <w:p>
      <w:pPr/>
      <w:r>
        <w:t>Erguler, K., et al. (2024). VEClim: An early warning decision support system for climate-sensitive vector activity and vector-borne disease risk assessment. Wellcome Open Research, 9, 697. https://doi.org/10.12688/wellcomeopenres.23122.1</w:t>
      </w:r>
    </w:p>
    <w:p>
      <w:pPr/>
      <w:r>
        <w:t>Fiori, M., Fois, G., Gerardi, M. S., Maggio, F., Milesi, C., &amp; Pinna, A. (2024). SMARTerra, a high-resolution decision support system for monitoring plant pests and diseases. Applied Sciences, 14(18), 8275. https://doi.org/10.3390/app14188275</w:t>
      </w:r>
    </w:p>
    <w:p>
      <w:pPr/>
      <w:r>
        <w:t>Fu, Q., Nicholson, G. L., &amp; Easton, J. M. (2024). Understanding data quality in a data-driven industry context: Insights from the fundamentals. Journal of Industrial Information Integration, 42, 100729. https://doi.org/10.1016/j.jii.2024.100729</w:t>
      </w:r>
    </w:p>
    <w:p>
      <w:pPr/>
      <w:r>
        <w:t>Google Calendar. (2026). Events: list. https://developers.google.com/workspace/calendar/api/v3/reference/events/list</w:t>
      </w:r>
    </w:p>
    <w:p>
      <w:pPr/>
      <w:r>
        <w:t>Google Calendar. (2026). Google Calendar API overview. https://developers.google.com/workspace/calendar/api/guides/overview</w:t>
      </w:r>
    </w:p>
    <w:p>
      <w:pPr/>
      <w:r>
        <w:t>Google Cloud. (2026). BigQuery documentation. https://cloud.google.com/bigquery/docs</w:t>
      </w:r>
    </w:p>
    <w:p>
      <w:pPr/>
      <w:r>
        <w:t>Google Cloud. (2026). Introduction to BigQuery. https://cloud.google.com/bigquery/docs/introduction</w:t>
      </w:r>
    </w:p>
    <w:p>
      <w:pPr/>
      <w:r>
        <w:t>Gurcan, F., Ayaz, A., Menekse Dalveren, G. G., &amp; Derawi, M. (2023). Business intelligence strategies, best practices, and latest trends: Analysis of scientometric data from 2003 to 2023 using machine learning. Sustainability, 15(13), 9854. https://doi.org/10.3390/su15139854</w:t>
      </w:r>
    </w:p>
    <w:p>
      <w:pPr/>
      <w:r>
        <w:t>Hiscox, A., Spencer, F., Dennehy, J., Dyall, W., Jenkins, A., Narendran, A., Das, A., Logan, J. G., &amp; Jones, R. T. (2025). The impact of adverse weather events on cockroaches and flies, and the possible effects on disease. Medical and Veterinary Entomology, 39(3), 500-514. https://doi.org/10.1111/mve.12797</w:t>
      </w:r>
    </w:p>
    <w:p>
      <w:pPr/>
      <w:r>
        <w:t>Kaloudis, E., Agrafioti, P., Sakka, M. K., &amp; Lampiri, E. (2026). A temperature-driven population dynamics model based on biweekly insect trap counts for stored-product pest management. Preprints. https://www.preprints.org/manuscript/202603.0573</w:t>
      </w:r>
    </w:p>
    <w:p>
      <w:pPr/>
      <w:r>
        <w:t>Leybourne, D. J., Musa, N., &amp; Yang, P. (2025). Can artificial intelligence be integrated into pest monitoring schemes to help achieve sustainable agriculture? An entomological, management and computational perspective. Agricultural and Forest Entomology, 27(1), 8-17. https://doi.org/10.1111/afe.12630</w:t>
      </w:r>
    </w:p>
    <w:p>
      <w:pPr/>
      <w:r>
        <w:t>Li, W., Dodwell, E., &amp; Cook, D. (2023). A clustering algorithm to organize satellite hotspot data for the purpose of tracking bushfires remotely. The R Journal, 15(1), 17-33. https://journal.r-project.org/articles/RJ-2023-022/</w:t>
      </w:r>
    </w:p>
    <w:p>
      <w:pPr/>
      <w:r>
        <w:t>Lu, X., Wijayaratna, K., Huang, Y., &amp; Qiu, A. (2022). AI-enabled opportunities and transformation challenges for SMEs in the post-pandemic era: A review and research agenda. Frontiers in Public Health, 10, 885067. https://doi.org/10.3389/fpubh.2022.885067</w:t>
      </w:r>
    </w:p>
    <w:p>
      <w:pPr/>
      <w:r>
        <w:t>Malaysia OpenAPI. (2026). Weather: Malaysia official Open API. https://developer.data.gov.my/realtime-api/weather</w:t>
      </w:r>
    </w:p>
    <w:p>
      <w:pPr/>
      <w:r>
        <w:t>Malaysian Meteorological Department. (2026). Web Service API. https://api.met.gov.my/</w:t>
      </w:r>
    </w:p>
    <w:p>
      <w:pPr/>
      <w:r>
        <w:t>Marinko, J., Blazica, B., Jorgensen, L. N., Matzen, N., Ramsden, M., &amp; Debeljak, M. (2024).</w:t>
      </w:r>
    </w:p>
    <w:p>
      <w:pPr/>
      <w:r>
        <w:t>Marinko, J., Kuzmanovski, V., Ramsden, M., &amp; Debeljak, M. (2025). Overcoming barriers to the adoption of decision support systems in integrated pest management in some European countries. Agronomy, 15(2), 426. https://doi.org/10.3390/agronomy15020426</w:t>
      </w:r>
    </w:p>
    <w:p>
      <w:pPr/>
      <w:r>
        <w:t>Open-Meteo. (2026). Historical Weather API. https://open-meteo.com/en/docs/historical-weather-api</w:t>
      </w:r>
    </w:p>
    <w:p>
      <w:pPr/>
      <w:r>
        <w:t>Open-Meteo. (2026). Licence and data sources. https://open-meteo.com/en/licence</w:t>
      </w:r>
    </w:p>
    <w:p>
      <w:pPr/>
      <w:r>
        <w:t>Pinto, A. F., Olmstead, D., Calixto, A. A., &amp; Gomez, M. I. (2025). Network for Environment and Weather Applications: An overview of the digital pest management decision support tool. Applied Economics Teaching Resources. https://www.aetrjournal.org/UserFiles/file/AETR_2025_0218%20Final.pdf</w:t>
      </w:r>
    </w:p>
    <w:p>
      <w:pPr/>
      <w:r>
        <w:t>Ragazou, K., Passas, I., Garefalakis, A., &amp; Zopounidis, C. (2023). Business intelligence model empowering SMEs to make better decisions and enhance their competitive advantage. Discover Analytics, 1, 2. https://doi.org/10.1007/s44257-022-00002-3</w:t>
      </w:r>
    </w:p>
    <w:p>
      <w:pPr/>
      <w:r>
        <w:t>Richardson, J. L., McCoy, E. P., Parlavecchio, N., et al. (2025). Increasing rat numbers in cities are linked to climate warming, urbanization, and human population. Science Advances, 11(5), eads6782. https://doi.org/10.1126/sciadv.ads6782</w:t>
      </w:r>
    </w:p>
    <w:p>
      <w:pPr/>
      <w:r>
        <w:t>Schulze, A., Brand, F., Geppert, J., &amp; Bol, G.-F. (2023). Digital dashboards visualizing public health data: A systematic review. Frontiers in Public Health, 11, 999958. https://doi.org/10.3389/fpubh.2023.999958</w:t>
      </w:r>
    </w:p>
    <w:p>
      <w:pPr/>
      <w:r>
        <w:t>Sumido, E. C., Feliscuzo, L. S., &amp; Aliac, C. J. G. (2023). Pest classification and prediction: Analyzing the impact of weather to pest occurrence through machine learning. Journal of Engineering Science and Technology, 18, 124-138.</w:t>
      </w:r>
    </w:p>
    <w:p>
      <w:pPr/>
      <w:r>
        <w:t>Tonle, F. B. N., Niassy, S., Ndadji, M. M. Z., Tchendji, M. T., Nzeukou, A., Mudereri, B. T., Senagi, K., &amp; Tonnang, H. E. Z. (2024). A road map for developing novel decision support system (DSS) for disseminating integrated pest management (IPM) technologies. Computers and Electronics in Agriculture, 217, 108526. https://doi.org/10.1016/j.compag.2023.108526</w:t>
      </w:r>
    </w:p>
    <w:p>
      <w:pPr/>
      <w:r>
        <w:t>Typology for decision support systems in integrated pest management and its implementation as a web application. Agronomy, 14(3), 485. https://doi.org/10.3390/agronomy14030485</w:t>
      </w:r>
    </w:p>
    <w:p>
      <w:pPr/>
      <w:r>
        <w:t>Yao, J., Zhou, Z., Liu, H., Yao, S., &amp; Wu, J. (2026). Analyzing the influence of environment, demographic and socio-economic factors on Aedes albopictus (Diptera: Culicidae) mosquito density at the micro-level using XGBoost and SHAP. Parasites &amp; Vectors, 19, 71. https://doi.org/10.1186/s13071-025-07220-0</w:t>
      </w:r>
    </w:p>
    <w:p>
      <w:pPr/>
      <w:r>
        <w:t>Zippenfenig, P. (2023). Open-Meteo.com Weather API [Computer software]. Zenodo. https://doi.org/10.5281/zenodo.7970649</w:t>
      </w:r>
    </w:p>
    <w:p w14:paraId="51A77332" w14:textId="77777777" w:rsidR="0084730D" w:rsidRPr="00335C63" w:rsidRDefault="00357319" w:rsidP="000F4170">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t>Appendix A: Proposed Dashboard Modules</w:t>
      </w:r>
    </w:p>
    <w:p w14:paraId="1FFB31AA"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Executive Summary</w:t>
      </w:r>
    </w:p>
    <w:p w14:paraId="02ACFAD6"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 xml:space="preserve">Overview of customers, services, revenue, warranty claims, refunds, recurrence, weather-associated risk, hotspots, and </w:t>
      </w:r>
      <w:proofErr w:type="gramStart"/>
      <w:r w:rsidRPr="00335C63">
        <w:rPr>
          <w:rFonts w:ascii="Times New Roman" w:hAnsi="Times New Roman" w:cs="Times New Roman"/>
          <w:sz w:val="24"/>
          <w:szCs w:val="24"/>
        </w:rPr>
        <w:t>upsell</w:t>
      </w:r>
      <w:proofErr w:type="gramEnd"/>
      <w:r w:rsidRPr="00335C63">
        <w:rPr>
          <w:rFonts w:ascii="Times New Roman" w:hAnsi="Times New Roman" w:cs="Times New Roman"/>
          <w:sz w:val="24"/>
          <w:szCs w:val="24"/>
        </w:rPr>
        <w:t xml:space="preserve"> performance.</w:t>
      </w:r>
    </w:p>
    <w:p w14:paraId="411FA06F"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Marketing and Funnel</w:t>
      </w:r>
    </w:p>
    <w:p w14:paraId="755AA11C"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Ad source quality, prospect conversion, follow-up depth, PIC performance, payment-link conversion, and lead-to-close time.</w:t>
      </w:r>
    </w:p>
    <w:p w14:paraId="30E39766"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Area and Weather Risk</w:t>
      </w:r>
    </w:p>
    <w:p w14:paraId="2633F102"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Area-level risk indicators using rainfall windows, flood/warning flags, pest volume, repeat rate, and complaint/refund signals.</w:t>
      </w:r>
    </w:p>
    <w:p w14:paraId="31B1A21C"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Treatment Difficulty</w:t>
      </w:r>
    </w:p>
    <w:p w14:paraId="06A4D17C"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Ranking of area, pest type, and team based on repeat problems, warranty claims, refunds, complimentary services, and extra sessions.</w:t>
      </w:r>
    </w:p>
    <w:p w14:paraId="7C053632"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Warranty and Repeat Analysis</w:t>
      </w:r>
    </w:p>
    <w:p w14:paraId="6EFD062F"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Warranty factor categories by period, area, pest type, team, and technician with a review queue.</w:t>
      </w:r>
    </w:p>
    <w:p w14:paraId="7BE33A2C"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Recurrence and Hotspots</w:t>
      </w:r>
    </w:p>
    <w:p w14:paraId="573BA8FD"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Days-to-recurrence buckets and DBSCAN/KDE hotspot map for emerging repeat-problem clusters.</w:t>
      </w:r>
    </w:p>
    <w:p w14:paraId="26CEC741"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Upsell Intelligence</w:t>
      </w:r>
    </w:p>
    <w:p w14:paraId="65BEDE2E"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Package effectiveness, package-fit matrix, upsell window performance, and future response tracking template.</w:t>
      </w:r>
    </w:p>
    <w:p w14:paraId="665E752F"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lastRenderedPageBreak/>
        <w:t>Scheduling Capacity</w:t>
      </w:r>
    </w:p>
    <w:p w14:paraId="50C26A2F"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Calendar slot usage, new/warranty/extra split, peak booking times, area density, and session gap analysis.</w:t>
      </w:r>
    </w:p>
    <w:p w14:paraId="4D706C4F"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Refund Root Cause</w:t>
      </w:r>
    </w:p>
    <w:p w14:paraId="6CF7E75E"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Standardised refund categories and financial impact by area, pest, source, and technician review indicator.</w:t>
      </w:r>
    </w:p>
    <w:p w14:paraId="7D73E4BA"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Data Quality and Refresh</w:t>
      </w:r>
    </w:p>
    <w:p w14:paraId="621A9CD8"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Missing-value summary, duplicate count, invalid-date records, unmatched customer records, coordinate match confidence, weather enrichment coverage, calendar match confidence, last refresh time, and failed refresh status.</w:t>
      </w:r>
    </w:p>
    <w:p w14:paraId="31FFEC40" w14:textId="77777777" w:rsidR="0084730D" w:rsidRPr="00335C63" w:rsidRDefault="00357319" w:rsidP="000F4170">
      <w:pPr>
        <w:pStyle w:val="Heading3"/>
        <w:spacing w:line="360" w:lineRule="auto"/>
        <w:rPr>
          <w:rFonts w:ascii="Times New Roman" w:hAnsi="Times New Roman" w:cs="Times New Roman"/>
          <w:szCs w:val="24"/>
        </w:rPr>
      </w:pPr>
      <w:r w:rsidRPr="00335C63">
        <w:rPr>
          <w:rFonts w:ascii="Times New Roman" w:hAnsi="Times New Roman" w:cs="Times New Roman"/>
          <w:szCs w:val="24"/>
        </w:rPr>
        <w:t>Recommendation Log</w:t>
      </w:r>
    </w:p>
    <w:p w14:paraId="42172EAA" w14:textId="77777777" w:rsidR="0084730D" w:rsidRPr="00335C63" w:rsidRDefault="00357319" w:rsidP="000F4170">
      <w:pPr>
        <w:spacing w:line="360" w:lineRule="auto"/>
        <w:rPr>
          <w:rFonts w:ascii="Times New Roman" w:hAnsi="Times New Roman" w:cs="Times New Roman"/>
          <w:sz w:val="24"/>
          <w:szCs w:val="24"/>
        </w:rPr>
      </w:pPr>
      <w:r w:rsidRPr="00335C63">
        <w:rPr>
          <w:rFonts w:ascii="Times New Roman" w:hAnsi="Times New Roman" w:cs="Times New Roman"/>
          <w:sz w:val="24"/>
          <w:szCs w:val="24"/>
        </w:rPr>
        <w:t>Generated prescriptive suggestions, supporting reasons, confidence or review labels, management action taken, and later outcome tracking for continuous improvement.</w:t>
      </w:r>
    </w:p>
    <w:p w14:paraId="0E65FA51" w14:textId="77777777" w:rsidR="0084730D" w:rsidRPr="00335C63" w:rsidRDefault="00357319" w:rsidP="000F4170">
      <w:pPr>
        <w:pStyle w:val="Heading1"/>
        <w:spacing w:line="360" w:lineRule="auto"/>
        <w:rPr>
          <w:rFonts w:ascii="Times New Roman" w:hAnsi="Times New Roman" w:cs="Times New Roman"/>
          <w:sz w:val="24"/>
          <w:szCs w:val="24"/>
        </w:rPr>
      </w:pPr>
      <w:r w:rsidRPr="00335C63">
        <w:rPr>
          <w:rFonts w:ascii="Times New Roman" w:hAnsi="Times New Roman" w:cs="Times New Roman"/>
          <w:sz w:val="24"/>
          <w:szCs w:val="24"/>
        </w:rPr>
        <w:t>Appendix B: Proposed Data Warehouse Tables</w:t>
      </w:r>
    </w:p>
    <w:tbl>
      <w:tblPr>
        <w:tblStyle w:val="TableGrid"/>
        <w:tblW w:w="5000" w:type="pct"/>
        <w:jc w:val="center"/>
        <w:tblLook w:val="04A0" w:firstRow="1" w:lastRow="0" w:firstColumn="1" w:lastColumn="0" w:noHBand="0" w:noVBand="1"/>
      </w:tblPr>
      <w:tblGrid>
        <w:gridCol w:w="3764"/>
        <w:gridCol w:w="1711"/>
        <w:gridCol w:w="3541"/>
      </w:tblGrid>
      <w:tr w:rsidR="0084730D" w:rsidRPr="00335C63" w14:paraId="7EF5F433" w14:textId="77777777" w:rsidTr="00997D20">
        <w:trPr>
          <w:cantSplit/>
          <w:tblHeader/>
          <w:jc w:val="center"/>
        </w:trPr>
        <w:tc>
          <w:tcPr>
            <w:tcW w:w="2087" w:type="pct"/>
            <w:shd w:val="clear" w:color="auto" w:fill="E8F1FA"/>
            <w:tcMar>
              <w:top w:w="90" w:type="dxa"/>
              <w:left w:w="90" w:type="dxa"/>
              <w:bottom w:w="90" w:type="dxa"/>
              <w:right w:w="90" w:type="dxa"/>
            </w:tcMar>
            <w:vAlign w:val="center"/>
          </w:tcPr>
          <w:p w14:paraId="79409EA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Table/View</w:t>
            </w:r>
          </w:p>
        </w:tc>
        <w:tc>
          <w:tcPr>
            <w:tcW w:w="949" w:type="pct"/>
            <w:shd w:val="clear" w:color="auto" w:fill="E8F1FA"/>
            <w:tcMar>
              <w:top w:w="90" w:type="dxa"/>
              <w:left w:w="90" w:type="dxa"/>
              <w:bottom w:w="90" w:type="dxa"/>
              <w:right w:w="90" w:type="dxa"/>
            </w:tcMar>
            <w:vAlign w:val="center"/>
          </w:tcPr>
          <w:p w14:paraId="3F12A94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Type</w:t>
            </w:r>
          </w:p>
        </w:tc>
        <w:tc>
          <w:tcPr>
            <w:tcW w:w="1964" w:type="pct"/>
            <w:shd w:val="clear" w:color="auto" w:fill="E8F1FA"/>
            <w:tcMar>
              <w:top w:w="90" w:type="dxa"/>
              <w:left w:w="90" w:type="dxa"/>
              <w:bottom w:w="90" w:type="dxa"/>
              <w:right w:w="90" w:type="dxa"/>
            </w:tcMar>
            <w:vAlign w:val="center"/>
          </w:tcPr>
          <w:p w14:paraId="49F60A4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b/>
                <w:color w:val="142332"/>
                <w:sz w:val="24"/>
                <w:szCs w:val="24"/>
              </w:rPr>
              <w:t>Purpose</w:t>
            </w:r>
          </w:p>
        </w:tc>
      </w:tr>
      <w:tr w:rsidR="0084730D" w:rsidRPr="00335C63" w14:paraId="3E2673B0" w14:textId="77777777" w:rsidTr="00997D20">
        <w:trPr>
          <w:cantSplit/>
          <w:jc w:val="center"/>
        </w:trPr>
        <w:tc>
          <w:tcPr>
            <w:tcW w:w="2087" w:type="pct"/>
            <w:tcMar>
              <w:top w:w="90" w:type="dxa"/>
              <w:left w:w="90" w:type="dxa"/>
              <w:bottom w:w="90" w:type="dxa"/>
              <w:right w:w="90" w:type="dxa"/>
            </w:tcMar>
            <w:vAlign w:val="center"/>
          </w:tcPr>
          <w:p>
            <w:r>
              <w:t>bronze_* tables</w:t>
            </w:r>
          </w:p>
        </w:tc>
        <w:tc>
          <w:tcPr>
            <w:tcW w:w="949" w:type="pct"/>
            <w:tcMar>
              <w:top w:w="90" w:type="dxa"/>
              <w:left w:w="90" w:type="dxa"/>
              <w:bottom w:w="90" w:type="dxa"/>
              <w:right w:w="90" w:type="dxa"/>
            </w:tcMar>
            <w:vAlign w:val="center"/>
          </w:tcPr>
          <w:p>
            <w:r>
              <w:t>Bronze raw</w:t>
            </w:r>
          </w:p>
        </w:tc>
        <w:tc>
          <w:tcPr>
            <w:tcW w:w="1964" w:type="pct"/>
            <w:tcMar>
              <w:top w:w="90" w:type="dxa"/>
              <w:left w:w="90" w:type="dxa"/>
              <w:bottom w:w="90" w:type="dxa"/>
              <w:right w:w="90" w:type="dxa"/>
            </w:tcMar>
            <w:vAlign w:val="center"/>
          </w:tcPr>
          <w:p>
            <w:r>
              <w:t>Preserve imported Google Sheets/CSV/calendar/weather data with source metadata, loaded_at, source_name, and row hash</w:t>
            </w:r>
          </w:p>
        </w:tc>
      </w:tr>
      <w:tr w:rsidR="0084730D" w:rsidRPr="00335C63" w14:paraId="2EC9B9E7" w14:textId="77777777" w:rsidTr="00997D20">
        <w:trPr>
          <w:cantSplit/>
          <w:jc w:val="center"/>
        </w:trPr>
        <w:tc>
          <w:tcPr>
            <w:tcW w:w="2087" w:type="pct"/>
            <w:tcMar>
              <w:top w:w="90" w:type="dxa"/>
              <w:left w:w="90" w:type="dxa"/>
              <w:bottom w:w="90" w:type="dxa"/>
              <w:right w:w="90" w:type="dxa"/>
            </w:tcMar>
            <w:vAlign w:val="center"/>
          </w:tcPr>
          <w:p w14:paraId="6430FBC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dim_customer</w:t>
            </w:r>
          </w:p>
        </w:tc>
        <w:tc>
          <w:tcPr>
            <w:tcW w:w="949" w:type="pct"/>
            <w:tcMar>
              <w:top w:w="90" w:type="dxa"/>
              <w:left w:w="90" w:type="dxa"/>
              <w:bottom w:w="90" w:type="dxa"/>
              <w:right w:w="90" w:type="dxa"/>
            </w:tcMar>
            <w:vAlign w:val="center"/>
          </w:tcPr>
          <w:p w14:paraId="46370CA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Dimension</w:t>
            </w:r>
          </w:p>
        </w:tc>
        <w:tc>
          <w:tcPr>
            <w:tcW w:w="1964" w:type="pct"/>
            <w:tcMar>
              <w:top w:w="90" w:type="dxa"/>
              <w:left w:w="90" w:type="dxa"/>
              <w:bottom w:w="90" w:type="dxa"/>
              <w:right w:w="90" w:type="dxa"/>
            </w:tcMar>
            <w:vAlign w:val="center"/>
          </w:tcPr>
          <w:p w14:paraId="48EC5D7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Customer profile with anonymised reporting support</w:t>
            </w:r>
          </w:p>
        </w:tc>
      </w:tr>
      <w:tr w:rsidR="0084730D" w:rsidRPr="00335C63" w14:paraId="4E9864E2" w14:textId="77777777" w:rsidTr="00997D20">
        <w:trPr>
          <w:cantSplit/>
          <w:jc w:val="center"/>
        </w:trPr>
        <w:tc>
          <w:tcPr>
            <w:tcW w:w="2087" w:type="pct"/>
            <w:tcMar>
              <w:top w:w="90" w:type="dxa"/>
              <w:left w:w="90" w:type="dxa"/>
              <w:bottom w:w="90" w:type="dxa"/>
              <w:right w:w="90" w:type="dxa"/>
            </w:tcMar>
            <w:vAlign w:val="center"/>
          </w:tcPr>
          <w:p w14:paraId="0BEDA47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dim_area</w:t>
            </w:r>
          </w:p>
        </w:tc>
        <w:tc>
          <w:tcPr>
            <w:tcW w:w="949" w:type="pct"/>
            <w:tcMar>
              <w:top w:w="90" w:type="dxa"/>
              <w:left w:w="90" w:type="dxa"/>
              <w:bottom w:w="90" w:type="dxa"/>
              <w:right w:w="90" w:type="dxa"/>
            </w:tcMar>
            <w:vAlign w:val="center"/>
          </w:tcPr>
          <w:p w14:paraId="36CA4E8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Dimension</w:t>
            </w:r>
          </w:p>
        </w:tc>
        <w:tc>
          <w:tcPr>
            <w:tcW w:w="1964" w:type="pct"/>
            <w:tcMar>
              <w:top w:w="90" w:type="dxa"/>
              <w:left w:w="90" w:type="dxa"/>
              <w:bottom w:w="90" w:type="dxa"/>
              <w:right w:w="90" w:type="dxa"/>
            </w:tcMar>
            <w:vAlign w:val="center"/>
          </w:tcPr>
          <w:p w14:paraId="0A328156"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Area/postcode/city/state and centroid coordinates</w:t>
            </w:r>
          </w:p>
        </w:tc>
      </w:tr>
      <w:tr w:rsidR="0084730D" w:rsidRPr="00335C63" w14:paraId="13F33CDC" w14:textId="77777777" w:rsidTr="00997D20">
        <w:trPr>
          <w:cantSplit/>
          <w:jc w:val="center"/>
        </w:trPr>
        <w:tc>
          <w:tcPr>
            <w:tcW w:w="2087" w:type="pct"/>
            <w:tcMar>
              <w:top w:w="90" w:type="dxa"/>
              <w:left w:w="90" w:type="dxa"/>
              <w:bottom w:w="90" w:type="dxa"/>
              <w:right w:w="90" w:type="dxa"/>
            </w:tcMar>
            <w:vAlign w:val="center"/>
          </w:tcPr>
          <w:p w14:paraId="4763051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dim_pest</w:t>
            </w:r>
          </w:p>
        </w:tc>
        <w:tc>
          <w:tcPr>
            <w:tcW w:w="949" w:type="pct"/>
            <w:tcMar>
              <w:top w:w="90" w:type="dxa"/>
              <w:left w:w="90" w:type="dxa"/>
              <w:bottom w:w="90" w:type="dxa"/>
              <w:right w:w="90" w:type="dxa"/>
            </w:tcMar>
            <w:vAlign w:val="center"/>
          </w:tcPr>
          <w:p w14:paraId="3CC859F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Dimension</w:t>
            </w:r>
          </w:p>
        </w:tc>
        <w:tc>
          <w:tcPr>
            <w:tcW w:w="1964" w:type="pct"/>
            <w:tcMar>
              <w:top w:w="90" w:type="dxa"/>
              <w:left w:w="90" w:type="dxa"/>
              <w:bottom w:w="90" w:type="dxa"/>
              <w:right w:w="90" w:type="dxa"/>
            </w:tcMar>
            <w:vAlign w:val="center"/>
          </w:tcPr>
          <w:p w14:paraId="6D31360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Standardised pest type labels</w:t>
            </w:r>
          </w:p>
        </w:tc>
      </w:tr>
      <w:tr w:rsidR="0084730D" w:rsidRPr="00335C63" w14:paraId="2BF95F61" w14:textId="77777777" w:rsidTr="00997D20">
        <w:trPr>
          <w:cantSplit/>
          <w:jc w:val="center"/>
        </w:trPr>
        <w:tc>
          <w:tcPr>
            <w:tcW w:w="2087" w:type="pct"/>
            <w:tcMar>
              <w:top w:w="90" w:type="dxa"/>
              <w:left w:w="90" w:type="dxa"/>
              <w:bottom w:w="90" w:type="dxa"/>
              <w:right w:w="90" w:type="dxa"/>
            </w:tcMar>
            <w:vAlign w:val="center"/>
          </w:tcPr>
          <w:p w14:paraId="757276F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fact_service</w:t>
            </w:r>
          </w:p>
        </w:tc>
        <w:tc>
          <w:tcPr>
            <w:tcW w:w="949" w:type="pct"/>
            <w:tcMar>
              <w:top w:w="90" w:type="dxa"/>
              <w:left w:w="90" w:type="dxa"/>
              <w:bottom w:w="90" w:type="dxa"/>
              <w:right w:w="90" w:type="dxa"/>
            </w:tcMar>
            <w:vAlign w:val="center"/>
          </w:tcPr>
          <w:p w14:paraId="434A168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w:t>
            </w:r>
          </w:p>
        </w:tc>
        <w:tc>
          <w:tcPr>
            <w:tcW w:w="1964" w:type="pct"/>
            <w:tcMar>
              <w:top w:w="90" w:type="dxa"/>
              <w:left w:w="90" w:type="dxa"/>
              <w:bottom w:w="90" w:type="dxa"/>
              <w:right w:w="90" w:type="dxa"/>
            </w:tcMar>
            <w:vAlign w:val="center"/>
          </w:tcPr>
          <w:p w14:paraId="0C4E1E9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One row per service/session with date, area, pest, package, technician/team</w:t>
            </w:r>
          </w:p>
        </w:tc>
      </w:tr>
      <w:tr w:rsidR="0084730D" w:rsidRPr="00335C63" w14:paraId="15CE653D" w14:textId="77777777" w:rsidTr="00997D20">
        <w:trPr>
          <w:cantSplit/>
          <w:jc w:val="center"/>
        </w:trPr>
        <w:tc>
          <w:tcPr>
            <w:tcW w:w="2087" w:type="pct"/>
            <w:tcMar>
              <w:top w:w="90" w:type="dxa"/>
              <w:left w:w="90" w:type="dxa"/>
              <w:bottom w:w="90" w:type="dxa"/>
              <w:right w:w="90" w:type="dxa"/>
            </w:tcMar>
            <w:vAlign w:val="center"/>
          </w:tcPr>
          <w:p w14:paraId="18CCC6C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fact_warranty</w:t>
            </w:r>
          </w:p>
        </w:tc>
        <w:tc>
          <w:tcPr>
            <w:tcW w:w="949" w:type="pct"/>
            <w:tcMar>
              <w:top w:w="90" w:type="dxa"/>
              <w:left w:w="90" w:type="dxa"/>
              <w:bottom w:w="90" w:type="dxa"/>
              <w:right w:w="90" w:type="dxa"/>
            </w:tcMar>
            <w:vAlign w:val="center"/>
          </w:tcPr>
          <w:p w14:paraId="02F1D50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w:t>
            </w:r>
          </w:p>
        </w:tc>
        <w:tc>
          <w:tcPr>
            <w:tcW w:w="1964" w:type="pct"/>
            <w:tcMar>
              <w:top w:w="90" w:type="dxa"/>
              <w:left w:w="90" w:type="dxa"/>
              <w:bottom w:w="90" w:type="dxa"/>
              <w:right w:w="90" w:type="dxa"/>
            </w:tcMar>
            <w:vAlign w:val="center"/>
          </w:tcPr>
          <w:p w14:paraId="1285104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Warranty claims, suspected factors, review priority, repeat/unresolved flags</w:t>
            </w:r>
          </w:p>
        </w:tc>
      </w:tr>
      <w:tr w:rsidR="0084730D" w:rsidRPr="00335C63" w14:paraId="40AB0D70" w14:textId="77777777" w:rsidTr="00997D20">
        <w:trPr>
          <w:cantSplit/>
          <w:jc w:val="center"/>
        </w:trPr>
        <w:tc>
          <w:tcPr>
            <w:tcW w:w="2087" w:type="pct"/>
            <w:tcMar>
              <w:top w:w="90" w:type="dxa"/>
              <w:left w:w="90" w:type="dxa"/>
              <w:bottom w:w="90" w:type="dxa"/>
              <w:right w:w="90" w:type="dxa"/>
            </w:tcMar>
            <w:vAlign w:val="center"/>
          </w:tcPr>
          <w:p w14:paraId="2A0E9FC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fact_refund</w:t>
            </w:r>
          </w:p>
        </w:tc>
        <w:tc>
          <w:tcPr>
            <w:tcW w:w="949" w:type="pct"/>
            <w:tcMar>
              <w:top w:w="90" w:type="dxa"/>
              <w:left w:w="90" w:type="dxa"/>
              <w:bottom w:w="90" w:type="dxa"/>
              <w:right w:w="90" w:type="dxa"/>
            </w:tcMar>
            <w:vAlign w:val="center"/>
          </w:tcPr>
          <w:p w14:paraId="0E14DEEE"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w:t>
            </w:r>
          </w:p>
        </w:tc>
        <w:tc>
          <w:tcPr>
            <w:tcW w:w="1964" w:type="pct"/>
            <w:tcMar>
              <w:top w:w="90" w:type="dxa"/>
              <w:left w:w="90" w:type="dxa"/>
              <w:bottom w:w="90" w:type="dxa"/>
              <w:right w:w="90" w:type="dxa"/>
            </w:tcMar>
            <w:vAlign w:val="center"/>
          </w:tcPr>
          <w:p w14:paraId="51B8FC1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Refund amounts, reasons, categories, and statuses</w:t>
            </w:r>
          </w:p>
        </w:tc>
      </w:tr>
      <w:tr w:rsidR="0084730D" w:rsidRPr="00335C63" w14:paraId="4FBA48E3" w14:textId="77777777" w:rsidTr="00997D20">
        <w:trPr>
          <w:cantSplit/>
          <w:jc w:val="center"/>
        </w:trPr>
        <w:tc>
          <w:tcPr>
            <w:tcW w:w="2087" w:type="pct"/>
            <w:tcMar>
              <w:top w:w="90" w:type="dxa"/>
              <w:left w:w="90" w:type="dxa"/>
              <w:bottom w:w="90" w:type="dxa"/>
              <w:right w:w="90" w:type="dxa"/>
            </w:tcMar>
            <w:vAlign w:val="center"/>
          </w:tcPr>
          <w:p w14:paraId="7D2F65C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fact_payment</w:t>
            </w:r>
          </w:p>
        </w:tc>
        <w:tc>
          <w:tcPr>
            <w:tcW w:w="949" w:type="pct"/>
            <w:tcMar>
              <w:top w:w="90" w:type="dxa"/>
              <w:left w:w="90" w:type="dxa"/>
              <w:bottom w:w="90" w:type="dxa"/>
              <w:right w:w="90" w:type="dxa"/>
            </w:tcMar>
            <w:vAlign w:val="center"/>
          </w:tcPr>
          <w:p w14:paraId="1E60EA0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w:t>
            </w:r>
          </w:p>
        </w:tc>
        <w:tc>
          <w:tcPr>
            <w:tcW w:w="1964" w:type="pct"/>
            <w:tcMar>
              <w:top w:w="90" w:type="dxa"/>
              <w:left w:w="90" w:type="dxa"/>
              <w:bottom w:w="90" w:type="dxa"/>
              <w:right w:w="90" w:type="dxa"/>
            </w:tcMar>
            <w:vAlign w:val="center"/>
          </w:tcPr>
          <w:p w14:paraId="06FDBFF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Payment received and payment-link conversion records</w:t>
            </w:r>
          </w:p>
        </w:tc>
      </w:tr>
      <w:tr w:rsidR="0084730D" w:rsidRPr="00335C63" w14:paraId="125B25DB" w14:textId="77777777" w:rsidTr="00997D20">
        <w:trPr>
          <w:cantSplit/>
          <w:jc w:val="center"/>
        </w:trPr>
        <w:tc>
          <w:tcPr>
            <w:tcW w:w="2087" w:type="pct"/>
            <w:tcMar>
              <w:top w:w="90" w:type="dxa"/>
              <w:left w:w="90" w:type="dxa"/>
              <w:bottom w:w="90" w:type="dxa"/>
              <w:right w:w="90" w:type="dxa"/>
            </w:tcMar>
            <w:vAlign w:val="center"/>
          </w:tcPr>
          <w:p w14:paraId="388B045B"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fact_upsell</w:t>
            </w:r>
          </w:p>
        </w:tc>
        <w:tc>
          <w:tcPr>
            <w:tcW w:w="949" w:type="pct"/>
            <w:tcMar>
              <w:top w:w="90" w:type="dxa"/>
              <w:left w:w="90" w:type="dxa"/>
              <w:bottom w:w="90" w:type="dxa"/>
              <w:right w:w="90" w:type="dxa"/>
            </w:tcMar>
            <w:vAlign w:val="center"/>
          </w:tcPr>
          <w:p w14:paraId="4832F35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w:t>
            </w:r>
          </w:p>
        </w:tc>
        <w:tc>
          <w:tcPr>
            <w:tcW w:w="1964" w:type="pct"/>
            <w:tcMar>
              <w:top w:w="90" w:type="dxa"/>
              <w:left w:w="90" w:type="dxa"/>
              <w:bottom w:w="90" w:type="dxa"/>
              <w:right w:w="90" w:type="dxa"/>
            </w:tcMar>
            <w:vAlign w:val="center"/>
          </w:tcPr>
          <w:p w14:paraId="65AF54F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Upsell package, offer/window date, accepted/purchased indicators</w:t>
            </w:r>
          </w:p>
        </w:tc>
      </w:tr>
      <w:tr w:rsidR="0084730D" w:rsidRPr="00335C63" w14:paraId="69B233CD" w14:textId="77777777" w:rsidTr="00997D20">
        <w:trPr>
          <w:cantSplit/>
          <w:jc w:val="center"/>
        </w:trPr>
        <w:tc>
          <w:tcPr>
            <w:tcW w:w="2087" w:type="pct"/>
            <w:tcMar>
              <w:top w:w="90" w:type="dxa"/>
              <w:left w:w="90" w:type="dxa"/>
              <w:bottom w:w="90" w:type="dxa"/>
              <w:right w:w="90" w:type="dxa"/>
            </w:tcMar>
            <w:vAlign w:val="center"/>
          </w:tcPr>
          <w:p w14:paraId="4DC7F6C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fact_calendar_event</w:t>
            </w:r>
          </w:p>
        </w:tc>
        <w:tc>
          <w:tcPr>
            <w:tcW w:w="949" w:type="pct"/>
            <w:tcMar>
              <w:top w:w="90" w:type="dxa"/>
              <w:left w:w="90" w:type="dxa"/>
              <w:bottom w:w="90" w:type="dxa"/>
              <w:right w:w="90" w:type="dxa"/>
            </w:tcMar>
            <w:vAlign w:val="center"/>
          </w:tcPr>
          <w:p w14:paraId="0B5347A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w:t>
            </w:r>
          </w:p>
        </w:tc>
        <w:tc>
          <w:tcPr>
            <w:tcW w:w="1964" w:type="pct"/>
            <w:tcMar>
              <w:top w:w="90" w:type="dxa"/>
              <w:left w:w="90" w:type="dxa"/>
              <w:bottom w:w="90" w:type="dxa"/>
              <w:right w:w="90" w:type="dxa"/>
            </w:tcMar>
            <w:vAlign w:val="center"/>
          </w:tcPr>
          <w:p w14:paraId="14F081D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Scheduled slots, duration, parsed session type, area/team match</w:t>
            </w:r>
          </w:p>
        </w:tc>
      </w:tr>
      <w:tr w:rsidR="0084730D" w:rsidRPr="00335C63" w14:paraId="5460E460" w14:textId="77777777" w:rsidTr="00997D20">
        <w:trPr>
          <w:cantSplit/>
          <w:jc w:val="center"/>
        </w:trPr>
        <w:tc>
          <w:tcPr>
            <w:tcW w:w="2087" w:type="pct"/>
            <w:tcMar>
              <w:top w:w="90" w:type="dxa"/>
              <w:left w:w="90" w:type="dxa"/>
              <w:bottom w:w="90" w:type="dxa"/>
              <w:right w:w="90" w:type="dxa"/>
            </w:tcMar>
            <w:vAlign w:val="center"/>
          </w:tcPr>
          <w:p w14:paraId="747A34B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fact_recommendation_log</w:t>
            </w:r>
          </w:p>
        </w:tc>
        <w:tc>
          <w:tcPr>
            <w:tcW w:w="949" w:type="pct"/>
            <w:tcMar>
              <w:top w:w="90" w:type="dxa"/>
              <w:left w:w="90" w:type="dxa"/>
              <w:bottom w:w="90" w:type="dxa"/>
              <w:right w:w="90" w:type="dxa"/>
            </w:tcMar>
            <w:vAlign w:val="center"/>
          </w:tcPr>
          <w:p w14:paraId="0F45F468"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Fact</w:t>
            </w:r>
          </w:p>
        </w:tc>
        <w:tc>
          <w:tcPr>
            <w:tcW w:w="1964" w:type="pct"/>
            <w:tcMar>
              <w:top w:w="90" w:type="dxa"/>
              <w:left w:w="90" w:type="dxa"/>
              <w:bottom w:w="90" w:type="dxa"/>
              <w:right w:w="90" w:type="dxa"/>
            </w:tcMar>
            <w:vAlign w:val="center"/>
          </w:tcPr>
          <w:p w14:paraId="09BDE0AC"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Recommendation type, generated date, related customer/service/area, reason, review label, action taken, and outcome</w:t>
            </w:r>
          </w:p>
        </w:tc>
      </w:tr>
      <w:tr w:rsidR="0084730D" w:rsidRPr="00335C63" w14:paraId="5E2D2AD3" w14:textId="77777777" w:rsidTr="00997D20">
        <w:trPr>
          <w:cantSplit/>
          <w:jc w:val="center"/>
        </w:trPr>
        <w:tc>
          <w:tcPr>
            <w:tcW w:w="2087" w:type="pct"/>
            <w:tcMar>
              <w:top w:w="90" w:type="dxa"/>
              <w:left w:w="90" w:type="dxa"/>
              <w:bottom w:w="90" w:type="dxa"/>
              <w:right w:w="90" w:type="dxa"/>
            </w:tcMar>
            <w:vAlign w:val="center"/>
          </w:tcPr>
          <w:p>
            <w:r>
              <w:t>data_quality_log</w:t>
            </w:r>
          </w:p>
        </w:tc>
        <w:tc>
          <w:tcPr>
            <w:tcW w:w="949" w:type="pct"/>
            <w:tcMar>
              <w:top w:w="90" w:type="dxa"/>
              <w:left w:w="90" w:type="dxa"/>
              <w:bottom w:w="90" w:type="dxa"/>
              <w:right w:w="90" w:type="dxa"/>
            </w:tcMar>
            <w:vAlign w:val="center"/>
          </w:tcPr>
          <w:p>
            <w:r>
              <w:t>Quality table</w:t>
            </w:r>
          </w:p>
        </w:tc>
        <w:tc>
          <w:tcPr>
            <w:tcW w:w="1964" w:type="pct"/>
            <w:tcMar>
              <w:top w:w="90" w:type="dxa"/>
              <w:left w:w="90" w:type="dxa"/>
              <w:bottom w:w="90" w:type="dxa"/>
              <w:right w:w="90" w:type="dxa"/>
            </w:tcMar>
            <w:vAlign w:val="center"/>
          </w:tcPr>
          <w:p>
            <w:r>
              <w:t>Missing values, duplicate candidates, invalid dates, failed data contracts, unmatched records, and source-level quality status</w:t>
            </w:r>
          </w:p>
        </w:tc>
      </w:tr>
      <w:tr w:rsidR="0084730D" w:rsidRPr="00335C63" w14:paraId="01D22E0A" w14:textId="77777777" w:rsidTr="00997D20">
        <w:trPr>
          <w:cantSplit/>
          <w:jc w:val="center"/>
        </w:trPr>
        <w:tc>
          <w:tcPr>
            <w:tcW w:w="2087" w:type="pct"/>
            <w:tcMar>
              <w:top w:w="90" w:type="dxa"/>
              <w:left w:w="90" w:type="dxa"/>
              <w:bottom w:w="90" w:type="dxa"/>
              <w:right w:w="90" w:type="dxa"/>
            </w:tcMar>
            <w:vAlign w:val="center"/>
          </w:tcPr>
          <w:p>
            <w:r>
              <w:t>record_match_log</w:t>
            </w:r>
          </w:p>
        </w:tc>
        <w:tc>
          <w:tcPr>
            <w:tcW w:w="949" w:type="pct"/>
            <w:tcMar>
              <w:top w:w="90" w:type="dxa"/>
              <w:left w:w="90" w:type="dxa"/>
              <w:bottom w:w="90" w:type="dxa"/>
              <w:right w:w="90" w:type="dxa"/>
            </w:tcMar>
            <w:vAlign w:val="center"/>
          </w:tcPr>
          <w:p>
            <w:r>
              <w:t>Quality table</w:t>
            </w:r>
          </w:p>
        </w:tc>
        <w:tc>
          <w:tcPr>
            <w:tcW w:w="1964" w:type="pct"/>
            <w:tcMar>
              <w:top w:w="90" w:type="dxa"/>
              <w:left w:w="90" w:type="dxa"/>
              <w:bottom w:w="90" w:type="dxa"/>
              <w:right w:w="90" w:type="dxa"/>
            </w:tcMar>
            <w:vAlign w:val="center"/>
          </w:tcPr>
          <w:p>
            <w:r>
              <w:t>Customer, calendar, area/postcode, and weather-enrichment match confidence</w:t>
            </w:r>
          </w:p>
        </w:tc>
      </w:tr>
      <w:tr w:rsidR="0084730D" w:rsidRPr="00335C63" w14:paraId="3F74F2C1" w14:textId="77777777" w:rsidTr="00997D20">
        <w:trPr>
          <w:cantSplit/>
          <w:jc w:val="center"/>
        </w:trPr>
        <w:tc>
          <w:tcPr>
            <w:tcW w:w="2087" w:type="pct"/>
            <w:tcMar>
              <w:top w:w="90" w:type="dxa"/>
              <w:left w:w="90" w:type="dxa"/>
              <w:bottom w:w="90" w:type="dxa"/>
              <w:right w:w="90" w:type="dxa"/>
            </w:tcMar>
            <w:vAlign w:val="center"/>
          </w:tcPr>
          <w:p>
            <w:r>
              <w:t>anonymised_reporting_views</w:t>
            </w:r>
          </w:p>
        </w:tc>
        <w:tc>
          <w:tcPr>
            <w:tcW w:w="949" w:type="pct"/>
            <w:tcMar>
              <w:top w:w="90" w:type="dxa"/>
              <w:left w:w="90" w:type="dxa"/>
              <w:bottom w:w="90" w:type="dxa"/>
              <w:right w:w="90" w:type="dxa"/>
            </w:tcMar>
            <w:vAlign w:val="center"/>
          </w:tcPr>
          <w:p>
            <w:r>
              <w:t>Views</w:t>
            </w:r>
          </w:p>
        </w:tc>
        <w:tc>
          <w:tcPr>
            <w:tcW w:w="1964" w:type="pct"/>
            <w:tcMar>
              <w:top w:w="90" w:type="dxa"/>
              <w:left w:w="90" w:type="dxa"/>
              <w:bottom w:w="90" w:type="dxa"/>
              <w:right w:w="90" w:type="dxa"/>
            </w:tcMar>
            <w:vAlign w:val="center"/>
          </w:tcPr>
          <w:p>
            <w:r>
              <w:t>Reporting outputs using customer ID and area/postcode instead of names, phone numbers, emails, or full addresses</w:t>
            </w:r>
          </w:p>
        </w:tc>
      </w:tr>
      <w:tr w:rsidR="0084730D" w:rsidRPr="00335C63" w14:paraId="2972EAF2" w14:textId="77777777" w:rsidTr="00997D20">
        <w:trPr>
          <w:cantSplit/>
          <w:jc w:val="center"/>
        </w:trPr>
        <w:tc>
          <w:tcPr>
            <w:tcW w:w="2087" w:type="pct"/>
            <w:tcMar>
              <w:top w:w="90" w:type="dxa"/>
              <w:left w:w="90" w:type="dxa"/>
              <w:bottom w:w="90" w:type="dxa"/>
              <w:right w:w="90" w:type="dxa"/>
            </w:tcMar>
            <w:vAlign w:val="center"/>
          </w:tcPr>
          <w:p w14:paraId="0491A9E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lastRenderedPageBreak/>
              <w:t>mart_area_risk</w:t>
            </w:r>
          </w:p>
        </w:tc>
        <w:tc>
          <w:tcPr>
            <w:tcW w:w="949" w:type="pct"/>
            <w:tcMar>
              <w:top w:w="90" w:type="dxa"/>
              <w:left w:w="90" w:type="dxa"/>
              <w:bottom w:w="90" w:type="dxa"/>
              <w:right w:w="90" w:type="dxa"/>
            </w:tcMar>
            <w:vAlign w:val="center"/>
          </w:tcPr>
          <w:p w14:paraId="632F1FC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Analytics mart</w:t>
            </w:r>
          </w:p>
        </w:tc>
        <w:tc>
          <w:tcPr>
            <w:tcW w:w="1964" w:type="pct"/>
            <w:tcMar>
              <w:top w:w="90" w:type="dxa"/>
              <w:left w:w="90" w:type="dxa"/>
              <w:bottom w:w="90" w:type="dxa"/>
              <w:right w:w="90" w:type="dxa"/>
            </w:tcMar>
            <w:vAlign w:val="center"/>
          </w:tcPr>
          <w:p w14:paraId="21E3564F"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Area weather-associated risk score and supporting factors</w:t>
            </w:r>
          </w:p>
        </w:tc>
      </w:tr>
      <w:tr w:rsidR="0084730D" w:rsidRPr="00335C63" w14:paraId="7D3A31A6" w14:textId="77777777" w:rsidTr="00997D20">
        <w:trPr>
          <w:cantSplit/>
          <w:jc w:val="center"/>
        </w:trPr>
        <w:tc>
          <w:tcPr>
            <w:tcW w:w="2087" w:type="pct"/>
            <w:tcMar>
              <w:top w:w="90" w:type="dxa"/>
              <w:left w:w="90" w:type="dxa"/>
              <w:bottom w:w="90" w:type="dxa"/>
              <w:right w:w="90" w:type="dxa"/>
            </w:tcMar>
            <w:vAlign w:val="center"/>
          </w:tcPr>
          <w:p w14:paraId="38ABFC0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mart_treatment_difficulty</w:t>
            </w:r>
          </w:p>
        </w:tc>
        <w:tc>
          <w:tcPr>
            <w:tcW w:w="949" w:type="pct"/>
            <w:tcMar>
              <w:top w:w="90" w:type="dxa"/>
              <w:left w:w="90" w:type="dxa"/>
              <w:bottom w:w="90" w:type="dxa"/>
              <w:right w:w="90" w:type="dxa"/>
            </w:tcMar>
            <w:vAlign w:val="center"/>
          </w:tcPr>
          <w:p w14:paraId="38EFDE7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Analytics mart</w:t>
            </w:r>
          </w:p>
        </w:tc>
        <w:tc>
          <w:tcPr>
            <w:tcW w:w="1964" w:type="pct"/>
            <w:tcMar>
              <w:top w:w="90" w:type="dxa"/>
              <w:left w:w="90" w:type="dxa"/>
              <w:bottom w:w="90" w:type="dxa"/>
              <w:right w:w="90" w:type="dxa"/>
            </w:tcMar>
            <w:vAlign w:val="center"/>
          </w:tcPr>
          <w:p w14:paraId="6536AA90"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Difficulty index by area, pest type, and team</w:t>
            </w:r>
          </w:p>
        </w:tc>
      </w:tr>
      <w:tr w:rsidR="0084730D" w:rsidRPr="00335C63" w14:paraId="67B2F6D9" w14:textId="77777777" w:rsidTr="00997D20">
        <w:trPr>
          <w:cantSplit/>
          <w:jc w:val="center"/>
        </w:trPr>
        <w:tc>
          <w:tcPr>
            <w:tcW w:w="2087" w:type="pct"/>
            <w:tcMar>
              <w:top w:w="90" w:type="dxa"/>
              <w:left w:w="90" w:type="dxa"/>
              <w:bottom w:w="90" w:type="dxa"/>
              <w:right w:w="90" w:type="dxa"/>
            </w:tcMar>
            <w:vAlign w:val="center"/>
          </w:tcPr>
          <w:p w14:paraId="3C8F974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mart_recurrence_windows</w:t>
            </w:r>
          </w:p>
        </w:tc>
        <w:tc>
          <w:tcPr>
            <w:tcW w:w="949" w:type="pct"/>
            <w:tcMar>
              <w:top w:w="90" w:type="dxa"/>
              <w:left w:w="90" w:type="dxa"/>
              <w:bottom w:w="90" w:type="dxa"/>
              <w:right w:w="90" w:type="dxa"/>
            </w:tcMar>
            <w:vAlign w:val="center"/>
          </w:tcPr>
          <w:p w14:paraId="6BAA6C75"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Analytics mart</w:t>
            </w:r>
          </w:p>
        </w:tc>
        <w:tc>
          <w:tcPr>
            <w:tcW w:w="1964" w:type="pct"/>
            <w:tcMar>
              <w:top w:w="90" w:type="dxa"/>
              <w:left w:w="90" w:type="dxa"/>
              <w:bottom w:w="90" w:type="dxa"/>
              <w:right w:w="90" w:type="dxa"/>
            </w:tcMar>
            <w:vAlign w:val="center"/>
          </w:tcPr>
          <w:p w14:paraId="040FA82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Days-to-recurrence and bucketed recurrence outcomes</w:t>
            </w:r>
          </w:p>
        </w:tc>
      </w:tr>
      <w:tr w:rsidR="0084730D" w:rsidRPr="00335C63" w14:paraId="298017F5" w14:textId="77777777" w:rsidTr="00997D20">
        <w:trPr>
          <w:cantSplit/>
          <w:jc w:val="center"/>
        </w:trPr>
        <w:tc>
          <w:tcPr>
            <w:tcW w:w="2087" w:type="pct"/>
            <w:tcMar>
              <w:top w:w="90" w:type="dxa"/>
              <w:left w:w="90" w:type="dxa"/>
              <w:bottom w:w="90" w:type="dxa"/>
              <w:right w:w="90" w:type="dxa"/>
            </w:tcMar>
            <w:vAlign w:val="center"/>
          </w:tcPr>
          <w:p w14:paraId="57B4C762"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mart_hotspots</w:t>
            </w:r>
          </w:p>
        </w:tc>
        <w:tc>
          <w:tcPr>
            <w:tcW w:w="949" w:type="pct"/>
            <w:tcMar>
              <w:top w:w="90" w:type="dxa"/>
              <w:left w:w="90" w:type="dxa"/>
              <w:bottom w:w="90" w:type="dxa"/>
              <w:right w:w="90" w:type="dxa"/>
            </w:tcMar>
            <w:vAlign w:val="center"/>
          </w:tcPr>
          <w:p w14:paraId="4D51F1AA"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Analytics mart</w:t>
            </w:r>
          </w:p>
        </w:tc>
        <w:tc>
          <w:tcPr>
            <w:tcW w:w="1964" w:type="pct"/>
            <w:tcMar>
              <w:top w:w="90" w:type="dxa"/>
              <w:left w:w="90" w:type="dxa"/>
              <w:bottom w:w="90" w:type="dxa"/>
              <w:right w:w="90" w:type="dxa"/>
            </w:tcMar>
            <w:vAlign w:val="center"/>
          </w:tcPr>
          <w:p w14:paraId="5BB0D249"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DBSCAN cluster IDs, centroid, severity, and cluster trend</w:t>
            </w:r>
          </w:p>
        </w:tc>
      </w:tr>
      <w:tr w:rsidR="0084730D" w:rsidRPr="00335C63" w14:paraId="21BE5385" w14:textId="77777777" w:rsidTr="00997D20">
        <w:trPr>
          <w:cantSplit/>
          <w:jc w:val="center"/>
        </w:trPr>
        <w:tc>
          <w:tcPr>
            <w:tcW w:w="2087" w:type="pct"/>
            <w:tcMar>
              <w:top w:w="90" w:type="dxa"/>
              <w:left w:w="90" w:type="dxa"/>
              <w:bottom w:w="90" w:type="dxa"/>
              <w:right w:w="90" w:type="dxa"/>
            </w:tcMar>
            <w:vAlign w:val="center"/>
          </w:tcPr>
          <w:p w14:paraId="3223D8E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mart_upsell_fit</w:t>
            </w:r>
          </w:p>
        </w:tc>
        <w:tc>
          <w:tcPr>
            <w:tcW w:w="949" w:type="pct"/>
            <w:tcMar>
              <w:top w:w="90" w:type="dxa"/>
              <w:left w:w="90" w:type="dxa"/>
              <w:bottom w:w="90" w:type="dxa"/>
              <w:right w:w="90" w:type="dxa"/>
            </w:tcMar>
            <w:vAlign w:val="center"/>
          </w:tcPr>
          <w:p w14:paraId="24444FDD"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Analytics mart</w:t>
            </w:r>
          </w:p>
        </w:tc>
        <w:tc>
          <w:tcPr>
            <w:tcW w:w="1964" w:type="pct"/>
            <w:tcMar>
              <w:top w:w="90" w:type="dxa"/>
              <w:left w:w="90" w:type="dxa"/>
              <w:bottom w:w="90" w:type="dxa"/>
              <w:right w:w="90" w:type="dxa"/>
            </w:tcMar>
            <w:vAlign w:val="center"/>
          </w:tcPr>
          <w:p w14:paraId="6BB88B21"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Best-fit package recommendations by customer/pest/area segment</w:t>
            </w:r>
          </w:p>
        </w:tc>
      </w:tr>
      <w:tr w:rsidR="0084730D" w:rsidRPr="00335C63" w14:paraId="657898C8" w14:textId="77777777" w:rsidTr="00997D20">
        <w:trPr>
          <w:cantSplit/>
          <w:jc w:val="center"/>
        </w:trPr>
        <w:tc>
          <w:tcPr>
            <w:tcW w:w="2087" w:type="pct"/>
            <w:tcMar>
              <w:top w:w="90" w:type="dxa"/>
              <w:left w:w="90" w:type="dxa"/>
              <w:bottom w:w="90" w:type="dxa"/>
              <w:right w:w="90" w:type="dxa"/>
            </w:tcMar>
            <w:vAlign w:val="center"/>
          </w:tcPr>
          <w:p w14:paraId="1D96E9C3"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mart_recommendations</w:t>
            </w:r>
          </w:p>
        </w:tc>
        <w:tc>
          <w:tcPr>
            <w:tcW w:w="949" w:type="pct"/>
            <w:tcMar>
              <w:top w:w="90" w:type="dxa"/>
              <w:left w:w="90" w:type="dxa"/>
              <w:bottom w:w="90" w:type="dxa"/>
              <w:right w:w="90" w:type="dxa"/>
            </w:tcMar>
            <w:vAlign w:val="center"/>
          </w:tcPr>
          <w:p w14:paraId="4192AC84"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Analytics mart</w:t>
            </w:r>
          </w:p>
        </w:tc>
        <w:tc>
          <w:tcPr>
            <w:tcW w:w="1964" w:type="pct"/>
            <w:tcMar>
              <w:top w:w="90" w:type="dxa"/>
              <w:left w:w="90" w:type="dxa"/>
              <w:bottom w:w="90" w:type="dxa"/>
              <w:right w:w="90" w:type="dxa"/>
            </w:tcMar>
            <w:vAlign w:val="center"/>
          </w:tcPr>
          <w:p w14:paraId="32F11327" w14:textId="77777777" w:rsidR="0084730D" w:rsidRPr="00335C63" w:rsidRDefault="00357319" w:rsidP="000F4170">
            <w:pPr>
              <w:spacing w:after="0" w:line="360" w:lineRule="auto"/>
              <w:rPr>
                <w:rFonts w:ascii="Times New Roman" w:hAnsi="Times New Roman" w:cs="Times New Roman"/>
                <w:sz w:val="24"/>
                <w:szCs w:val="24"/>
              </w:rPr>
            </w:pPr>
            <w:r w:rsidRPr="00335C63">
              <w:rPr>
                <w:rFonts w:ascii="Times New Roman" w:hAnsi="Times New Roman" w:cs="Times New Roman"/>
                <w:sz w:val="24"/>
                <w:szCs w:val="24"/>
              </w:rPr>
              <w:t>Dashboard-ready prescriptive recommendations and optional AI-generated explanation text</w:t>
            </w:r>
          </w:p>
        </w:tc>
      </w:tr>
      <w:tr w:rsidR="0084730D" w:rsidRPr="00335C63" w14:paraId="3AB6814D" w14:textId="77777777" w:rsidTr="00997D20">
        <w:trPr>
          <w:cantSplit/>
          <w:jc w:val="center"/>
        </w:trPr>
        <w:tc>
          <w:tcPr>
            <w:tcW w:w="2087" w:type="pct"/>
            <w:tcMar>
              <w:top w:w="90" w:type="dxa"/>
              <w:left w:w="90" w:type="dxa"/>
              <w:bottom w:w="90" w:type="dxa"/>
              <w:right w:w="90" w:type="dxa"/>
            </w:tcMar>
            <w:vAlign w:val="center"/>
          </w:tcPr>
          <w:p>
            <w:r>
              <w:t>mart_refresh_status</w:t>
            </w:r>
          </w:p>
        </w:tc>
        <w:tc>
          <w:tcPr>
            <w:tcW w:w="949" w:type="pct"/>
            <w:tcMar>
              <w:top w:w="90" w:type="dxa"/>
              <w:left w:w="90" w:type="dxa"/>
              <w:bottom w:w="90" w:type="dxa"/>
              <w:right w:w="90" w:type="dxa"/>
            </w:tcMar>
            <w:vAlign w:val="center"/>
          </w:tcPr>
          <w:p>
            <w:r>
              <w:t>Analytics mart</w:t>
            </w:r>
          </w:p>
        </w:tc>
        <w:tc>
          <w:tcPr>
            <w:tcW w:w="1964" w:type="pct"/>
            <w:tcMar>
              <w:top w:w="90" w:type="dxa"/>
              <w:left w:w="90" w:type="dxa"/>
              <w:bottom w:w="90" w:type="dxa"/>
              <w:right w:w="90" w:type="dxa"/>
            </w:tcMar>
            <w:vAlign w:val="center"/>
          </w:tcPr>
          <w:p>
            <w:r>
              <w:t>Last successful refresh, failed refresh reason, Airflow run status, row counts, dbt test status, and dashboard data freshness</w:t>
            </w:r>
          </w:p>
        </w:tc>
      </w:tr>
      <w:tr>
        <w:tc>
          <w:tcPr>
            <w:tcW w:type="dxa" w:w="3764"/>
          </w:tcPr>
          <w:p>
            <w:r>
              <w:t>etl_run_log</w:t>
            </w:r>
          </w:p>
        </w:tc>
        <w:tc>
          <w:tcPr>
            <w:tcW w:type="dxa" w:w="1711"/>
          </w:tcPr>
          <w:p>
            <w:r>
              <w:t>Audit table</w:t>
            </w:r>
          </w:p>
        </w:tc>
        <w:tc>
          <w:tcPr>
            <w:tcW w:type="dxa" w:w="3541"/>
          </w:tcPr>
          <w:p>
            <w:r>
              <w:t>Airflow run ID, task name, source name, start/end time, rows extracted, rows loaded, rows failed, status, and error message</w:t>
            </w:r>
          </w:p>
        </w:tc>
      </w:tr>
      <w:tr>
        <w:tc>
          <w:tcPr>
            <w:tcW w:type="dxa" w:w="3764"/>
          </w:tcPr>
          <w:p>
            <w:r>
              <w:t>source_contract_status</w:t>
            </w:r>
          </w:p>
        </w:tc>
        <w:tc>
          <w:tcPr>
            <w:tcW w:type="dxa" w:w="1711"/>
          </w:tcPr>
          <w:p>
            <w:r>
              <w:t>Quality table</w:t>
            </w:r>
          </w:p>
        </w:tc>
        <w:tc>
          <w:tcPr>
            <w:tcW w:type="dxa" w:w="3541"/>
          </w:tcPr>
          <w:p>
            <w:r>
              <w:t>Expected fields, mapped aliases, missing critical fields, warnings, and source acceptance status</w:t>
            </w:r>
          </w:p>
        </w:tc>
      </w:tr>
      <w:tr>
        <w:tc>
          <w:tcPr>
            <w:tcW w:type="dxa" w:w="3764"/>
          </w:tcPr>
          <w:p>
            <w:r>
              <w:t>dbt_test_results</w:t>
            </w:r>
          </w:p>
        </w:tc>
        <w:tc>
          <w:tcPr>
            <w:tcW w:type="dxa" w:w="1711"/>
          </w:tcPr>
          <w:p>
            <w:r>
              <w:t>Quality table</w:t>
            </w:r>
          </w:p>
        </w:tc>
        <w:tc>
          <w:tcPr>
            <w:tcW w:type="dxa" w:w="3541"/>
          </w:tcPr>
          <w:p>
            <w:r>
              <w:t>dbt model test outcomes for not-null, unique, accepted values, and relationship checks</w:t>
            </w:r>
          </w:p>
        </w:tc>
      </w:tr>
      <w:tr>
        <w:tc>
          <w:tcPr>
            <w:tcW w:type="dxa" w:w="3764"/>
          </w:tcPr>
          <w:p>
            <w:r>
              <w:t>dbt_lineage_docs</w:t>
            </w:r>
          </w:p>
        </w:tc>
        <w:tc>
          <w:tcPr>
            <w:tcW w:type="dxa" w:w="1711"/>
          </w:tcPr>
          <w:p>
            <w:r>
              <w:t>Documentation output</w:t>
            </w:r>
          </w:p>
        </w:tc>
        <w:tc>
          <w:tcPr>
            <w:tcW w:type="dxa" w:w="3541"/>
          </w:tcPr>
          <w:p>
            <w:r>
              <w:t>Model/source lineage and table documentation generated from dbt for CP2 demonstration</w:t>
            </w:r>
          </w:p>
        </w:tc>
      </w:tr>
    </w:tbl>
    <w:p w14:paraId="068B2B03" w14:textId="77777777" w:rsidR="0084730D" w:rsidRPr="00335C63" w:rsidRDefault="0084730D" w:rsidP="000F4170">
      <w:pPr>
        <w:spacing w:line="360" w:lineRule="auto"/>
        <w:rPr>
          <w:rFonts w:ascii="Times New Roman" w:hAnsi="Times New Roman" w:cs="Times New Roman"/>
          <w:sz w:val="24"/>
          <w:szCs w:val="24"/>
        </w:rPr>
      </w:pPr>
    </w:p>
    <w:sectPr w:rsidR="0084730D" w:rsidRPr="00335C63" w:rsidSect="009C0B3E">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1DAD" w14:textId="77777777" w:rsidR="00DF1EFA" w:rsidRDefault="00DF1EFA">
      <w:pPr>
        <w:spacing w:after="0" w:line="240" w:lineRule="auto"/>
      </w:pPr>
      <w:r>
        <w:separator/>
      </w:r>
    </w:p>
  </w:endnote>
  <w:endnote w:type="continuationSeparator" w:id="0">
    <w:p w14:paraId="41C7B74B" w14:textId="77777777" w:rsidR="00DF1EFA" w:rsidRDefault="00DF1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F58A" w14:textId="77777777" w:rsidR="009656FF" w:rsidRDefault="009656FF">
    <w:pPr>
      <w:pStyle w:val="Footer"/>
      <w:jc w:val="center"/>
      <w:rPr>
        <w:color w:val="5A636E"/>
        <w:sz w:val="18"/>
      </w:rPr>
    </w:pPr>
  </w:p>
  <w:p w14:paraId="3995CEAA" w14:textId="6D4884D6" w:rsidR="0084730D" w:rsidRDefault="00357319">
    <w:pPr>
      <w:pStyle w:val="Footer"/>
      <w:jc w:val="center"/>
    </w:pPr>
    <w:r>
      <w:rPr>
        <w:color w:val="5A636E"/>
        <w:sz w:val="18"/>
      </w:rPr>
      <w:t xml:space="preserve">Capstone </w:t>
    </w:r>
    <w:r w:rsidR="009656FF">
      <w:rPr>
        <w:color w:val="5A636E"/>
        <w:sz w:val="18"/>
      </w:rPr>
      <w:t xml:space="preserve">Project 1 </w:t>
    </w:r>
    <w:r>
      <w:rPr>
        <w:color w:val="5A636E"/>
        <w:sz w:val="18"/>
      </w:rPr>
      <w:t>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CC2D" w14:textId="77777777" w:rsidR="00DF1EFA" w:rsidRDefault="00DF1EFA">
      <w:pPr>
        <w:spacing w:after="0" w:line="240" w:lineRule="auto"/>
      </w:pPr>
      <w:r>
        <w:separator/>
      </w:r>
    </w:p>
  </w:footnote>
  <w:footnote w:type="continuationSeparator" w:id="0">
    <w:p w14:paraId="6F7A1322" w14:textId="77777777" w:rsidR="00DF1EFA" w:rsidRDefault="00DF1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630399">
    <w:abstractNumId w:val="8"/>
  </w:num>
  <w:num w:numId="2" w16cid:durableId="1657495368">
    <w:abstractNumId w:val="6"/>
  </w:num>
  <w:num w:numId="3" w16cid:durableId="1461731056">
    <w:abstractNumId w:val="5"/>
  </w:num>
  <w:num w:numId="4" w16cid:durableId="220947359">
    <w:abstractNumId w:val="4"/>
  </w:num>
  <w:num w:numId="5" w16cid:durableId="496112857">
    <w:abstractNumId w:val="7"/>
  </w:num>
  <w:num w:numId="6" w16cid:durableId="1205673879">
    <w:abstractNumId w:val="3"/>
  </w:num>
  <w:num w:numId="7" w16cid:durableId="1669555068">
    <w:abstractNumId w:val="2"/>
  </w:num>
  <w:num w:numId="8" w16cid:durableId="1258714699">
    <w:abstractNumId w:val="1"/>
  </w:num>
  <w:num w:numId="9" w16cid:durableId="5525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EA"/>
    <w:rsid w:val="00020A19"/>
    <w:rsid w:val="00034616"/>
    <w:rsid w:val="0006063C"/>
    <w:rsid w:val="0006642D"/>
    <w:rsid w:val="00066841"/>
    <w:rsid w:val="00082488"/>
    <w:rsid w:val="000D19BC"/>
    <w:rsid w:val="000F4170"/>
    <w:rsid w:val="00106A8F"/>
    <w:rsid w:val="0015074B"/>
    <w:rsid w:val="00177ABB"/>
    <w:rsid w:val="0019763A"/>
    <w:rsid w:val="0029639D"/>
    <w:rsid w:val="002B1A5B"/>
    <w:rsid w:val="002D1C19"/>
    <w:rsid w:val="00326F90"/>
    <w:rsid w:val="00335C63"/>
    <w:rsid w:val="00345511"/>
    <w:rsid w:val="00351EF8"/>
    <w:rsid w:val="00357319"/>
    <w:rsid w:val="0036763B"/>
    <w:rsid w:val="00395266"/>
    <w:rsid w:val="003C0C08"/>
    <w:rsid w:val="00552BF9"/>
    <w:rsid w:val="005724D6"/>
    <w:rsid w:val="00595039"/>
    <w:rsid w:val="00635337"/>
    <w:rsid w:val="00712597"/>
    <w:rsid w:val="00725AB6"/>
    <w:rsid w:val="00737E62"/>
    <w:rsid w:val="007A15D3"/>
    <w:rsid w:val="007D7C69"/>
    <w:rsid w:val="007F7DE7"/>
    <w:rsid w:val="0084088C"/>
    <w:rsid w:val="0084730D"/>
    <w:rsid w:val="00853100"/>
    <w:rsid w:val="008643BF"/>
    <w:rsid w:val="00891518"/>
    <w:rsid w:val="008D6A1A"/>
    <w:rsid w:val="00916002"/>
    <w:rsid w:val="009340C4"/>
    <w:rsid w:val="009656FF"/>
    <w:rsid w:val="00980E56"/>
    <w:rsid w:val="00981EE4"/>
    <w:rsid w:val="00984EB3"/>
    <w:rsid w:val="00997D20"/>
    <w:rsid w:val="009C0B3E"/>
    <w:rsid w:val="009F6D33"/>
    <w:rsid w:val="00A017C9"/>
    <w:rsid w:val="00A32882"/>
    <w:rsid w:val="00AA1D8D"/>
    <w:rsid w:val="00AC654A"/>
    <w:rsid w:val="00AC6BFC"/>
    <w:rsid w:val="00B47730"/>
    <w:rsid w:val="00BE26A8"/>
    <w:rsid w:val="00BF3F6C"/>
    <w:rsid w:val="00C521CA"/>
    <w:rsid w:val="00CB0664"/>
    <w:rsid w:val="00CD7B49"/>
    <w:rsid w:val="00DF1EFA"/>
    <w:rsid w:val="00E9478E"/>
    <w:rsid w:val="00EA3A6E"/>
    <w:rsid w:val="00EF6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250C3B"/>
  <w14:defaultImageDpi w14:val="330"/>
  <w15:docId w15:val="{94C9C8BF-7910-4A51-859A-8F19298B0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423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3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7E62"/>
    <w:rPr>
      <w:color w:val="0000FF" w:themeColor="hyperlink"/>
      <w:u w:val="single"/>
    </w:rPr>
  </w:style>
  <w:style w:type="character" w:styleId="UnresolvedMention">
    <w:name w:val="Unresolved Mention"/>
    <w:basedOn w:val="DefaultParagraphFont"/>
    <w:uiPriority w:val="99"/>
    <w:semiHidden/>
    <w:unhideWhenUsed/>
    <w:rsid w:val="00737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201/9781003527664-5" TargetMode="External"/><Relationship Id="rId18" Type="http://schemas.openxmlformats.org/officeDocument/2006/relationships/hyperlink" Target="https://developers.google.com/workspace/calendar/api/guides/overview" TargetMode="External"/><Relationship Id="rId26" Type="http://schemas.openxmlformats.org/officeDocument/2006/relationships/hyperlink" Target="https://journal.r-project.org/articles/RJ-2023-022/" TargetMode="External"/><Relationship Id="rId39" Type="http://schemas.openxmlformats.org/officeDocument/2006/relationships/hyperlink" Target="https://doi.org/10.5281/zenodo.7970649" TargetMode="External"/><Relationship Id="rId21" Type="http://schemas.openxmlformats.org/officeDocument/2006/relationships/hyperlink" Target="https://cloud.google.com/bigquery/docs/introduction" TargetMode="External"/><Relationship Id="rId34" Type="http://schemas.openxmlformats.org/officeDocument/2006/relationships/hyperlink" Target="https://doi.org/10.1007/s44257-022-00002-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app14188275" TargetMode="External"/><Relationship Id="rId20" Type="http://schemas.openxmlformats.org/officeDocument/2006/relationships/hyperlink" Target="https://cloud.google.com/bigquery/docs" TargetMode="External"/><Relationship Id="rId29" Type="http://schemas.openxmlformats.org/officeDocument/2006/relationships/hyperlink" Target="https://doi.org/10.3390/agronomy1403048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ijgi10060391" TargetMode="External"/><Relationship Id="rId24" Type="http://schemas.openxmlformats.org/officeDocument/2006/relationships/hyperlink" Target="https://www.preprints.org/manuscript/202603.0573" TargetMode="External"/><Relationship Id="rId32" Type="http://schemas.openxmlformats.org/officeDocument/2006/relationships/hyperlink" Target="https://open-meteo.com/en/licence" TargetMode="External"/><Relationship Id="rId37" Type="http://schemas.openxmlformats.org/officeDocument/2006/relationships/hyperlink" Target="https://doi.org/10.1016/j.compag.2023.108526"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2688/wellcomeopenres.23122.1" TargetMode="External"/><Relationship Id="rId23" Type="http://schemas.openxmlformats.org/officeDocument/2006/relationships/hyperlink" Target="https://doi.org/10.1111/mve.12797" TargetMode="External"/><Relationship Id="rId28" Type="http://schemas.openxmlformats.org/officeDocument/2006/relationships/hyperlink" Target="https://developer.data.gov.my/realtime-api/weather" TargetMode="External"/><Relationship Id="rId36" Type="http://schemas.openxmlformats.org/officeDocument/2006/relationships/hyperlink" Target="https://doi.org/10.3389/fpubh.2023.999958" TargetMode="External"/><Relationship Id="rId10" Type="http://schemas.openxmlformats.org/officeDocument/2006/relationships/hyperlink" Target="https://doi.org/10.1016/j.chaos.2023.113939" TargetMode="External"/><Relationship Id="rId19" Type="http://schemas.openxmlformats.org/officeDocument/2006/relationships/hyperlink" Target="https://developers.google.com/workspace/calendar/api/v3/reference/events/list" TargetMode="External"/><Relationship Id="rId31" Type="http://schemas.openxmlformats.org/officeDocument/2006/relationships/hyperlink" Target="https://open-meteo.com/en/docs/historical-weather-api" TargetMode="External"/><Relationship Id="rId4" Type="http://schemas.openxmlformats.org/officeDocument/2006/relationships/settings" Target="settings.xml"/><Relationship Id="rId9" Type="http://schemas.openxmlformats.org/officeDocument/2006/relationships/hyperlink" Target="https://doi.org/10.3390/insects14100798" TargetMode="External"/><Relationship Id="rId14" Type="http://schemas.openxmlformats.org/officeDocument/2006/relationships/hyperlink" Target="https://doi.org/10.3390/cli13080167" TargetMode="External"/><Relationship Id="rId22" Type="http://schemas.openxmlformats.org/officeDocument/2006/relationships/hyperlink" Target="https://doi.org/10.3390/su15139854" TargetMode="External"/><Relationship Id="rId27" Type="http://schemas.openxmlformats.org/officeDocument/2006/relationships/hyperlink" Target="https://doi.org/10.3389/fpubh.2022.885067" TargetMode="External"/><Relationship Id="rId30" Type="http://schemas.openxmlformats.org/officeDocument/2006/relationships/hyperlink" Target="https://doi.org/10.3390/agronomy15020426" TargetMode="External"/><Relationship Id="rId35" Type="http://schemas.openxmlformats.org/officeDocument/2006/relationships/hyperlink" Target="https://doi.org/10.1126/sciadv.ads6782"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oi.org/10.5281/zenodo.18186918" TargetMode="External"/><Relationship Id="rId17" Type="http://schemas.openxmlformats.org/officeDocument/2006/relationships/hyperlink" Target="https://doi.org/10.1016/j.jii.2024.100729" TargetMode="External"/><Relationship Id="rId25" Type="http://schemas.openxmlformats.org/officeDocument/2006/relationships/hyperlink" Target="https://doi.org/10.1111/afe.12630" TargetMode="External"/><Relationship Id="rId33" Type="http://schemas.openxmlformats.org/officeDocument/2006/relationships/hyperlink" Target="https://www.aetrjournal.org/UserFiles/file/AETR_2025_0218%20Final.pdf" TargetMode="External"/><Relationship Id="rId38" Type="http://schemas.openxmlformats.org/officeDocument/2006/relationships/hyperlink" Target="https://doi.org/10.1186/s13071-025-072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40531-3980-4306-A6A3-FFCF95A2D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43</Pages>
  <Words>10817</Words>
  <Characters>61662</Characters>
  <Application>Microsoft Office Word</Application>
  <DocSecurity>0</DocSecurity>
  <Lines>513</Lines>
  <Paragraphs>144</Paragraphs>
  <ScaleCrop>false</ScaleCrop>
  <Manager/>
  <Company/>
  <LinksUpToDate>false</LinksUpToDate>
  <CharactersWithSpaces>72335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Nomobug Capstone Proposal CP1 Updated</dc:title>
  <dc:subject>Weather-aware pest control analytics decision-support dashboard</dc:subject>
  <dc:creator>Thevesh Chandran</dc:creator>
  <cp:keywords/>
  <dc:description/>
  <cp:lastModifiedBy>Thevesh Chandran</cp:lastModifiedBy>
  <cp:revision>15</cp:revision>
  <dcterms:created xsi:type="dcterms:W3CDTF">2026-06-20T03:06:00Z</dcterms:created>
  <dcterms:modified xsi:type="dcterms:W3CDTF">2026-07-09T01:50:00Z</dcterms:modified>
  <cp:category/>
</cp:coreProperties>
</file>