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B0F2B" w14:textId="77777777" w:rsidR="00BE26A8" w:rsidRPr="00335C63" w:rsidRDefault="00BE26A8" w:rsidP="000F4170">
      <w:pPr>
        <w:spacing w:line="360" w:lineRule="auto" w:after="120"/>
        <w:jc w:val="left"/>
        <w:rPr>
          <w:rFonts w:ascii="Times New Roman" w:eastAsia="DengXian" w:hAnsi="Times New Roman" w:cs="Times New Roman"/>
          <w:b/>
          <w:noProof/>
          <w:kern w:val="20"/>
          <w:sz w:val="24"/>
          <w:szCs w:val="24"/>
          <w:lang w:val="en-MY" w:eastAsia="en-MY"/>
        </w:rPr>
      </w:pPr>
    </w:p>
    <w:p w14:paraId="3BD1B3D2" w14:textId="77777777" w:rsidR="00BE26A8" w:rsidRPr="000F4170" w:rsidRDefault="00BE26A8" w:rsidP="000F4170">
      <w:pPr>
        <w:spacing w:line="360" w:lineRule="auto" w:after="12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CAPSTONE PROJECT 1</w:t>
      </w:r>
    </w:p>
    <w:p w14:paraId="76EC58E6" w14:textId="77777777" w:rsidR="00BE26A8" w:rsidRPr="000F4170" w:rsidRDefault="00BE26A8" w:rsidP="000F4170">
      <w:pPr>
        <w:spacing w:line="360" w:lineRule="auto" w:after="120"/>
        <w:jc w:val="center"/>
        <w:rPr>
          <w:rFonts w:ascii="Times New Roman" w:eastAsia="DengXian" w:hAnsi="Times New Roman" w:cs="Times New Roman"/>
          <w:b/>
          <w:noProof/>
          <w:kern w:val="20"/>
          <w:sz w:val="28"/>
          <w:szCs w:val="28"/>
          <w:lang w:val="en-MY" w:eastAsia="en-MY"/>
        </w:rPr>
      </w:pPr>
      <w:r w:rsidRPr="000F4170">
        <w:rPr>
          <w:rFonts w:ascii="Times New Roman" w:eastAsia="Times New Roman" w:hAnsi="Times New Roman" w:cs="Times New Roman"/>
          <w:b/>
          <w:noProof/>
          <w:kern w:val="20"/>
          <w:sz w:val="24"/>
          <w:szCs w:val="28"/>
          <w:lang w:val="en-MY" w:eastAsia="en-MY"/>
        </w:rPr>
        <w:t>Proposal</w:t>
      </w:r>
    </w:p>
    <w:p w14:paraId="641B790C" w14:textId="77777777" w:rsidR="00BE26A8" w:rsidRPr="00335C63" w:rsidRDefault="00BE26A8" w:rsidP="000F4170">
      <w:pPr>
        <w:spacing w:line="360" w:lineRule="auto" w:after="120"/>
        <w:jc w:val="left"/>
        <w:rPr>
          <w:rFonts w:ascii="Times New Roman" w:eastAsia="DengXian" w:hAnsi="Times New Roman" w:cs="Times New Roman"/>
          <w:b/>
          <w:kern w:val="20"/>
          <w:sz w:val="24"/>
          <w:szCs w:val="24"/>
          <w:lang w:val="en-MY" w:eastAsia="zh-CN"/>
        </w:rPr>
      </w:pPr>
    </w:p>
    <w:p w14:paraId="0CFFA731" w14:textId="77777777" w:rsidR="00BE26A8" w:rsidRPr="000F4170" w:rsidRDefault="00BE26A8" w:rsidP="000F4170">
      <w:pPr>
        <w:spacing w:line="360" w:lineRule="auto" w:after="120"/>
        <w:jc w:val="center"/>
        <w:rPr>
          <w:rFonts w:ascii="Times New Roman" w:eastAsia="DengXian" w:hAnsi="Times New Roman" w:cs="Times New Roman"/>
          <w:bCs/>
          <w:kern w:val="20"/>
          <w:sz w:val="24"/>
          <w:szCs w:val="24"/>
          <w:lang w:val="en-MY" w:eastAsia="zh-CN"/>
        </w:rPr>
      </w:pPr>
      <w:r w:rsidRPr="000F4170">
        <w:rPr>
          <w:rFonts w:ascii="Times New Roman" w:eastAsia="Times New Roman" w:hAnsi="Times New Roman" w:cs="Times New Roman"/>
          <w:b/>
          <w:bCs/>
          <w:kern w:val="20"/>
          <w:sz w:val="24"/>
          <w:szCs w:val="24"/>
          <w:lang w:val="en-MY" w:eastAsia="zh-CN"/>
        </w:rPr>
        <w:t>Project Title</w:t>
      </w:r>
    </w:p>
    <w:p w14:paraId="46BDB082"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Machine Learning-Based Spatial-Temporal Analytics for Pest Recurrence and Optimization of Pest Control Operations</w:t>
      </w:r>
    </w:p>
    <w:p w14:paraId="76293D6B" w14:textId="77777777" w:rsidR="00BE26A8" w:rsidRPr="00335C63" w:rsidRDefault="00BE26A8" w:rsidP="000F4170">
      <w:pPr>
        <w:spacing w:line="360" w:lineRule="auto" w:after="120"/>
        <w:jc w:val="left"/>
        <w:rPr>
          <w:rFonts w:ascii="Times New Roman" w:eastAsia="DengXian" w:hAnsi="Times New Roman" w:cs="Times New Roman"/>
          <w:b/>
          <w:bCs/>
          <w:kern w:val="20"/>
          <w:sz w:val="24"/>
          <w:szCs w:val="24"/>
          <w:lang w:val="en-MY" w:eastAsia="zh-CN"/>
        </w:rPr>
      </w:pPr>
    </w:p>
    <w:p w14:paraId="27263C0A" w14:textId="77777777" w:rsidR="00BE26A8" w:rsidRPr="000F4170" w:rsidRDefault="00BE26A8" w:rsidP="000F4170">
      <w:pPr>
        <w:spacing w:line="360" w:lineRule="auto" w:after="120"/>
        <w:jc w:val="center"/>
        <w:rPr>
          <w:rFonts w:ascii="Times New Roman" w:eastAsia="DengXian" w:hAnsi="Times New Roman" w:cs="Times New Roman"/>
          <w:kern w:val="20"/>
          <w:sz w:val="24"/>
          <w:szCs w:val="24"/>
          <w:lang w:val="en-MY" w:eastAsia="zh-CN"/>
        </w:rPr>
      </w:pPr>
      <w:r w:rsidRPr="000F4170">
        <w:rPr>
          <w:rFonts w:ascii="Times New Roman" w:eastAsia="Times New Roman" w:hAnsi="Times New Roman" w:cs="Times New Roman"/>
          <w:b/>
          <w:kern w:val="20"/>
          <w:sz w:val="24"/>
          <w:szCs w:val="24"/>
          <w:lang w:val="en-MY" w:eastAsia="zh-CN"/>
        </w:rPr>
        <w:t>By</w:t>
      </w:r>
    </w:p>
    <w:p w14:paraId="00DA2361"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Thevesh A/L Chandran</w:t>
      </w:r>
    </w:p>
    <w:p w14:paraId="4B8BE840"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kern w:val="20"/>
          <w:sz w:val="24"/>
          <w:szCs w:val="24"/>
          <w:lang w:val="en-MY" w:eastAsia="zh-CN"/>
        </w:rPr>
        <w:t>24017717</w:t>
      </w:r>
    </w:p>
    <w:p w14:paraId="5159B8F1" w14:textId="77777777" w:rsidR="00BE26A8" w:rsidRPr="00335C63" w:rsidRDefault="00BE26A8" w:rsidP="000F4170">
      <w:pPr>
        <w:spacing w:line="360" w:lineRule="auto" w:after="120"/>
        <w:jc w:val="left"/>
        <w:rPr>
          <w:rFonts w:ascii="Times New Roman" w:eastAsia="DengXian" w:hAnsi="Times New Roman" w:cs="Times New Roman"/>
          <w:b/>
          <w:bCs/>
          <w:kern w:val="20"/>
          <w:sz w:val="24"/>
          <w:szCs w:val="24"/>
          <w:lang w:val="en-MY" w:eastAsia="zh-CN"/>
        </w:rPr>
      </w:pPr>
    </w:p>
    <w:p w14:paraId="7A18C4BF" w14:textId="77777777" w:rsidR="00BE26A8" w:rsidRPr="000F4170" w:rsidRDefault="00BE26A8" w:rsidP="000F4170">
      <w:pPr>
        <w:spacing w:line="360" w:lineRule="auto" w:after="120"/>
        <w:jc w:val="center"/>
        <w:rPr>
          <w:rFonts w:ascii="Times New Roman" w:eastAsia="Arial"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Program Name</w:t>
      </w:r>
    </w:p>
    <w:p w14:paraId="2340D35E" w14:textId="77777777" w:rsidR="00BE26A8" w:rsidRPr="00335C63" w:rsidRDefault="00BE26A8" w:rsidP="000F4170">
      <w:pPr>
        <w:spacing w:line="360" w:lineRule="auto" w:after="120"/>
        <w:jc w:val="center"/>
        <w:rPr>
          <w:rFonts w:ascii="Times New Roman" w:eastAsia="DengXian" w:hAnsi="Times New Roman" w:cs="Times New Roman"/>
          <w:b/>
          <w:bCs/>
          <w:kern w:val="20"/>
          <w:sz w:val="24"/>
          <w:szCs w:val="24"/>
          <w:lang w:val="en-MY" w:eastAsia="zh-CN"/>
        </w:rPr>
      </w:pPr>
      <w:r w:rsidRPr="00335C63">
        <w:rPr>
          <w:rFonts w:ascii="Times New Roman" w:eastAsia="Times New Roman" w:hAnsi="Times New Roman" w:cs="Times New Roman"/>
          <w:b/>
          <w:bCs/>
          <w:sz w:val="24"/>
          <w:szCs w:val="24"/>
          <w:lang w:val="en" w:eastAsia="en-GB"/>
        </w:rPr>
        <w:t>Bachelor of Information Systems Honours (Data Analytics)</w:t>
      </w:r>
    </w:p>
    <w:p w14:paraId="08F979EB" w14:textId="77777777" w:rsidR="00BE26A8" w:rsidRPr="00335C63" w:rsidRDefault="00BE26A8" w:rsidP="000F4170">
      <w:pPr>
        <w:spacing w:line="360" w:lineRule="auto" w:after="120"/>
        <w:jc w:val="left"/>
        <w:rPr>
          <w:rFonts w:ascii="Times New Roman" w:eastAsia="DengXian" w:hAnsi="Times New Roman" w:cs="Times New Roman"/>
          <w:b/>
          <w:sz w:val="24"/>
          <w:szCs w:val="24"/>
          <w:lang w:val="en-MY" w:eastAsia="zh-CN"/>
        </w:rPr>
      </w:pPr>
    </w:p>
    <w:p w14:paraId="65C6EBC2" w14:textId="77777777" w:rsidR="00BE26A8" w:rsidRPr="000F4170" w:rsidRDefault="00BE26A8" w:rsidP="000F4170">
      <w:pPr>
        <w:spacing w:line="360" w:lineRule="auto" w:after="120"/>
        <w:jc w:val="center"/>
        <w:rPr>
          <w:rFonts w:ascii="Times New Roman" w:eastAsia="Times New Roman" w:hAnsi="Times New Roman" w:cs="Times New Roman"/>
          <w:b/>
          <w:bCs/>
          <w:sz w:val="24"/>
          <w:szCs w:val="24"/>
          <w:lang w:val="en" w:eastAsia="en-GB"/>
        </w:rPr>
      </w:pPr>
      <w:r w:rsidRPr="000F4170">
        <w:rPr>
          <w:rFonts w:ascii="Times New Roman" w:eastAsia="Times New Roman" w:hAnsi="Times New Roman" w:cs="Times New Roman"/>
          <w:b/>
          <w:bCs/>
          <w:sz w:val="24"/>
          <w:szCs w:val="24"/>
          <w:lang w:val="en" w:eastAsia="en-GB"/>
        </w:rPr>
        <w:t>Supervisor</w:t>
      </w:r>
    </w:p>
    <w:p w14:paraId="1B4F64F2" w14:textId="77777777" w:rsidR="00BE26A8" w:rsidRPr="00AC6BFC" w:rsidRDefault="00BE26A8" w:rsidP="000F4170">
      <w:pPr>
        <w:spacing w:line="360" w:lineRule="auto" w:after="120"/>
        <w:jc w:val="center"/>
        <w:rPr>
          <w:rFonts w:ascii="Times New Roman" w:eastAsia="Times New Roman" w:hAnsi="Times New Roman" w:cs="Times New Roman"/>
          <w:b/>
          <w:bCs/>
          <w:sz w:val="24"/>
          <w:szCs w:val="24"/>
          <w:lang w:val="en" w:eastAsia="en-GB"/>
        </w:rPr>
      </w:pPr>
      <w:r w:rsidRPr="00335C63">
        <w:rPr>
          <w:rFonts w:ascii="Times New Roman" w:hAnsi="Times New Roman" w:cs="Times New Roman" w:eastAsia="Times New Roman"/>
          <w:b/>
          <w:bCs/>
          <w:sz w:val="24"/>
          <w:szCs w:val="24"/>
        </w:rPr>
        <w:t>FARIS SYAHMI SAMIDI</w:t>
      </w:r>
    </w:p>
    <w:p w14:paraId="4FE047DE" w14:textId="77777777" w:rsidR="00BE26A8" w:rsidRDefault="00BE26A8" w:rsidP="000F4170">
      <w:pPr>
        <w:spacing w:line="360" w:lineRule="auto" w:after="120"/>
        <w:jc w:val="left"/>
        <w:rPr>
          <w:rFonts w:ascii="Times New Roman" w:eastAsia="Times New Roman" w:hAnsi="Times New Roman" w:cs="Times New Roman"/>
          <w:sz w:val="24"/>
          <w:szCs w:val="24"/>
          <w:lang w:val="en" w:eastAsia="en-GB"/>
        </w:rPr>
      </w:pPr>
    </w:p>
    <w:p w14:paraId="6A31F313" w14:textId="77777777" w:rsidR="00552BF9" w:rsidRPr="00335C63" w:rsidRDefault="00552BF9" w:rsidP="000F4170">
      <w:pPr>
        <w:spacing w:line="360" w:lineRule="auto" w:after="120"/>
        <w:jc w:val="left"/>
        <w:rPr>
          <w:rFonts w:ascii="Times New Roman" w:eastAsia="Times New Roman" w:hAnsi="Times New Roman" w:cs="Times New Roman"/>
          <w:sz w:val="24"/>
          <w:szCs w:val="24"/>
          <w:lang w:val="en" w:eastAsia="en-GB"/>
        </w:rPr>
      </w:pPr>
    </w:p>
    <w:p w14:paraId="19472188"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Semester: April 2026</w:t>
      </w:r>
    </w:p>
    <w:p w14:paraId="58DE1B06" w14:textId="77777777" w:rsidR="00BE26A8" w:rsidRPr="00335C63" w:rsidRDefault="00BE26A8" w:rsidP="000F4170">
      <w:pPr>
        <w:spacing w:line="360" w:lineRule="auto" w:after="120"/>
        <w:jc w:val="center"/>
        <w:rPr>
          <w:rFonts w:ascii="Times New Roman" w:eastAsia="Arial" w:hAnsi="Times New Roman" w:cs="Times New Roman"/>
          <w:sz w:val="24"/>
          <w:szCs w:val="24"/>
          <w:lang w:val="en" w:eastAsia="en-GB"/>
        </w:rPr>
      </w:pPr>
      <w:r w:rsidRPr="00335C63">
        <w:rPr>
          <w:rFonts w:ascii="Times New Roman" w:eastAsia="Times New Roman" w:hAnsi="Times New Roman" w:cs="Times New Roman"/>
          <w:sz w:val="24"/>
          <w:szCs w:val="24"/>
          <w:lang w:val="en" w:eastAsia="en-GB"/>
        </w:rPr>
        <w:t xml:space="preserve">Date: </w:t>
      </w:r>
      <w:r w:rsidR="00891518">
        <w:rPr>
          <w:rFonts w:ascii="Times New Roman" w:eastAsia="Times New Roman" w:hAnsi="Times New Roman" w:cs="Times New Roman"/>
          <w:noProof/>
          <w:sz w:val="24"/>
          <w:szCs w:val="24"/>
          <w:lang w:val="en-MY" w:eastAsia="en-GB"/>
        </w:rPr>
        <w:t>23 June, 2026</w:t>
      </w:r>
    </w:p>
    <w:p w14:paraId="5BBF8CFF" w14:textId="77777777" w:rsidR="00BE26A8" w:rsidRDefault="00BE26A8" w:rsidP="000F4170">
      <w:pPr>
        <w:spacing w:line="360" w:lineRule="auto" w:after="120"/>
        <w:jc w:val="left"/>
        <w:rPr>
          <w:rFonts w:ascii="Times New Roman" w:eastAsia="Times New Roman" w:hAnsi="Times New Roman" w:cs="Times New Roman"/>
          <w:sz w:val="24"/>
          <w:szCs w:val="24"/>
          <w:lang w:val="en" w:eastAsia="en-GB"/>
        </w:rPr>
      </w:pPr>
    </w:p>
    <w:p w14:paraId="5E90E7FA" w14:textId="77777777" w:rsidR="00552BF9" w:rsidRPr="00335C63" w:rsidRDefault="00552BF9" w:rsidP="000F4170">
      <w:pPr>
        <w:spacing w:line="360" w:lineRule="auto" w:after="120"/>
        <w:jc w:val="left"/>
        <w:rPr>
          <w:rFonts w:ascii="Times New Roman" w:eastAsia="Times New Roman" w:hAnsi="Times New Roman" w:cs="Times New Roman"/>
          <w:sz w:val="24"/>
          <w:szCs w:val="24"/>
          <w:lang w:val="en" w:eastAsia="en-GB"/>
        </w:rPr>
      </w:pPr>
    </w:p>
    <w:p w14:paraId="78205DC0"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School of Computing and Artificial Intelligence</w:t>
      </w:r>
    </w:p>
    <w:p w14:paraId="0CB9793A" w14:textId="77777777" w:rsidR="00BE26A8" w:rsidRPr="00335C63" w:rsidRDefault="00BE26A8" w:rsidP="000F4170">
      <w:pPr>
        <w:spacing w:line="360" w:lineRule="auto" w:after="120"/>
        <w:jc w:val="center"/>
        <w:rPr>
          <w:rFonts w:ascii="Times New Roman" w:eastAsia="Times New Roman" w:hAnsi="Times New Roman" w:cs="Times New Roman"/>
          <w:sz w:val="24"/>
          <w:szCs w:val="24"/>
          <w:lang w:val="en" w:eastAsia="en-GB"/>
        </w:rPr>
      </w:pPr>
      <w:r w:rsidRPr="00335C63">
        <w:rPr>
          <w:rFonts w:ascii="Times New Roman" w:eastAsia="Times New Roman" w:hAnsi="Times New Roman" w:cs="Times New Roman"/>
          <w:b/>
          <w:sz w:val="24"/>
          <w:szCs w:val="24"/>
          <w:lang w:val="en" w:eastAsia="en-GB"/>
        </w:rPr>
        <w:t>Faculty of Engineering and Technology</w:t>
      </w:r>
    </w:p>
    <w:p w14:paraId="426C5DE4" w14:textId="77777777" w:rsidR="00E9478E" w:rsidRPr="00335C63" w:rsidRDefault="00BE26A8" w:rsidP="000F4170">
      <w:pPr>
        <w:spacing w:line="360" w:lineRule="auto" w:after="120"/>
        <w:jc w:val="center"/>
        <w:rPr>
          <w:rFonts w:ascii="Times New Roman" w:eastAsia="Times New Roman" w:hAnsi="Times New Roman" w:cs="Times New Roman"/>
          <w:sz w:val="24"/>
          <w:szCs w:val="24"/>
          <w:lang w:val="en" w:eastAsia="en-GB"/>
        </w:rPr>
        <w:sectPr w:rsidR="00E9478E" w:rsidRPr="00335C63" w:rsidSect="00E9478E">
          <w:footerReference w:type="default" r:id="rId8"/>
          <w:headerReference w:type="default" r:id="rId12"/>
          <w:pgSz w:w="11906" w:h="16838" w:code="9"/>
          <w:pgMar w:top="1440" w:right="1440" w:bottom="1440" w:left="1440" w:header="720" w:footer="720" w:gutter="0"/>
          <w:cols w:space="720"/>
          <w:docGrid w:linePitch="360"/>
        </w:sectPr>
      </w:pPr>
      <w:r w:rsidRPr="00335C63">
        <w:rPr>
          <w:rFonts w:ascii="Times New Roman" w:eastAsia="Times New Roman" w:hAnsi="Times New Roman" w:cs="Times New Roman"/>
          <w:b/>
          <w:sz w:val="24"/>
          <w:szCs w:val="24"/>
          <w:lang w:val="en" w:eastAsia="en-GB"/>
        </w:rPr>
        <w:t>Sunway Universit</w:t>
      </w:r>
      <w:r w:rsidR="00E9478E" w:rsidRPr="00335C63">
        <w:rPr>
          <w:rFonts w:ascii="Times New Roman" w:eastAsia="Times New Roman" w:hAnsi="Times New Roman" w:cs="Times New Roman"/>
          <w:b/>
          <w:sz w:val="24"/>
          <w:szCs w:val="24"/>
          <w:lang w:val="en" w:eastAsia="en-GB"/>
        </w:rPr>
        <w:t>y</w:t>
      </w:r>
    </w:p>
    <w:p w14:paraId="525ADA08" w14:textId="77777777" w:rsidR="0084730D" w:rsidRPr="000F4170" w:rsidRDefault="00357319" w:rsidP="000F4170">
      <w:pPr>
        <w:pStyle w:val="Heading1"/>
        <w:spacing w:before="240" w:line="360" w:lineRule="auto" w:after="120"/>
        <w:jc w:val="left"/>
        <w:rPr>
          <w:rFonts w:ascii="Times New Roman" w:hAnsi="Times New Roman" w:cs="Times New Roman"/>
          <w:sz w:val="28"/>
        </w:rPr>
      </w:pPr>
      <w:r w:rsidRPr="000F4170">
        <w:rPr>
          <w:rFonts w:ascii="Times New Roman" w:hAnsi="Times New Roman" w:cs="Times New Roman" w:eastAsia="Times New Roman"/>
          <w:b/>
          <w:color w:val="000000"/>
          <w:sz w:val="24"/>
        </w:rPr>
        <w:lastRenderedPageBreak/>
        <w:t>Abstract</w:t>
      </w:r>
    </w:p>
    <w:p w14:paraId="026B3575" w14:textId="77777777" w:rsidR="00891518"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Capstone Project 1 (CP1) proposal presents the planning and design phase for </w:t>
      </w:r>
      <w:r w:rsidR="009656FF" w:rsidRPr="00335C63">
        <w:rPr>
          <w:rFonts w:ascii="Times New Roman" w:hAnsi="Times New Roman" w:cs="Times New Roman" w:eastAsia="Times New Roman"/>
          <w:sz w:val="24"/>
          <w:szCs w:val="24"/>
        </w:rPr>
        <w:t xml:space="preserve">the upcoming </w:t>
      </w:r>
      <w:r w:rsidRPr="00335C63">
        <w:rPr>
          <w:rFonts w:ascii="Times New Roman" w:hAnsi="Times New Roman" w:cs="Times New Roman" w:eastAsia="Times New Roman"/>
          <w:sz w:val="24"/>
          <w:szCs w:val="24"/>
        </w:rPr>
        <w:t>Capstone Project 2 (CP2) implementation.</w:t>
      </w:r>
      <w:r w:rsidR="009656FF" w:rsidRPr="00335C63">
        <w:rPr>
          <w:rFonts w:ascii="Times New Roman" w:hAnsi="Times New Roman" w:cs="Times New Roman" w:eastAsia="Times New Roman"/>
          <w:sz w:val="24"/>
          <w:szCs w:val="24"/>
        </w:rPr>
        <w:t xml:space="preserve"> The company that I have chosen to implement this project is </w:t>
      </w: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w:t>
      </w:r>
      <w:r w:rsidR="009656FF" w:rsidRPr="00335C63">
        <w:rPr>
          <w:rFonts w:ascii="Times New Roman" w:hAnsi="Times New Roman" w:cs="Times New Roman" w:eastAsia="Times New Roman"/>
          <w:sz w:val="24"/>
          <w:szCs w:val="24"/>
        </w:rPr>
        <w:t xml:space="preserve"> because I have been working </w:t>
      </w:r>
      <w:r w:rsidR="00106A8F" w:rsidRPr="00335C63">
        <w:rPr>
          <w:rFonts w:ascii="Times New Roman" w:hAnsi="Times New Roman" w:cs="Times New Roman" w:eastAsia="Times New Roman"/>
          <w:sz w:val="24"/>
          <w:szCs w:val="24"/>
        </w:rPr>
        <w:t>with</w:t>
      </w:r>
      <w:r w:rsidR="009656FF" w:rsidRPr="00335C63">
        <w:rPr>
          <w:rFonts w:ascii="Times New Roman" w:hAnsi="Times New Roman" w:cs="Times New Roman" w:eastAsia="Times New Roman"/>
          <w:sz w:val="24"/>
          <w:szCs w:val="24"/>
        </w:rPr>
        <w:t xml:space="preserve"> them as a part-time admin and I have managed to identify many gaps in their current workflow</w:t>
      </w:r>
      <w:r w:rsidR="00106A8F" w:rsidRPr="00335C63">
        <w:rPr>
          <w:rFonts w:ascii="Times New Roman" w:hAnsi="Times New Roman" w:cs="Times New Roman" w:eastAsia="Times New Roman"/>
          <w:sz w:val="24"/>
          <w:szCs w:val="24"/>
        </w:rPr>
        <w:t>. C</w:t>
      </w:r>
      <w:r w:rsidRPr="00335C63">
        <w:rPr>
          <w:rFonts w:ascii="Times New Roman" w:hAnsi="Times New Roman" w:cs="Times New Roman" w:eastAsia="Times New Roman"/>
          <w:sz w:val="24"/>
          <w:szCs w:val="24"/>
        </w:rPr>
        <w:t xml:space="preserve">urrently </w:t>
      </w:r>
      <w:r w:rsidR="00106A8F" w:rsidRPr="00335C63">
        <w:rPr>
          <w:rFonts w:ascii="Times New Roman" w:hAnsi="Times New Roman" w:cs="Times New Roman" w:eastAsia="Times New Roman"/>
          <w:sz w:val="24"/>
          <w:szCs w:val="24"/>
        </w:rPr>
        <w:t xml:space="preserve">the company </w:t>
      </w:r>
      <w:r w:rsidRPr="00335C63">
        <w:rPr>
          <w:rFonts w:ascii="Times New Roman" w:hAnsi="Times New Roman" w:cs="Times New Roman" w:eastAsia="Times New Roman"/>
          <w:sz w:val="24"/>
          <w:szCs w:val="24"/>
        </w:rPr>
        <w:t xml:space="preserve">records valuable operational data in Google Sheets and Google Calendar, including leads, sales, services, warranty claims, refunds, payments,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records, technician assignments, and service scheduling. However, the data is distributed across separate files and is mainly used for recording rather than business intelligence. This limits management's ability to identify high-risk service areas, recurring pest problems, weather-associated service risks, treatment difficulty, technician review indicators, and effective upsell opportunities.</w:t>
      </w:r>
    </w:p>
    <w:p w14:paraId="65EE8718" w14:textId="77777777" w:rsidR="00891518" w:rsidRDefault="00891518" w:rsidP="000F4170">
      <w:pPr>
        <w:spacing w:line="360" w:lineRule="auto" w:after="120"/>
        <w:jc w:val="left"/>
        <w:rPr>
          <w:rFonts w:ascii="Times New Roman" w:hAnsi="Times New Roman" w:cs="Times New Roman"/>
          <w:sz w:val="24"/>
          <w:szCs w:val="24"/>
        </w:rPr>
      </w:pPr>
    </w:p>
    <w:p w14:paraId="0AC18967" w14:textId="77777777" w:rsidR="00891518" w:rsidRPr="003E4481" w:rsidRDefault="00357319" w:rsidP="000F4170">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project proposes a web-based decision-support dashboard supported by a data engineering pipeline. The planned CP2 system will extract data from Google Sheets, Google Calendar, CSV/Excel files, and weather APIs; load raw records into BigQuery; transform and test the data using dbt Core; orchestrate scheduled runs through Apache Airflow; and visualise dashboard-ready marts through Apache Superset. This shifts the project from a simple dashboard into an end-to-end analytics engineering workflow.</w:t>
      </w:r>
    </w:p>
    <w:p w14:paraId="3DC0EB31" w14:textId="77777777" w:rsidR="00891518" w:rsidRDefault="00891518" w:rsidP="000F4170">
      <w:pPr>
        <w:spacing w:line="360" w:lineRule="auto" w:after="120"/>
        <w:jc w:val="left"/>
        <w:rPr>
          <w:rFonts w:ascii="Times New Roman" w:hAnsi="Times New Roman" w:cs="Times New Roman"/>
          <w:sz w:val="24"/>
          <w:szCs w:val="24"/>
        </w:rPr>
      </w:pPr>
    </w:p>
    <w:p w14:paraId="2D0B882D" w14:textId="77777777" w:rsidR="0084730D"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deliberately avoids over-complex machine learning because the available warranty dataset is expected to contain approximately 200+ records. Instead, it prioritizes explainable spatial-temporal analytics, careful weather association analysis, privacy-conscious reporting, recommendation logging, and prescriptive business rules that are suitable for a real SME environment. Future enhancement can add a local Ollama-based AI recommendation service to generate plain-language suggestions without external API cost. The expected CP2 outcome is a company-usable analytics system that helps management improve service planning, reduce repeat-problem blind spots, monitor warranty and refund patterns, and make more data-driven upsell and operational decisions.</w:t>
      </w:r>
    </w:p>
    <w:p w14:paraId="0086B1D4" w14:textId="77777777" w:rsidR="003E4481" w:rsidRPr="00335C63" w:rsidRDefault="003E4481" w:rsidP="000F4170">
      <w:pPr>
        <w:spacing w:line="360" w:lineRule="auto" w:after="120"/>
        <w:jc w:val="left"/>
        <w:rPr>
          <w:rFonts w:ascii="Times New Roman" w:hAnsi="Times New Roman" w:cs="Times New Roman"/>
          <w:sz w:val="24"/>
          <w:szCs w:val="24"/>
        </w:rPr>
      </w:pPr>
    </w:p>
    <w:p w14:paraId="2E73E3D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Contents</w:t>
      </w:r>
    </w:p>
    <w:p w14:paraId="2EF973FF"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Abstract</w:t>
      </w:r>
    </w:p>
    <w:p w14:paraId="32E3C7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1: Introduction</w:t>
      </w:r>
    </w:p>
    <w:p w14:paraId="67784FE4"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2: Literature Review</w:t>
      </w:r>
    </w:p>
    <w:p w14:paraId="0D9DC469"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3: Methodology</w:t>
      </w:r>
    </w:p>
    <w:p w14:paraId="788496CE"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Chapter 4: Work Plan and Timeline</w:t>
      </w:r>
    </w:p>
    <w:p w14:paraId="119A528D" w14:textId="77777777" w:rsidR="0084730D" w:rsidRPr="00335C63" w:rsidRDefault="00357319" w:rsidP="000F4170">
      <w:pPr>
        <w:spacing w:line="360" w:lineRule="auto" w:after="120"/>
        <w:jc w:val="left"/>
        <w:rPr>
          <w:rFonts w:ascii="Times New Roman" w:hAnsi="Times New Roman" w:cs="Times New Roman"/>
          <w:sz w:val="24"/>
          <w:szCs w:val="24"/>
        </w:rPr>
      </w:pPr>
      <w:r w:rsidRPr="00335C63">
        <w:rPr>
          <w:rFonts w:ascii="Times New Roman" w:hAnsi="Times New Roman" w:cs="Times New Roman" w:eastAsia="Times New Roman"/>
          <w:sz w:val="24"/>
          <w:szCs w:val="24"/>
        </w:rPr>
        <w:t>References</w:t>
      </w:r>
    </w:p>
    <w:p w14:paraId="685DAC7C"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Appendix A: Proposed Dashboard Modules</w:t>
      </w:r>
    </w:p>
    <w:p w14:paraId="6CAEF2E7"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Appendix B: Proposed Data Warehouse Tables</w:t>
      </w:r>
    </w:p>
    <w:p w14:paraId="0EA96A4D" w14:textId="77777777" w:rsidR="0084730D" w:rsidRPr="00335C63" w:rsidRDefault="0084730D" w:rsidP="000F4170">
      <w:pPr>
        <w:spacing w:line="360" w:lineRule="auto" w:after="120"/>
        <w:jc w:val="left"/>
        <w:rPr>
          <w:rFonts w:ascii="Times New Roman" w:hAnsi="Times New Roman" w:cs="Times New Roman"/>
          <w:sz w:val="24"/>
          <w:szCs w:val="24"/>
        </w:rPr>
      </w:pPr>
    </w:p>
    <w:p w14:paraId="145FD27C" w14:textId="77777777" w:rsidR="0084730D" w:rsidRPr="00335C63" w:rsidRDefault="00357319" w:rsidP="00A017C9">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1: Introduction</w:t>
      </w:r>
    </w:p>
    <w:p w14:paraId="3B1A8F9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1.1 Background Study</w:t>
      </w:r>
    </w:p>
    <w:p w14:paraId="0503D566"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Pest control service companies depend heavily on operational data: customer enquiries, confirmed bookings, pest type, premise type, service date, technician or team assignment, payment status, warranty claims, refund records, and follow-up actions. For small and medium-sized enterprises (SMEs), these records are often maintained in spreadsheets because spreadsheets are flexible, familiar, and low-cost. However, as data volume grows, spreadsheet-based workflows become difficult to </w:t>
      </w:r>
      <w:proofErr w:type="spellStart"/>
      <w:r w:rsidRPr="00335C63">
        <w:rPr>
          <w:rFonts w:ascii="Times New Roman" w:hAnsi="Times New Roman" w:cs="Times New Roman" w:eastAsia="Times New Roman"/>
          <w:sz w:val="24"/>
          <w:szCs w:val="24"/>
        </w:rPr>
        <w:t>analyse</w:t>
      </w:r>
      <w:proofErr w:type="spellEnd"/>
      <w:r w:rsidRPr="00335C63">
        <w:rPr>
          <w:rFonts w:ascii="Times New Roman" w:hAnsi="Times New Roman" w:cs="Times New Roman" w:eastAsia="Times New Roman"/>
          <w:sz w:val="24"/>
          <w:szCs w:val="24"/>
        </w:rPr>
        <w:t xml:space="preserve"> across business functions.</w:t>
      </w:r>
    </w:p>
    <w:p w14:paraId="7F1E6458" w14:textId="77777777" w:rsidR="008D6A1A" w:rsidRDefault="008D6A1A" w:rsidP="008D6A1A">
      <w:pPr>
        <w:spacing w:line="360" w:lineRule="auto" w:after="120"/>
        <w:jc w:val="left"/>
        <w:rPr>
          <w:rFonts w:ascii="Times New Roman" w:hAnsi="Times New Roman" w:cs="Times New Roman"/>
          <w:sz w:val="24"/>
          <w:szCs w:val="24"/>
        </w:rPr>
      </w:pPr>
    </w:p>
    <w:p w14:paraId="4BFC904F" w14:textId="77777777" w:rsidR="0084730D" w:rsidRDefault="00357319" w:rsidP="008D6A1A">
      <w:pPr>
        <w:spacing w:line="360" w:lineRule="auto" w:after="120"/>
        <w:jc w:val="both"/>
        <w:rPr>
          <w:rFonts w:ascii="Times New Roman" w:hAnsi="Times New Roman" w:cs="Times New Roman"/>
          <w:sz w:val="24"/>
          <w:szCs w:val="24"/>
        </w:rPr>
      </w:pPr>
      <w:proofErr w:type="spellStart"/>
      <w:r w:rsidRPr="00335C63">
        <w:rPr>
          <w:rFonts w:ascii="Times New Roman" w:hAnsi="Times New Roman" w:cs="Times New Roman" w:eastAsia="Times New Roman"/>
          <w:sz w:val="24"/>
          <w:szCs w:val="24"/>
        </w:rPr>
        <w:t>Nomobug</w:t>
      </w:r>
      <w:proofErr w:type="spellEnd"/>
      <w:r w:rsidRPr="00335C63">
        <w:rPr>
          <w:rFonts w:ascii="Times New Roman" w:hAnsi="Times New Roman" w:cs="Times New Roman" w:eastAsia="Times New Roman"/>
          <w:sz w:val="24"/>
          <w:szCs w:val="24"/>
        </w:rPr>
        <w:t xml:space="preserve"> Pest Control Services is a pest control SME serving residential and commercial customers across Klang Valley and surrounding areas. The company already has multiple operational data sources, including prospect tracking, sales records, payment received records, payment links, warranty claims, refunds, upsell records, and Google Calendar scheduling. These sources contain enough information to support better management decisions, but they are not currently integrated into a structured analytics platform.</w:t>
      </w:r>
    </w:p>
    <w:p w14:paraId="333908C8" w14:textId="77777777" w:rsidR="008D6A1A" w:rsidRPr="00335C63" w:rsidRDefault="008D6A1A" w:rsidP="008D6A1A">
      <w:pPr>
        <w:spacing w:line="360" w:lineRule="auto" w:after="120"/>
        <w:jc w:val="left"/>
        <w:rPr>
          <w:rFonts w:ascii="Times New Roman" w:hAnsi="Times New Roman" w:cs="Times New Roman"/>
          <w:sz w:val="24"/>
          <w:szCs w:val="24"/>
        </w:rPr>
      </w:pPr>
    </w:p>
    <w:p w14:paraId="2E12B195"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Weather and environmental context are also relevant to the pest control domain. Heavy rainfall, humidity, flooding, and temperature variation may be associated with pest movement, </w:t>
      </w:r>
      <w:r w:rsidRPr="00335C63">
        <w:rPr>
          <w:rFonts w:ascii="Times New Roman" w:hAnsi="Times New Roman" w:cs="Times New Roman" w:eastAsia="Times New Roman"/>
          <w:sz w:val="24"/>
          <w:szCs w:val="24"/>
        </w:rPr>
        <w:lastRenderedPageBreak/>
        <w:t xml:space="preserve">customer complaints, or service difficulty. This project will not claim that weather directly causes </w:t>
      </w:r>
      <w:proofErr w:type="gramStart"/>
      <w:r w:rsidRPr="00335C63">
        <w:rPr>
          <w:rFonts w:ascii="Times New Roman" w:hAnsi="Times New Roman" w:cs="Times New Roman" w:eastAsia="Times New Roman"/>
          <w:sz w:val="24"/>
          <w:szCs w:val="24"/>
        </w:rPr>
        <w:t>pest activity</w:t>
      </w:r>
      <w:proofErr w:type="gramEnd"/>
      <w:r w:rsidRPr="00335C63">
        <w:rPr>
          <w:rFonts w:ascii="Times New Roman" w:hAnsi="Times New Roman" w:cs="Times New Roman" w:eastAsia="Times New Roman"/>
          <w:sz w:val="24"/>
          <w:szCs w:val="24"/>
        </w:rPr>
        <w:t xml:space="preserve"> or warranty claims. Instead, it will treat weather data as an associated risk indicator that can help management identify areas requiring closer monitoring.</w:t>
      </w:r>
    </w:p>
    <w:p w14:paraId="1E335B33" w14:textId="77777777" w:rsidR="008D6A1A" w:rsidRPr="00335C63" w:rsidRDefault="008D6A1A" w:rsidP="008D6A1A">
      <w:pPr>
        <w:spacing w:line="360" w:lineRule="auto" w:after="120"/>
        <w:jc w:val="left"/>
        <w:rPr>
          <w:rFonts w:ascii="Times New Roman" w:hAnsi="Times New Roman" w:cs="Times New Roman"/>
          <w:sz w:val="24"/>
          <w:szCs w:val="24"/>
        </w:rPr>
      </w:pPr>
    </w:p>
    <w:p w14:paraId="333E849A"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proposed system is therefore a web-based analytics and decision-support dashboard built on a governed data engineering pipeline. During CP2, the system will process operational data from Google Sheets and Google Calendar, enrich service records with weather and location features, store raw and transformed outputs in BigQuery, use dbt Core for warehouse transformations and data tests, use Apache Airflow for orchestration, and present insights through Apache Superset dashboards. The system is intended to support management decision-making, not replace the company's existing workflow.</w:t>
      </w:r>
    </w:p>
    <w:p w14:paraId="0071CFF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1.2 Problem Statement</w:t>
      </w:r>
    </w:p>
    <w:p w14:paraId="29438C79"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Nomobug has useful data, but the data is fragmented and not fully used for decision-making. Management must manually compare separate sheets to understand warranty trends, refund causes, technician review signals,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outcomes, and area-based repeat problems. This makes it difficult to answer operational questions quickly and consistently.</w:t>
      </w:r>
    </w:p>
    <w:p w14:paraId="1F70C6B7"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Marketing performance is measured mainly by lead source or campaign volume, not by customer quality, payment completion, refund risk, or repeat purchase behaviour.</w:t>
      </w:r>
    </w:p>
    <w:p w14:paraId="448427C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claims, refunds, and complimentary service records are not consistently linked with original service data, pest type, technician, area, and weather context.</w:t>
      </w:r>
    </w:p>
    <w:p w14:paraId="1CF685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Treatment difficulty is not measured systematically, so areas with high repeat-problem rate, refund rate, or extra-session demand are not visible in one dashboard.</w:t>
      </w:r>
    </w:p>
    <w:p w14:paraId="385DE29C"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Pest recurrence timing is not analysed, making it difficult to know when follow-up should happen after treatment.</w:t>
      </w:r>
    </w:p>
    <w:p w14:paraId="04CB472D"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Weather and flood indicators are not connected to service dates, even though rainfall and humidity may be useful risk indicators for planning.</w:t>
      </w:r>
    </w:p>
    <w:p w14:paraId="05764E4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Upsell performance is difficult to evaluate because some records show package uptake but not rejected or no-response offers.</w:t>
      </w:r>
    </w:p>
    <w:p w14:paraId="26A5FE31"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Management lacks a single browser-based dashboard that summarises service quality, scheduling, financial, warranty,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patterns by day, week, and month.</w:t>
      </w:r>
    </w:p>
    <w:p w14:paraId="49157611" w14:textId="77777777" w:rsidR="00BB18A2" w:rsidRPr="003E4481" w:rsidRDefault="00000000">
      <w:pPr>
        <w:pStyle w:val="ListBullet"/>
        <w:spacing w:line="360" w:lineRule="auto" w:after="120"/>
        <w:jc w:val="both"/>
        <w:rPr>
          <w:rFonts w:ascii="Times New Roman" w:hAnsi="Times New Roman" w:cs="Times New Roman"/>
          <w:sz w:val="24"/>
          <w:szCs w:val="24"/>
        </w:rPr>
      </w:pPr>
      <w:r w:rsidRPr="003E4481">
        <w:rPr>
          <w:rFonts w:ascii="Times New Roman" w:hAnsi="Times New Roman" w:cs="Times New Roman" w:eastAsia="Times New Roman"/>
          <w:sz w:val="24"/>
          <w:szCs w:val="24"/>
        </w:rPr>
        <w:t>There is no automated and monitored data pipeline that can extract, validate, transform, test, and refresh these records into trusted dashboard-ready tables.</w:t>
      </w:r>
    </w:p>
    <w:p w14:paraId="575F42F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1.3 Project Aim</w:t>
      </w:r>
    </w:p>
    <w:p w14:paraId="7C98E0E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aim of this CP1 proposal is to design a weather-aware pest control decision-support dashboard that will be developed in CP2. The planned system will transform Nomobug's Google Sheets, Google Calendar, service, warranty, refund, payment, and upsell records into actionable business intelligence for service quality, treatment difficulty, recurrence monitoring, </w:t>
      </w:r>
      <w:r w:rsidR="0019763A">
        <w:rPr>
          <w:rFonts w:ascii="Times New Roman" w:hAnsi="Times New Roman" w:cs="Times New Roman" w:eastAsia="Times New Roman"/>
          <w:sz w:val="24"/>
          <w:szCs w:val="24"/>
        </w:rPr>
        <w:tab/>
      </w:r>
      <w:r w:rsidRPr="00335C63">
        <w:rPr>
          <w:rFonts w:ascii="Times New Roman" w:hAnsi="Times New Roman" w:cs="Times New Roman" w:eastAsia="Times New Roman"/>
          <w:sz w:val="24"/>
          <w:szCs w:val="24"/>
        </w:rPr>
        <w:t xml:space="preserve"> planning, and upsell strategy.</w:t>
      </w:r>
    </w:p>
    <w:p w14:paraId="0FFA1D8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1.4 Project Objectives</w:t>
      </w:r>
    </w:p>
    <w:p w14:paraId="094C4CE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review existing business intelligence, pest decision-support, weather-risk, spatial hotspot, and explainable analytics methods relevant to pest-control SME operations.</w:t>
      </w:r>
    </w:p>
    <w:p w14:paraId="4F2F8AAB"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design a weather-aware analytics architecture that integrates Nomobug Google Sheets, Google Calendar, service records, warranty claims, refunds, payments, upsell records, and external weather data.</w:t>
      </w:r>
    </w:p>
    <w:p w14:paraId="6DE79DE8" w14:textId="77777777" w:rsidR="00984EB3" w:rsidRPr="003E4481" w:rsidRDefault="003C0C08" w:rsidP="008D6A1A">
      <w:pPr>
        <w:pStyle w:val="ListNumbe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To develop, in CP2, an Airflow-orchestrated ELT workflow using Python, BigQuery, dbt Core, flexible data contracts, and data quality checks to produce trusted analytics tables for Apache Superset dashboards.</w:t>
      </w:r>
    </w:p>
    <w:p w14:paraId="69A1BAA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To implement descriptive, predictive, and prescriptive analytics modules for customer segmentation, treatment difficulty, warranty and repeat analysis, recurrence windows, hotspot detection, scheduling capacity,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intelligence.</w:t>
      </w:r>
    </w:p>
    <w:p w14:paraId="7C83602D" w14:textId="77777777" w:rsidR="00984EB3" w:rsidRPr="008D6A1A" w:rsidRDefault="003C0C08" w:rsidP="008D6A1A">
      <w:pPr>
        <w:pStyle w:val="ListNumbe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To evaluate the proposed dashboard in CP2 using data quality checks, dashboard usability feedback, insight usefulness, and the reliability of selected analytics outputs.</w:t>
      </w:r>
    </w:p>
    <w:p w14:paraId="570D9CA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1.5 Scope and Limitations</w:t>
      </w:r>
    </w:p>
    <w:tbl>
      <w:tblPr>
        <w:tblStyle w:val="TableGrid"/>
        <w:tblW w:w="0" w:type="auto"/>
        <w:jc w:val="center"/>
        <w:tblLook w:val="04A0" w:firstRow="1" w:lastRow="0" w:firstColumn="1" w:lastColumn="0" w:noHBand="0" w:noVBand="1"/>
      </w:tblPr>
      <w:tblGrid>
        <w:gridCol w:w="4710"/>
        <w:gridCol w:w="4306"/>
      </w:tblGrid>
      <w:tr w:rsidR="0084730D" w:rsidRPr="00335C63" w14:paraId="019F7B12"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0407C4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In Scope</w:t>
            </w:r>
          </w:p>
        </w:tc>
        <w:tc>
          <w:tcPr>
            <w:tcW w:w="0" w:type="auto"/>
            <w:shd w:val="clear" w:color="auto" w:fill="E8F1FA"/>
            <w:tcMar>
              <w:top w:w="90" w:type="dxa"/>
              <w:left w:w="90" w:type="dxa"/>
              <w:bottom w:w="90" w:type="dxa"/>
              <w:right w:w="90" w:type="dxa"/>
            </w:tcMar>
            <w:vAlign w:val="center"/>
          </w:tcPr>
          <w:p w14:paraId="04EC8B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Out of Scope / Limitation</w:t>
            </w:r>
          </w:p>
        </w:tc>
      </w:tr>
      <w:tr w:rsidR="0084730D" w:rsidRPr="00335C63" w14:paraId="0400E16F" w14:textId="77777777" w:rsidTr="00CD7B49">
        <w:trPr>
          <w:cantSplit/>
          <w:jc w:val="center"/>
        </w:trPr>
        <w:tc>
          <w:tcPr>
            <w:tcW w:w="0" w:type="auto"/>
            <w:tcMar>
              <w:top w:w="90" w:type="dxa"/>
              <w:left w:w="90" w:type="dxa"/>
              <w:bottom w:w="90" w:type="dxa"/>
              <w:right w:w="90" w:type="dxa"/>
            </w:tcMar>
            <w:vAlign w:val="center"/>
          </w:tcPr>
          <w:p w14:paraId="5E4112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integration from company sheets, calendar, and uploaded files</w:t>
            </w:r>
          </w:p>
        </w:tc>
        <w:tc>
          <w:tcPr>
            <w:tcW w:w="0" w:type="auto"/>
            <w:tcMar>
              <w:top w:w="90" w:type="dxa"/>
              <w:left w:w="90" w:type="dxa"/>
              <w:bottom w:w="90" w:type="dxa"/>
              <w:right w:w="90" w:type="dxa"/>
            </w:tcMar>
            <w:vAlign w:val="center"/>
          </w:tcPr>
          <w:p w14:paraId="01826F9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Not </w:t>
            </w:r>
            <w:proofErr w:type="gramStart"/>
            <w:r w:rsidRPr="00335C63">
              <w:rPr>
                <w:rFonts w:ascii="Times New Roman" w:hAnsi="Times New Roman" w:cs="Times New Roman" w:eastAsia="Times New Roman"/>
                <w:sz w:val="21"/>
                <w:szCs w:val="24"/>
              </w:rPr>
              <w:t>a full</w:t>
            </w:r>
            <w:proofErr w:type="gramEnd"/>
            <w:r w:rsidRPr="00335C63">
              <w:rPr>
                <w:rFonts w:ascii="Times New Roman" w:hAnsi="Times New Roman" w:cs="Times New Roman" w:eastAsia="Times New Roman"/>
                <w:sz w:val="21"/>
                <w:szCs w:val="24"/>
              </w:rPr>
              <w:t xml:space="preserve"> CRM, job dispatch system, WhatsApp automation, or payment gateway</w:t>
            </w:r>
          </w:p>
        </w:tc>
      </w:tr>
      <w:tr w:rsidR="0084730D" w:rsidRPr="00335C63" w14:paraId="0F4F4867" w14:textId="77777777" w:rsidTr="00CD7B49">
        <w:trPr>
          <w:cantSplit/>
          <w:jc w:val="center"/>
        </w:trPr>
        <w:tc>
          <w:tcPr>
            <w:tcW w:w="0" w:type="auto"/>
            <w:tcMar>
              <w:top w:w="90" w:type="dxa"/>
              <w:left w:w="90" w:type="dxa"/>
              <w:bottom w:w="90" w:type="dxa"/>
              <w:right w:w="90" w:type="dxa"/>
            </w:tcMar>
            <w:vAlign w:val="center"/>
          </w:tcPr>
          <w:p w14:paraId="30D51B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Descriptive analytics by day, week, month, area, pest, package, team, and technician</w:t>
            </w:r>
          </w:p>
        </w:tc>
        <w:tc>
          <w:tcPr>
            <w:tcW w:w="0" w:type="auto"/>
            <w:tcMar>
              <w:top w:w="90" w:type="dxa"/>
              <w:left w:w="90" w:type="dxa"/>
              <w:bottom w:w="90" w:type="dxa"/>
              <w:right w:w="90" w:type="dxa"/>
            </w:tcMar>
            <w:vAlign w:val="center"/>
          </w:tcPr>
          <w:p w14:paraId="7A89B0C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Results depend on the quality and consistency of existing company records</w:t>
            </w:r>
          </w:p>
        </w:tc>
      </w:tr>
      <w:tr w:rsidR="0084730D" w:rsidRPr="00335C63" w14:paraId="2E3EF2C5" w14:textId="77777777" w:rsidTr="00CD7B49">
        <w:trPr>
          <w:cantSplit/>
          <w:jc w:val="center"/>
        </w:trPr>
        <w:tc>
          <w:tcPr>
            <w:tcW w:w="0" w:type="auto"/>
            <w:tcMar>
              <w:top w:w="90" w:type="dxa"/>
              <w:left w:w="90" w:type="dxa"/>
              <w:bottom w:w="90" w:type="dxa"/>
              <w:right w:w="90" w:type="dxa"/>
            </w:tcMar>
            <w:vAlign w:val="center"/>
          </w:tcPr>
          <w:p w14:paraId="6F99569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risk indicators using historical rainfall and humidity features</w:t>
            </w:r>
          </w:p>
        </w:tc>
        <w:tc>
          <w:tcPr>
            <w:tcW w:w="0" w:type="auto"/>
            <w:tcMar>
              <w:top w:w="90" w:type="dxa"/>
              <w:left w:w="90" w:type="dxa"/>
              <w:bottom w:w="90" w:type="dxa"/>
              <w:right w:w="90" w:type="dxa"/>
            </w:tcMar>
            <w:vAlign w:val="center"/>
          </w:tcPr>
          <w:p w14:paraId="689B70B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will be treated as association/risk indicator, not proof of causation</w:t>
            </w:r>
          </w:p>
        </w:tc>
      </w:tr>
      <w:tr w:rsidR="0084730D" w:rsidRPr="00335C63" w14:paraId="72D5DCD1" w14:textId="77777777" w:rsidTr="00CD7B49">
        <w:trPr>
          <w:cantSplit/>
          <w:jc w:val="center"/>
        </w:trPr>
        <w:tc>
          <w:tcPr>
            <w:tcW w:w="0" w:type="auto"/>
            <w:tcMar>
              <w:top w:w="90" w:type="dxa"/>
              <w:left w:w="90" w:type="dxa"/>
              <w:bottom w:w="90" w:type="dxa"/>
              <w:right w:w="90" w:type="dxa"/>
            </w:tcMar>
            <w:vAlign w:val="center"/>
          </w:tcPr>
          <w:p w14:paraId="3FF439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DBSCAN/KDE hotspot analysis using coordinates or postcode centroids</w:t>
            </w:r>
          </w:p>
        </w:tc>
        <w:tc>
          <w:tcPr>
            <w:tcW w:w="0" w:type="auto"/>
            <w:tcMar>
              <w:top w:w="90" w:type="dxa"/>
              <w:left w:w="90" w:type="dxa"/>
              <w:bottom w:w="90" w:type="dxa"/>
              <w:right w:w="90" w:type="dxa"/>
            </w:tcMar>
            <w:vAlign w:val="center"/>
          </w:tcPr>
          <w:p w14:paraId="174CA8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Exact customer addresses are not required in the academic report</w:t>
            </w:r>
          </w:p>
        </w:tc>
      </w:tr>
      <w:tr w:rsidR="0084730D" w:rsidRPr="00335C63" w14:paraId="08097F17" w14:textId="77777777" w:rsidTr="00CD7B49">
        <w:trPr>
          <w:cantSplit/>
          <w:jc w:val="center"/>
        </w:trPr>
        <w:tc>
          <w:tcPr>
            <w:tcW w:w="0" w:type="auto"/>
            <w:tcMar>
              <w:top w:w="90" w:type="dxa"/>
              <w:left w:w="90" w:type="dxa"/>
              <w:bottom w:w="90" w:type="dxa"/>
              <w:right w:w="90" w:type="dxa"/>
            </w:tcMar>
            <w:vAlign w:val="center"/>
          </w:tcPr>
          <w:p w14:paraId="11852F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difficulty, recurrence window, warranty factor, refund root cause, and upsell package-fit analysis</w:t>
            </w:r>
          </w:p>
        </w:tc>
        <w:tc>
          <w:tcPr>
            <w:tcW w:w="0" w:type="auto"/>
            <w:tcMar>
              <w:top w:w="90" w:type="dxa"/>
              <w:left w:w="90" w:type="dxa"/>
              <w:bottom w:w="90" w:type="dxa"/>
              <w:right w:w="90" w:type="dxa"/>
            </w:tcMar>
            <w:vAlign w:val="center"/>
          </w:tcPr>
          <w:p w14:paraId="3D79E3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prediction is limited until rejected/no-response offers are recorded</w:t>
            </w:r>
          </w:p>
        </w:tc>
      </w:tr>
      <w:tr w:rsidR="0084730D" w:rsidRPr="00335C63" w14:paraId="231A5344" w14:textId="77777777" w:rsidTr="00CD7B49">
        <w:trPr>
          <w:cantSplit/>
          <w:jc w:val="center"/>
        </w:trPr>
        <w:tc>
          <w:tcPr>
            <w:tcW w:w="0" w:type="auto"/>
            <w:tcMar>
              <w:top w:w="90" w:type="dxa"/>
              <w:left w:w="90" w:type="dxa"/>
              <w:bottom w:w="90" w:type="dxa"/>
              <w:right w:w="90" w:type="dxa"/>
            </w:tcMar>
            <w:vAlign w:val="center"/>
          </w:tcPr>
          <w:p w14:paraId="6F5D3C6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Data quality reporting, flexible data contracts, Airflow scheduled refresh, dbt transformations/tests, anonymised reporting views, and recommendation logging</w:t>
            </w:r>
          </w:p>
        </w:tc>
        <w:tc>
          <w:tcPr>
            <w:tcW w:w="0" w:type="auto"/>
            <w:tcMar>
              <w:top w:w="90" w:type="dxa"/>
              <w:left w:w="90" w:type="dxa"/>
              <w:bottom w:w="90" w:type="dxa"/>
              <w:right w:w="90" w:type="dxa"/>
            </w:tcMar>
            <w:vAlign w:val="center"/>
          </w:tcPr>
          <w:p w14:paraId="66E2BA8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Near-real-time refresh is scheduled batch processing, not streaming real-time, and depends on Google Sheets/API access</w:t>
            </w:r>
          </w:p>
        </w:tc>
      </w:tr>
      <w:tr w:rsidR="0084730D" w:rsidRPr="00335C63" w14:paraId="1BAB6BBB" w14:textId="77777777" w:rsidTr="00CD7B49">
        <w:trPr>
          <w:cantSplit/>
          <w:jc w:val="center"/>
        </w:trPr>
        <w:tc>
          <w:tcPr>
            <w:tcW w:w="0" w:type="auto"/>
            <w:tcMar>
              <w:top w:w="90" w:type="dxa"/>
              <w:left w:w="90" w:type="dxa"/>
              <w:bottom w:w="90" w:type="dxa"/>
              <w:right w:w="90" w:type="dxa"/>
            </w:tcMar>
            <w:vAlign w:val="center"/>
          </w:tcPr>
          <w:p w14:paraId="43F90E1A" w14:textId="77777777" w:rsidR="0084730D" w:rsidRPr="003E4481" w:rsidRDefault="00357319" w:rsidP="000F4170">
            <w:pPr>
              <w:spacing w:after="60" w:line="276" w:lineRule="auto"/>
              <w:jc w:val="left"/>
              <w:rPr>
                <w:rFonts w:ascii="Times New Roman" w:hAnsi="Times New Roman" w:cs="Times New Roman"/>
                <w:sz w:val="24"/>
                <w:szCs w:val="24"/>
              </w:rPr>
            </w:pPr>
            <w:r w:rsidRPr="003E4481">
              <w:rPr>
                <w:rFonts w:ascii="Times New Roman" w:hAnsi="Times New Roman" w:cs="Times New Roman" w:eastAsia="Times New Roman"/>
                <w:sz w:val="21"/>
                <w:szCs w:val="24"/>
              </w:rPr>
              <w:t>Optional future local Ollama AI explanation layer</w:t>
            </w:r>
          </w:p>
        </w:tc>
        <w:tc>
          <w:tcPr>
            <w:tcW w:w="0" w:type="auto"/>
            <w:tcMar>
              <w:top w:w="90" w:type="dxa"/>
              <w:left w:w="90" w:type="dxa"/>
              <w:bottom w:w="90" w:type="dxa"/>
              <w:right w:w="90" w:type="dxa"/>
            </w:tcMar>
            <w:vAlign w:val="center"/>
          </w:tcPr>
          <w:p w14:paraId="449ED057" w14:textId="77777777" w:rsidR="0084730D" w:rsidRPr="003E4481" w:rsidRDefault="00357319" w:rsidP="000F4170">
            <w:pPr>
              <w:spacing w:after="60" w:line="276" w:lineRule="auto"/>
              <w:jc w:val="left"/>
              <w:rPr>
                <w:rFonts w:ascii="Times New Roman" w:hAnsi="Times New Roman" w:cs="Times New Roman"/>
                <w:sz w:val="24"/>
                <w:szCs w:val="24"/>
              </w:rPr>
            </w:pPr>
            <w:r w:rsidRPr="003E4481">
              <w:rPr>
                <w:rFonts w:ascii="Times New Roman" w:hAnsi="Times New Roman" w:cs="Times New Roman" w:eastAsia="Times New Roman"/>
                <w:sz w:val="21"/>
                <w:szCs w:val="24"/>
              </w:rPr>
              <w:t>The AI layer will not make final decisions; it will explain analytics-backed recommendations</w:t>
            </w:r>
          </w:p>
        </w:tc>
      </w:tr>
      <w:tr w:rsidR="00BB18A2" w14:paraId="7DF947F0" w14:textId="77777777">
        <w:trPr>
          <w:jc w:val="center"/>
        </w:trPr>
        <w:tc>
          <w:tcPr>
            <w:tcW w:w="4710" w:type="dxa"/>
            <w:vAlign w:val="center"/>
          </w:tcPr>
          <w:p w14:paraId="1A509B69"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Bronze/Silver/Gold BigQuery warehouse layers, pipeline logs, lineage documentation, and dashboard-ready marts</w:t>
            </w:r>
          </w:p>
        </w:tc>
        <w:tc>
          <w:tcPr>
            <w:tcW w:w="4306" w:type="dxa"/>
            <w:vAlign w:val="center"/>
          </w:tcPr>
          <w:p w14:paraId="2166C0A5"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The project will not attempt enterprise-scale streaming, complex MLOps, or production-grade multi-user access control</w:t>
            </w:r>
          </w:p>
        </w:tc>
      </w:tr>
    </w:tbl>
    <w:p w14:paraId="5F49C5C3" w14:textId="77777777" w:rsidR="0084730D" w:rsidRPr="00335C63" w:rsidRDefault="0084730D" w:rsidP="000F4170">
      <w:pPr>
        <w:spacing w:line="360" w:lineRule="auto" w:after="120"/>
        <w:jc w:val="left"/>
        <w:rPr>
          <w:rFonts w:ascii="Times New Roman" w:hAnsi="Times New Roman" w:cs="Times New Roman"/>
          <w:sz w:val="24"/>
          <w:szCs w:val="24"/>
        </w:rPr>
      </w:pPr>
    </w:p>
    <w:p w14:paraId="2C34A22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1.6 Research Significance</w:t>
      </w:r>
    </w:p>
    <w:p w14:paraId="7A3E9E77"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project is significant because it addresses a real computing and business problem faced by an SME: turning fragmented operational records into reliable decision support. It contributes to the company by reducing manual cross-checking, improving visibility </w:t>
      </w:r>
      <w:proofErr w:type="gramStart"/>
      <w:r w:rsidRPr="00335C63">
        <w:rPr>
          <w:rFonts w:ascii="Times New Roman" w:hAnsi="Times New Roman" w:cs="Times New Roman" w:eastAsia="Times New Roman"/>
          <w:sz w:val="24"/>
          <w:szCs w:val="24"/>
        </w:rPr>
        <w:t>into</w:t>
      </w:r>
      <w:proofErr w:type="gramEnd"/>
      <w:r w:rsidRPr="00335C63">
        <w:rPr>
          <w:rFonts w:ascii="Times New Roman" w:hAnsi="Times New Roman" w:cs="Times New Roman" w:eastAsia="Times New Roman"/>
          <w:sz w:val="24"/>
          <w:szCs w:val="24"/>
        </w:rPr>
        <w:t xml:space="preserve"> service quality, and supporting better area planning. It contributes academically by combining data warehousing, business intelligence, spatial analysis, weather-associated risk modelling, and prescriptive analytics in a practical SME setting.</w:t>
      </w:r>
    </w:p>
    <w:p w14:paraId="4F5240AD" w14:textId="77777777" w:rsidR="008D6A1A" w:rsidRDefault="008D6A1A" w:rsidP="008D6A1A">
      <w:pPr>
        <w:spacing w:line="360" w:lineRule="auto" w:after="120"/>
        <w:jc w:val="left"/>
        <w:rPr>
          <w:rFonts w:ascii="Times New Roman" w:hAnsi="Times New Roman" w:cs="Times New Roman"/>
          <w:sz w:val="24"/>
          <w:szCs w:val="24"/>
        </w:rPr>
      </w:pPr>
    </w:p>
    <w:p w14:paraId="21881A0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sustainability value is also relevant. Better area planning and recurrence monitoring can reduce unnecessary repeat visits, wasted travel, and unplanned service costs. A local or low-cost analytics stack also supports SME adoption by reducing dependence on expensive enterprise software. Privacy is considered through anonymised academic and reporting views, </w:t>
      </w:r>
      <w:r w:rsidRPr="00335C63">
        <w:rPr>
          <w:rFonts w:ascii="Times New Roman" w:hAnsi="Times New Roman" w:cs="Times New Roman" w:eastAsia="Times New Roman"/>
          <w:sz w:val="24"/>
          <w:szCs w:val="24"/>
        </w:rPr>
        <w:lastRenderedPageBreak/>
        <w:t>customer IDs, area/postcode-level location, controlled access, and careful wording for technician-related review indicators.</w:t>
      </w:r>
    </w:p>
    <w:p w14:paraId="7D5AFE3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2: Literature Review</w:t>
      </w:r>
    </w:p>
    <w:p w14:paraId="26D874DB"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This literature review reviews recent academic papers, technical documentation, and decision-support references related to the proposed system. In line with supervisor feedback, the cited literature focuses on 2020 onwards and expands the review to cover approximately 25 academic or research-based sources, with separate technical references for APIs and tools. Older foundation methods such as DBSCAN, logistic regression, KDE, and SHAP are discussed only as methodological concepts, while the cited support is drawn from recent studies and documentation. The chapter is organised around business intelligence for SMEs, weather-aware pest management, digital pest decision-support systems, spatial-temporal hotspot detection, weather-based prediction, explainable modelling, and AI-assisted recommendations.</w:t>
      </w:r>
    </w:p>
    <w:p w14:paraId="5907B1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2.1 Business Intelligence and SME Decision Support</w:t>
      </w:r>
    </w:p>
    <w:p w14:paraId="172E8176"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Ragazou et al. (2023) argue that SMEs can benefit from business intelligence because BI converts scattered operational data into information that supports faster and more competitive decision-making. Their work is relevant to Nomobug because the company already collects operational data but lacks a structured analytics model. Gurcan et al. (2023) further show that modern BI research increasingly emphasises data mining, big data analytics, visualization, and AI applications, which supports the proposed combination of descriptive, predictive, and prescriptive dashboard modules.</w:t>
      </w:r>
    </w:p>
    <w:p w14:paraId="6E293DB1" w14:textId="77777777" w:rsidR="008D6A1A" w:rsidRDefault="008D6A1A" w:rsidP="008D6A1A">
      <w:pPr>
        <w:spacing w:line="360" w:lineRule="auto" w:after="120"/>
        <w:jc w:val="left"/>
        <w:rPr>
          <w:rFonts w:ascii="Times New Roman" w:hAnsi="Times New Roman" w:cs="Times New Roman"/>
          <w:sz w:val="24"/>
          <w:szCs w:val="24"/>
        </w:rPr>
      </w:pPr>
    </w:p>
    <w:p w14:paraId="3F30A77C"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For this project, the literature supports treating BI as more than simple reporting. The dashboard should not only show </w:t>
      </w:r>
      <w:proofErr w:type="gramStart"/>
      <w:r w:rsidRPr="00335C63">
        <w:rPr>
          <w:rFonts w:ascii="Times New Roman" w:hAnsi="Times New Roman" w:cs="Times New Roman" w:eastAsia="Times New Roman"/>
          <w:sz w:val="24"/>
          <w:szCs w:val="24"/>
        </w:rPr>
        <w:t>totals, but</w:t>
      </w:r>
      <w:proofErr w:type="gramEnd"/>
      <w:r w:rsidRPr="00335C63">
        <w:rPr>
          <w:rFonts w:ascii="Times New Roman" w:hAnsi="Times New Roman" w:cs="Times New Roman" w:eastAsia="Times New Roman"/>
          <w:sz w:val="24"/>
          <w:szCs w:val="24"/>
        </w:rPr>
        <w:t xml:space="preserve"> also connect business questions across sources: which ad sources produce better customers, which areas generate repeat problems, which service types cause higher refunds, and which package-fit recommendations are supported by historical patterns.</w:t>
      </w:r>
    </w:p>
    <w:p w14:paraId="4896275F"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Schulze et al. (2023) </w:t>
      </w:r>
      <w:proofErr w:type="gramStart"/>
      <w:r w:rsidRPr="00EF6C0D">
        <w:rPr>
          <w:rFonts w:ascii="Times New Roman" w:hAnsi="Times New Roman" w:cs="Times New Roman" w:eastAsia="Times New Roman"/>
          <w:sz w:val="24"/>
          <w:szCs w:val="24"/>
        </w:rPr>
        <w:t>provide</w:t>
      </w:r>
      <w:proofErr w:type="gramEnd"/>
      <w:r w:rsidRPr="00EF6C0D">
        <w:rPr>
          <w:rFonts w:ascii="Times New Roman" w:hAnsi="Times New Roman" w:cs="Times New Roman" w:eastAsia="Times New Roman"/>
          <w:sz w:val="24"/>
          <w:szCs w:val="24"/>
        </w:rPr>
        <w:t xml:space="preserve"> a systematic review of digital dashboards and </w:t>
      </w:r>
      <w:proofErr w:type="gramStart"/>
      <w:r w:rsidRPr="00EF6C0D">
        <w:rPr>
          <w:rFonts w:ascii="Times New Roman" w:hAnsi="Times New Roman" w:cs="Times New Roman" w:eastAsia="Times New Roman"/>
          <w:sz w:val="24"/>
          <w:szCs w:val="24"/>
        </w:rPr>
        <w:t>show</w:t>
      </w:r>
      <w:proofErr w:type="gramEnd"/>
      <w:r w:rsidRPr="00EF6C0D">
        <w:rPr>
          <w:rFonts w:ascii="Times New Roman" w:hAnsi="Times New Roman" w:cs="Times New Roman" w:eastAsia="Times New Roman"/>
          <w:sz w:val="24"/>
          <w:szCs w:val="24"/>
        </w:rPr>
        <w:t xml:space="preserve"> that dashboards are most useful when they combine clear visual design, reliable data, and action-oriented communication. This supports the proposed use of Apache Superset dashboards for management users who need to scan key service, warranty, payment, and scheduling indicators quickly. Blacketer et al. (2021) further demonstrate the value of a dedicated data quality </w:t>
      </w:r>
      <w:r w:rsidRPr="00EF6C0D">
        <w:rPr>
          <w:rFonts w:ascii="Times New Roman" w:hAnsi="Times New Roman" w:cs="Times New Roman" w:eastAsia="Times New Roman"/>
          <w:sz w:val="24"/>
          <w:szCs w:val="24"/>
        </w:rPr>
        <w:lastRenderedPageBreak/>
        <w:t xml:space="preserve">dashboard, showing that decision-makers need visibility into completeness, conformance, and data reliability before trusting analytical outputs. For Nomobug, this </w:t>
      </w:r>
      <w:proofErr w:type="gramStart"/>
      <w:r w:rsidRPr="00EF6C0D">
        <w:rPr>
          <w:rFonts w:ascii="Times New Roman" w:hAnsi="Times New Roman" w:cs="Times New Roman" w:eastAsia="Times New Roman"/>
          <w:sz w:val="24"/>
          <w:szCs w:val="24"/>
        </w:rPr>
        <w:t>supports including</w:t>
      </w:r>
      <w:proofErr w:type="gramEnd"/>
      <w:r w:rsidRPr="00EF6C0D">
        <w:rPr>
          <w:rFonts w:ascii="Times New Roman" w:hAnsi="Times New Roman" w:cs="Times New Roman" w:eastAsia="Times New Roman"/>
          <w:sz w:val="24"/>
          <w:szCs w:val="24"/>
        </w:rPr>
        <w:t xml:space="preserve"> a Data Quality and Refresh module rather than treating cleaning as a hidden technical step.</w:t>
      </w:r>
    </w:p>
    <w:p w14:paraId="437153DC" w14:textId="77777777" w:rsidR="00EF6C0D" w:rsidRPr="00EF6C0D" w:rsidRDefault="00EF6C0D" w:rsidP="00EF6C0D">
      <w:pPr>
        <w:spacing w:line="360" w:lineRule="auto" w:after="120"/>
        <w:jc w:val="left"/>
        <w:rPr>
          <w:rFonts w:ascii="Times New Roman" w:hAnsi="Times New Roman" w:cs="Times New Roman"/>
          <w:sz w:val="24"/>
          <w:szCs w:val="24"/>
        </w:rPr>
      </w:pPr>
    </w:p>
    <w:p w14:paraId="6DAAEB6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Fu et al. (2024) argue that data quality in industry should be understood as part of a wider data-driven workflow, not only as a technical database issue. Their review is relevant because Nomobug's raw data comes from practical operational sources such as Google Sheets and Google Calendar, where inconsistent labels, missing identifiers, and unmatched records are expected. This reinforces the project's decision to preserve raw staging data, create cleaning flags, and show data-quality coverage before interpreting risk or performance results.</w:t>
      </w:r>
    </w:p>
    <w:p w14:paraId="5116798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2.2 Weather-Aware Pest Management and Urban Pest Data</w:t>
      </w:r>
    </w:p>
    <w:p w14:paraId="66413470"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Hiscox et al. (2025) </w:t>
      </w:r>
      <w:proofErr w:type="gramStart"/>
      <w:r w:rsidRPr="00335C63">
        <w:rPr>
          <w:rFonts w:ascii="Times New Roman" w:hAnsi="Times New Roman" w:cs="Times New Roman" w:eastAsia="Times New Roman"/>
          <w:sz w:val="24"/>
          <w:szCs w:val="24"/>
        </w:rPr>
        <w:t>review</w:t>
      </w:r>
      <w:proofErr w:type="gramEnd"/>
      <w:r w:rsidRPr="00335C63">
        <w:rPr>
          <w:rFonts w:ascii="Times New Roman" w:hAnsi="Times New Roman" w:cs="Times New Roman" w:eastAsia="Times New Roman"/>
          <w:sz w:val="24"/>
          <w:szCs w:val="24"/>
        </w:rPr>
        <w:t xml:space="preserve"> the impact of adverse weather events on cockroaches and flies and </w:t>
      </w:r>
      <w:proofErr w:type="gramStart"/>
      <w:r w:rsidRPr="00335C63">
        <w:rPr>
          <w:rFonts w:ascii="Times New Roman" w:hAnsi="Times New Roman" w:cs="Times New Roman" w:eastAsia="Times New Roman"/>
          <w:sz w:val="24"/>
          <w:szCs w:val="24"/>
        </w:rPr>
        <w:t>report</w:t>
      </w:r>
      <w:proofErr w:type="gramEnd"/>
      <w:r w:rsidRPr="00335C63">
        <w:rPr>
          <w:rFonts w:ascii="Times New Roman" w:hAnsi="Times New Roman" w:cs="Times New Roman" w:eastAsia="Times New Roman"/>
          <w:sz w:val="24"/>
          <w:szCs w:val="24"/>
        </w:rPr>
        <w:t xml:space="preserve"> that increased temperature, extreme rainfall, and flooding can be associated with changes in pest population behaviour and human-pest interaction. This supports the need for weather-aware risk indicators in pest control planning. However, the same literature also shows that causal claims are difficult because pest behaviour depends on many confounding factors such as sanitation, habitat disruption, infrastructure condition, and pesticide use.</w:t>
      </w:r>
    </w:p>
    <w:p w14:paraId="6E85AB50" w14:textId="77777777" w:rsidR="008D6A1A" w:rsidRDefault="008D6A1A" w:rsidP="008D6A1A">
      <w:pPr>
        <w:spacing w:line="360" w:lineRule="auto" w:after="120"/>
        <w:jc w:val="left"/>
        <w:rPr>
          <w:rFonts w:ascii="Times New Roman" w:hAnsi="Times New Roman" w:cs="Times New Roman"/>
          <w:sz w:val="24"/>
          <w:szCs w:val="24"/>
        </w:rPr>
      </w:pPr>
    </w:p>
    <w:p w14:paraId="190A1B38"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Richardson et al. (2025) analyse urban rat reports across multiple cities and </w:t>
      </w:r>
      <w:proofErr w:type="gramStart"/>
      <w:r w:rsidRPr="00335C63">
        <w:rPr>
          <w:rFonts w:ascii="Times New Roman" w:hAnsi="Times New Roman" w:cs="Times New Roman" w:eastAsia="Times New Roman"/>
          <w:sz w:val="24"/>
          <w:szCs w:val="24"/>
        </w:rPr>
        <w:t>find</w:t>
      </w:r>
      <w:proofErr w:type="gramEnd"/>
      <w:r w:rsidRPr="00335C63">
        <w:rPr>
          <w:rFonts w:ascii="Times New Roman" w:hAnsi="Times New Roman" w:cs="Times New Roman" w:eastAsia="Times New Roman"/>
          <w:sz w:val="24"/>
          <w:szCs w:val="24"/>
        </w:rPr>
        <w:t xml:space="preserve"> that rat numbers are linked with climate warming, urbanization, and population density. While the study is not specific to Malaysian pest control service records, it demonstrates the importance of combining pest reports with environmental and urban context. Brimblecombe et al. (2023) also show that urban pest enquiry databases can reveal long-term patterns, but such records are heterogeneous and may be affected by reporting bias. These studies justify using Nomobug's internal service outcomes carefully as business evidence rather than as universal ecological proof.</w:t>
      </w:r>
    </w:p>
    <w:p w14:paraId="33C2F043"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2.3 Digital Pest Decision Support Systems</w:t>
      </w:r>
    </w:p>
    <w:p w14:paraId="588807AA" w14:textId="77777777" w:rsidR="008D6A1A"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Pinto et al. (2025) </w:t>
      </w:r>
      <w:proofErr w:type="gramStart"/>
      <w:r w:rsidRPr="00335C63">
        <w:rPr>
          <w:rFonts w:ascii="Times New Roman" w:hAnsi="Times New Roman" w:cs="Times New Roman" w:eastAsia="Times New Roman"/>
          <w:sz w:val="24"/>
          <w:szCs w:val="24"/>
        </w:rPr>
        <w:t>describe</w:t>
      </w:r>
      <w:proofErr w:type="gramEnd"/>
      <w:r w:rsidRPr="00335C63">
        <w:rPr>
          <w:rFonts w:ascii="Times New Roman" w:hAnsi="Times New Roman" w:cs="Times New Roman" w:eastAsia="Times New Roman"/>
          <w:sz w:val="24"/>
          <w:szCs w:val="24"/>
        </w:rPr>
        <w:t xml:space="preserve"> the Network for Environment and Weather Applications (NEWA), a weather-based pest and disease decision support platform that integrates historical and forecast weather data with risk models. Although NEWA focuses on agricultural integrated pest management, it demonstrates the value of combining weather data, dashboards, alerts, and </w:t>
      </w:r>
      <w:r w:rsidRPr="00335C63">
        <w:rPr>
          <w:rFonts w:ascii="Times New Roman" w:hAnsi="Times New Roman" w:cs="Times New Roman" w:eastAsia="Times New Roman"/>
          <w:sz w:val="24"/>
          <w:szCs w:val="24"/>
        </w:rPr>
        <w:lastRenderedPageBreak/>
        <w:t>decision-support outputs. The proposed Nomobug system adapts this idea to an urban pest-control SME context by combining service outcomes, warranty records, recurrence windows, and local weather indicators.</w:t>
      </w:r>
    </w:p>
    <w:p w14:paraId="759AEFFA" w14:textId="77777777" w:rsidR="008D6A1A" w:rsidRDefault="008D6A1A" w:rsidP="008D6A1A">
      <w:pPr>
        <w:spacing w:line="360" w:lineRule="auto" w:after="120"/>
        <w:jc w:val="left"/>
        <w:rPr>
          <w:rFonts w:ascii="Times New Roman" w:hAnsi="Times New Roman" w:cs="Times New Roman"/>
          <w:sz w:val="24"/>
          <w:szCs w:val="24"/>
        </w:rPr>
      </w:pPr>
    </w:p>
    <w:p w14:paraId="53F5474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research gap is that most pest decision-support examples focus on agriculture or public-sector surveillance, while SME pest control operations need analytics around customer service outcomes, warranty costs, technician review indicators, and upsell planning. This project therefore contributes by applying weather-aware decision support to a real commercial service dataset rather than only biological pest observations.</w:t>
      </w:r>
    </w:p>
    <w:p w14:paraId="03BB3ECA" w14:textId="77777777" w:rsidR="00BF3F6C"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Tonle et al. (2024) </w:t>
      </w:r>
      <w:proofErr w:type="gramStart"/>
      <w:r w:rsidRPr="00EF6C0D">
        <w:rPr>
          <w:rFonts w:ascii="Times New Roman" w:hAnsi="Times New Roman" w:cs="Times New Roman" w:eastAsia="Times New Roman"/>
          <w:sz w:val="24"/>
          <w:szCs w:val="24"/>
        </w:rPr>
        <w:t>propose</w:t>
      </w:r>
      <w:proofErr w:type="gramEnd"/>
      <w:r w:rsidRPr="00EF6C0D">
        <w:rPr>
          <w:rFonts w:ascii="Times New Roman" w:hAnsi="Times New Roman" w:cs="Times New Roman" w:eastAsia="Times New Roman"/>
          <w:sz w:val="24"/>
          <w:szCs w:val="24"/>
        </w:rPr>
        <w:t xml:space="preserve"> a roadmap for developing decision support systems for integrated pest management and </w:t>
      </w:r>
      <w:proofErr w:type="gramStart"/>
      <w:r w:rsidRPr="00EF6C0D">
        <w:rPr>
          <w:rFonts w:ascii="Times New Roman" w:hAnsi="Times New Roman" w:cs="Times New Roman" w:eastAsia="Times New Roman"/>
          <w:sz w:val="24"/>
          <w:szCs w:val="24"/>
        </w:rPr>
        <w:t>highlight</w:t>
      </w:r>
      <w:proofErr w:type="gramEnd"/>
      <w:r w:rsidRPr="00EF6C0D">
        <w:rPr>
          <w:rFonts w:ascii="Times New Roman" w:hAnsi="Times New Roman" w:cs="Times New Roman" w:eastAsia="Times New Roman"/>
          <w:sz w:val="24"/>
          <w:szCs w:val="24"/>
        </w:rPr>
        <w:t xml:space="preserve"> the need for practical architectures that connect data sources, models, and user-facing decision outputs. Although their focus is agricultural IPM, the architecture principle is highly relevant to this project because the Nomobug system will connect operational data, weather enrichment, analytics marts, and dashboard recommendations. Marinko et al. (2024) also develop a typology for IPM decision support systems and implement it as a web application, showing that DSS features must be classified clearly so users understand whether the system provides monitoring, prediction, recommendation, or advisory support.</w:t>
      </w:r>
    </w:p>
    <w:p w14:paraId="41648B5F" w14:textId="77777777" w:rsidR="00EF6C0D" w:rsidRPr="00EF6C0D" w:rsidRDefault="00EF6C0D" w:rsidP="00EF6C0D">
      <w:pPr>
        <w:spacing w:line="360" w:lineRule="auto" w:after="120"/>
        <w:jc w:val="left"/>
        <w:rPr>
          <w:rFonts w:ascii="Times New Roman" w:hAnsi="Times New Roman" w:cs="Times New Roman"/>
          <w:sz w:val="24"/>
          <w:szCs w:val="24"/>
        </w:rPr>
      </w:pPr>
    </w:p>
    <w:p w14:paraId="494399F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Fiori et al. (2024) present SMARTerra, a high-resolution DSS for monitoring plant pests and diseases through risk maps and timely intervention support. This strengthens the justification for using weather-associated risk maps and area-level planning views in Nomobug. Marinko et al. (2025) examine barriers to DSS adoption in integrated pest management and show that practical uptake depends on trust, usability, data availability, and perceived usefulness. This is important for the capstone because the dashboard must be understandable to company users, </w:t>
      </w:r>
      <w:proofErr w:type="gramStart"/>
      <w:r w:rsidRPr="00EF6C0D">
        <w:rPr>
          <w:rFonts w:ascii="Times New Roman" w:hAnsi="Times New Roman" w:cs="Times New Roman" w:eastAsia="Times New Roman"/>
          <w:sz w:val="24"/>
          <w:szCs w:val="24"/>
        </w:rPr>
        <w:t>not only technically</w:t>
      </w:r>
      <w:proofErr w:type="gramEnd"/>
      <w:r w:rsidRPr="00EF6C0D">
        <w:rPr>
          <w:rFonts w:ascii="Times New Roman" w:hAnsi="Times New Roman" w:cs="Times New Roman" w:eastAsia="Times New Roman"/>
          <w:sz w:val="24"/>
          <w:szCs w:val="24"/>
        </w:rPr>
        <w:t xml:space="preserve"> impressive.</w:t>
      </w:r>
    </w:p>
    <w:p w14:paraId="4177A759"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2.4 Spatial-Temporal Hotspot Detection</w:t>
      </w:r>
    </w:p>
    <w:p w14:paraId="265BE7C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Spatial-temporal analytics are useful when the location and timing of events matter. Li et al. (2023) propose a spatiotemporal clustering algorithm for satellite hotspot data and discuss the importance of density-based clustering, arbitrary cluster shapes, noise handling, and parameter selection. Their work supports the use of DBSCAN-style clustering for Nomobug's repeat-</w:t>
      </w:r>
      <w:r w:rsidRPr="00335C63">
        <w:rPr>
          <w:rFonts w:ascii="Times New Roman" w:hAnsi="Times New Roman" w:cs="Times New Roman" w:eastAsia="Times New Roman"/>
          <w:sz w:val="24"/>
          <w:szCs w:val="24"/>
        </w:rPr>
        <w:lastRenderedPageBreak/>
        <w:t>problem data because warranty cases may form irregular clusters and random isolated claims should not automatically become hotspots.</w:t>
      </w:r>
    </w:p>
    <w:p w14:paraId="2ED6E2EE" w14:textId="77777777" w:rsidR="008D6A1A" w:rsidRPr="00335C63" w:rsidRDefault="008D6A1A" w:rsidP="008D6A1A">
      <w:pPr>
        <w:spacing w:line="360" w:lineRule="auto" w:after="120"/>
        <w:jc w:val="left"/>
        <w:rPr>
          <w:rFonts w:ascii="Times New Roman" w:hAnsi="Times New Roman" w:cs="Times New Roman"/>
          <w:sz w:val="24"/>
          <w:szCs w:val="24"/>
        </w:rPr>
      </w:pPr>
    </w:p>
    <w:p w14:paraId="04CC9C0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KDE heatmaps complement clustering because they provide a smoother visual layer for dashboard users. In this project, DBSCAN will be used as the main clustering method for detecting candidate repeat-problem hotspots, while KDE-style heatmaps will be used mainly for visual interpretation. This keeps the method understandable for management while still providing a stronger spatial analysis contribution than a simple area-count table.</w:t>
      </w:r>
    </w:p>
    <w:p w14:paraId="388B8586" w14:textId="77777777" w:rsidR="00EF6C0D" w:rsidRPr="00335C63" w:rsidRDefault="00EF6C0D" w:rsidP="008D6A1A">
      <w:pPr>
        <w:spacing w:line="360" w:lineRule="auto" w:after="120"/>
        <w:jc w:val="left"/>
        <w:rPr>
          <w:rFonts w:ascii="Times New Roman" w:hAnsi="Times New Roman" w:cs="Times New Roman"/>
          <w:sz w:val="24"/>
          <w:szCs w:val="24"/>
        </w:rPr>
      </w:pPr>
    </w:p>
    <w:p w14:paraId="5B8E479C"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Choi and Hong (2021) propose MDST-DBSCAN for multidimensional spatiotemporal data and show that density-based methods can identify clusters while supporting irregular cluster shapes and noise separation. This supports the choice of DBSCAN-style hotspot detection for repeat-problem and warranty records, because pest service outcomes may cluster around small local areas rather than fixed administrative boundaries. The proposed project will keep the method simpler than MDST-DBSCAN for implementation, but the study supports the suitability of density-based clustering for spatiotemporal analysis.</w:t>
      </w:r>
    </w:p>
    <w:p w14:paraId="7C5E150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2.5 Weather-Based Prediction and Explainable Modelling</w:t>
      </w:r>
    </w:p>
    <w:p w14:paraId="4059497E"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Sumido et al. (2023) demonstrate that pest occurrence can be modelled using weather variables and machine learning techniques, showing that weather can be a meaningful input for pest prediction. However, Nomobug's warranty dataset is expected to contain approximately 200+ warranty records, which is small for complex machine learning. Therefore, this project will use lightweight and explainable methods first, such as time-lag rainfall analysis, simple comparative recurrence rates, and logistic regression only if the feature set and target variable are sufficiently stable.</w:t>
      </w:r>
    </w:p>
    <w:p w14:paraId="3C65372C" w14:textId="77777777" w:rsidR="008D6A1A" w:rsidRPr="00335C63" w:rsidRDefault="008D6A1A" w:rsidP="008D6A1A">
      <w:pPr>
        <w:spacing w:line="360" w:lineRule="auto" w:after="120"/>
        <w:jc w:val="left"/>
        <w:rPr>
          <w:rFonts w:ascii="Times New Roman" w:hAnsi="Times New Roman" w:cs="Times New Roman"/>
          <w:sz w:val="24"/>
          <w:szCs w:val="24"/>
        </w:rPr>
      </w:pPr>
    </w:p>
    <w:p w14:paraId="12026901" w14:textId="77777777" w:rsidR="0084730D" w:rsidRDefault="00357319"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This choice is methodologically important. Complex models such as random forests, XGBoost, or deep learning may appear advanced, but they can overfit small datasets and reduce explainability. Because the expected warranty data volume is modest, the project will position complex ML as optional or future work and will focus first on defensible analytics: day/week/month descriptive trends, recurrence windows, DBSCAN/KDE hotspots, weather lag indicators, and simple logistic regression only where the data is sufficient.</w:t>
      </w:r>
    </w:p>
    <w:p w14:paraId="018312ED" w14:textId="77777777" w:rsidR="00EF6C0D" w:rsidRPr="00EF6C0D" w:rsidRDefault="00EF6C0D" w:rsidP="00EF6C0D">
      <w:pPr>
        <w:spacing w:line="360" w:lineRule="auto" w:after="120"/>
        <w:jc w:val="left"/>
        <w:rPr>
          <w:rFonts w:ascii="Times New Roman" w:hAnsi="Times New Roman" w:cs="Times New Roman"/>
          <w:sz w:val="28"/>
          <w:szCs w:val="28"/>
        </w:rPr>
      </w:pPr>
    </w:p>
    <w:p w14:paraId="1C79AD1F"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Ejike et al. (2025) compare logistic regression and random forest models for rainfall prediction in tropical and temperate climates, including Alor Setar as a tropical site. Their study supports the use of weather variables such as humidity, pressure, temperature, and rainfall in predictive modelling, but it also shows why model choice should match the problem and data size. For Nomobug, logistic regression and lag-based weather features are more defensible than heavier models because the warranty dataset is expected to contain only around 200+ records.</w:t>
      </w:r>
    </w:p>
    <w:p w14:paraId="02F33963"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Yao et al. (2026) use XGBoost and SHAP to analyse environmental, demographic, and socio-economic factors associated with mosquito density. This demonstrates the value of explainability when environmental factors are used in pest-related modelling. However, the proposed Nomobug system will treat SHAP-style explanations as future work or optional model interpretation, because the first implementation should prioritise robust descriptive, spatial, and recurrence analytics over complex models that may overfit limited warranty data.</w:t>
      </w:r>
    </w:p>
    <w:p w14:paraId="47ED2FA4"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2.6 AI-Assisted Recommendations for SMEs</w:t>
      </w:r>
    </w:p>
    <w:p w14:paraId="71499044"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Lu et al. (2022) review AI-enabled opportunities and transformation challenges for SMEs, showing that AI can support SME resilience and performance but must be adopted with attention to resource constraints, organizational readiness, and practical value. This directly supports the proposed future use of local Ollama-based recommendations. Rather than making AI the source of truth, the proposed system will calculate analytics-backed scores first and then use local AI to generate plain-language suggestions for management.</w:t>
      </w:r>
    </w:p>
    <w:p w14:paraId="2E306628" w14:textId="77777777" w:rsidR="008D6A1A" w:rsidRPr="00335C63" w:rsidRDefault="008D6A1A" w:rsidP="008D6A1A">
      <w:pPr>
        <w:spacing w:line="360" w:lineRule="auto" w:after="120"/>
        <w:jc w:val="left"/>
        <w:rPr>
          <w:rFonts w:ascii="Times New Roman" w:hAnsi="Times New Roman" w:cs="Times New Roman"/>
          <w:sz w:val="24"/>
          <w:szCs w:val="24"/>
        </w:rPr>
      </w:pPr>
    </w:p>
    <w:p w14:paraId="11CBE44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This approach keeps the AI layer low-cost and </w:t>
      </w:r>
      <w:proofErr w:type="gramStart"/>
      <w:r w:rsidRPr="00335C63">
        <w:rPr>
          <w:rFonts w:ascii="Times New Roman" w:hAnsi="Times New Roman" w:cs="Times New Roman" w:eastAsia="Times New Roman"/>
          <w:sz w:val="24"/>
          <w:szCs w:val="24"/>
        </w:rPr>
        <w:t>privacy-conscious</w:t>
      </w:r>
      <w:proofErr w:type="gramEnd"/>
      <w:r w:rsidRPr="00335C63">
        <w:rPr>
          <w:rFonts w:ascii="Times New Roman" w:hAnsi="Times New Roman" w:cs="Times New Roman" w:eastAsia="Times New Roman"/>
          <w:sz w:val="24"/>
          <w:szCs w:val="24"/>
        </w:rPr>
        <w:t>. The company can run Ollama locally in the future to explain why a case is high risk, why an area needs closer monitoring, or which action may reduce repeat visits. This is aligned with prescriptive analytics while avoiding external AI API cost.</w:t>
      </w:r>
    </w:p>
    <w:p w14:paraId="56011FCE" w14:textId="77777777" w:rsidR="00EF6C0D" w:rsidRPr="00335C63" w:rsidRDefault="00EF6C0D" w:rsidP="008D6A1A">
      <w:pPr>
        <w:spacing w:line="360" w:lineRule="auto" w:after="120"/>
        <w:jc w:val="left"/>
        <w:rPr>
          <w:rFonts w:ascii="Times New Roman" w:hAnsi="Times New Roman" w:cs="Times New Roman"/>
          <w:sz w:val="24"/>
          <w:szCs w:val="24"/>
        </w:rPr>
      </w:pPr>
    </w:p>
    <w:p w14:paraId="042DFB87" w14:textId="77777777" w:rsidR="00BF3F6C" w:rsidRPr="00EF6C0D" w:rsidRDefault="003C0C08" w:rsidP="00EF6C0D">
      <w:pPr>
        <w:spacing w:line="360" w:lineRule="auto" w:after="120"/>
        <w:jc w:val="both"/>
        <w:rPr>
          <w:rFonts w:ascii="Times New Roman" w:hAnsi="Times New Roman" w:cs="Times New Roman"/>
          <w:sz w:val="24"/>
          <w:szCs w:val="24"/>
        </w:rPr>
      </w:pPr>
      <w:r w:rsidRPr="00EF6C0D">
        <w:rPr>
          <w:rFonts w:ascii="Times New Roman" w:hAnsi="Times New Roman" w:cs="Times New Roman" w:eastAsia="Times New Roman"/>
          <w:sz w:val="24"/>
          <w:szCs w:val="24"/>
        </w:rPr>
        <w:t xml:space="preserve">Leybourne et al. (2025) discuss whether AI can be integrated into pest monitoring schemes and emphasise that successful AI use requires both computational capability and practical acceptance by domain users. This supports the project's decision to keep Ollama as a future local explanation layer rather than making generative AI the main decision engine. Recommendations should first be produced by transparent analytics rules and stored in a </w:t>
      </w:r>
      <w:r w:rsidRPr="00EF6C0D">
        <w:rPr>
          <w:rFonts w:ascii="Times New Roman" w:hAnsi="Times New Roman" w:cs="Times New Roman" w:eastAsia="Times New Roman"/>
          <w:sz w:val="24"/>
          <w:szCs w:val="24"/>
        </w:rPr>
        <w:lastRenderedPageBreak/>
        <w:t>recommendation log; local AI can later translate those results into clearer management-facing explanations.</w:t>
      </w:r>
    </w:p>
    <w:p w14:paraId="73172DC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2.7 Comparative Review of Selected Studies</w:t>
      </w:r>
    </w:p>
    <w:p w14:paraId="5B440CEC"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Ragazou et al. (2023) proposed a business intelligence model for empowering SMEs to make better decisions and improve competitive advantage. Their work supports the idea that scattered operational data can become useful management information when it is organised into a structured analytics model. This is relevant to Nomobug because the company already records leads, services, payments, warranty claims, refunds, calendar events, and </w:t>
      </w:r>
      <w:proofErr w:type="gramStart"/>
      <w:r w:rsidRPr="008D6A1A">
        <w:rPr>
          <w:rFonts w:ascii="Times New Roman" w:hAnsi="Times New Roman" w:cs="Times New Roman" w:eastAsia="Times New Roman"/>
          <w:sz w:val="24"/>
          <w:szCs w:val="24"/>
        </w:rPr>
        <w:t>upsell</w:t>
      </w:r>
      <w:proofErr w:type="gramEnd"/>
      <w:r w:rsidRPr="008D6A1A">
        <w:rPr>
          <w:rFonts w:ascii="Times New Roman" w:hAnsi="Times New Roman" w:cs="Times New Roman" w:eastAsia="Times New Roman"/>
          <w:sz w:val="24"/>
          <w:szCs w:val="24"/>
        </w:rPr>
        <w:t xml:space="preserve"> activity, but these records are not yet integrated for decision-making.</w:t>
      </w:r>
    </w:p>
    <w:p w14:paraId="5CB0ADA6" w14:textId="77777777" w:rsidR="008D6A1A" w:rsidRPr="008D6A1A" w:rsidRDefault="008D6A1A" w:rsidP="008D6A1A">
      <w:pPr>
        <w:spacing w:line="360" w:lineRule="auto" w:after="120"/>
        <w:jc w:val="left"/>
        <w:rPr>
          <w:rFonts w:ascii="Times New Roman" w:hAnsi="Times New Roman" w:cs="Times New Roman"/>
          <w:sz w:val="24"/>
          <w:szCs w:val="24"/>
        </w:rPr>
      </w:pPr>
    </w:p>
    <w:p w14:paraId="0102931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Gurcan et al. (2023) analysed business intelligence trends and showed that recent BI work increasingly combines visualisation, data mining, big data analytics, and AI. This supports the proposed layered dashboard design, where descriptive analytics will be combined with predictive indicators and prescriptive recommendations. It also supports the decision to use Apache Superset and BigQuery as </w:t>
      </w:r>
      <w:proofErr w:type="gramStart"/>
      <w:r w:rsidRPr="008D6A1A">
        <w:rPr>
          <w:rFonts w:ascii="Times New Roman" w:hAnsi="Times New Roman" w:cs="Times New Roman" w:eastAsia="Times New Roman"/>
          <w:sz w:val="24"/>
          <w:szCs w:val="24"/>
        </w:rPr>
        <w:t>a practical</w:t>
      </w:r>
      <w:proofErr w:type="gramEnd"/>
      <w:r w:rsidRPr="008D6A1A">
        <w:rPr>
          <w:rFonts w:ascii="Times New Roman" w:hAnsi="Times New Roman" w:cs="Times New Roman" w:eastAsia="Times New Roman"/>
          <w:sz w:val="24"/>
          <w:szCs w:val="24"/>
        </w:rPr>
        <w:t xml:space="preserve"> analytics architecture rather than building a full CRM system.</w:t>
      </w:r>
    </w:p>
    <w:p w14:paraId="5AD0E43E" w14:textId="77777777" w:rsidR="008D6A1A" w:rsidRPr="008D6A1A" w:rsidRDefault="008D6A1A" w:rsidP="008D6A1A">
      <w:pPr>
        <w:spacing w:line="360" w:lineRule="auto" w:after="120"/>
        <w:jc w:val="left"/>
        <w:rPr>
          <w:rFonts w:ascii="Times New Roman" w:hAnsi="Times New Roman" w:cs="Times New Roman"/>
          <w:sz w:val="24"/>
          <w:szCs w:val="24"/>
        </w:rPr>
      </w:pPr>
    </w:p>
    <w:p w14:paraId="1AD0FC0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Cordon (2026) presented predictive heat maps for Periplaneta americana infestation in urban sanitation networks. This source is directly relevant because it demonstrates how urban cockroach infestation risk can be represented spatially over time. However, it is best used as supporting evidence for heatmap and temporal visualisation concepts rather than as the main modelling reference because the proposed Nomobug system must analyse company service outcomes, not only infestation observations.</w:t>
      </w:r>
    </w:p>
    <w:p w14:paraId="5E61BE95" w14:textId="77777777" w:rsidR="008D6A1A" w:rsidRPr="008D6A1A" w:rsidRDefault="008D6A1A" w:rsidP="008D6A1A">
      <w:pPr>
        <w:spacing w:line="360" w:lineRule="auto" w:after="120"/>
        <w:jc w:val="left"/>
        <w:rPr>
          <w:rFonts w:ascii="Times New Roman" w:hAnsi="Times New Roman" w:cs="Times New Roman"/>
          <w:sz w:val="24"/>
          <w:szCs w:val="24"/>
        </w:rPr>
      </w:pPr>
    </w:p>
    <w:p w14:paraId="66D947BF"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Calatayud et al. (2023) proposed a population model for urban infestations, showing that urban pest problems can be represented using mathematical and spatial modelling approaches. This is relevant to the project because it supports the idea that urban infestation risk is not random and can be modelled using environmental and location-based information. The limitation is that the study is more theoretical than the planned company dashboard, so the project will apply simpler operational analytics first.</w:t>
      </w:r>
    </w:p>
    <w:p w14:paraId="38A260A0" w14:textId="77777777" w:rsidR="008D6A1A" w:rsidRPr="008D6A1A" w:rsidRDefault="008D6A1A" w:rsidP="008D6A1A">
      <w:pPr>
        <w:spacing w:line="360" w:lineRule="auto" w:after="120"/>
        <w:jc w:val="left"/>
        <w:rPr>
          <w:rFonts w:ascii="Times New Roman" w:hAnsi="Times New Roman" w:cs="Times New Roman"/>
          <w:sz w:val="24"/>
          <w:szCs w:val="24"/>
        </w:rPr>
      </w:pPr>
    </w:p>
    <w:p w14:paraId="4861A5BA"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lastRenderedPageBreak/>
        <w:t>Hiscox et al. (2025) reviewed the impact of adverse weather events on cockroaches and flies and reported that temperature, extreme rainfall, and flooding may influence pest ecology and human-pest interaction. This supports the inclusion of rainfall, humidity, and temperature as weather-associated indicators. The study also supports cautious wording because pest activity can be affected by sanitation, building condition, habitat disturbance, and other confounding factors.</w:t>
      </w:r>
    </w:p>
    <w:p w14:paraId="651FB4F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Richardson et al. (2025) examined urban rat reports and linked increasing rat numbers with climate warming, urbanisation, and human population. Although the study is not based on Malaysian pest-control service records, it supports the broader idea that urban pest issues should be analysed together with environmental and urban context. This is relevant to the proposed area risk, treatment difficulty, and recurrence analytics modules.</w:t>
      </w:r>
    </w:p>
    <w:p w14:paraId="0C6E9D96" w14:textId="77777777" w:rsidR="008D6A1A" w:rsidRPr="008D6A1A" w:rsidRDefault="008D6A1A" w:rsidP="008D6A1A">
      <w:pPr>
        <w:spacing w:line="360" w:lineRule="auto" w:after="120"/>
        <w:jc w:val="left"/>
        <w:rPr>
          <w:rFonts w:ascii="Times New Roman" w:hAnsi="Times New Roman" w:cs="Times New Roman"/>
          <w:sz w:val="24"/>
          <w:szCs w:val="24"/>
        </w:rPr>
      </w:pPr>
    </w:p>
    <w:p w14:paraId="0AA030E7"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Brimblecombe et al. (2023) analysed long-term urban pest enquiries in Zurich and showed that public enquiry and complaint data can reveal useful patterns in urban pest abundance. This supports the use of Nomobug warranty, complaint, and refund records as operational evidence. However, the study also highlights that such records may be incomplete, biased, or inconsistent, which supports the need for data quality flags and careful interpretation.</w:t>
      </w:r>
    </w:p>
    <w:p w14:paraId="3E80C43E" w14:textId="77777777" w:rsidR="008D6A1A" w:rsidRPr="008D6A1A" w:rsidRDefault="008D6A1A" w:rsidP="008D6A1A">
      <w:pPr>
        <w:spacing w:line="360" w:lineRule="auto" w:after="120"/>
        <w:jc w:val="left"/>
        <w:rPr>
          <w:rFonts w:ascii="Times New Roman" w:hAnsi="Times New Roman" w:cs="Times New Roman"/>
          <w:sz w:val="24"/>
          <w:szCs w:val="24"/>
        </w:rPr>
      </w:pPr>
    </w:p>
    <w:p w14:paraId="6CF54C72"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Pinto et al. (2025) described the Network for Environment and Weather Applications as a digital pest management decision-support tool that combines weather data, dashboards, alerts, and risk models. Although the system focuses on agricultural pest management, it provides a useful reference for weather-aware decision support. The Nomobug project adapts this concept into an urban pest-control SME context using service outcomes, warranty claims, and scheduling data.</w:t>
      </w:r>
    </w:p>
    <w:p w14:paraId="1982AE06" w14:textId="77777777" w:rsidR="008D6A1A" w:rsidRPr="008D6A1A" w:rsidRDefault="008D6A1A" w:rsidP="008D6A1A">
      <w:pPr>
        <w:spacing w:line="360" w:lineRule="auto" w:after="120"/>
        <w:jc w:val="left"/>
        <w:rPr>
          <w:rFonts w:ascii="Times New Roman" w:hAnsi="Times New Roman" w:cs="Times New Roman"/>
          <w:sz w:val="24"/>
          <w:szCs w:val="24"/>
        </w:rPr>
      </w:pPr>
    </w:p>
    <w:p w14:paraId="455AD25A"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Erguler et al. (2024) developed VEClim, an early warning decision-support system for climate-sensitive vector activity and vector-borne disease risk assessment. This source is highly relevant because it demonstrates how climate-sensitive modelling can support warning systems and planning decisions. The proposed Nomobug dashboard follows a similar decision-support direction but applies it to pest-control operations and management planning rather than public health vector surveillance.</w:t>
      </w:r>
    </w:p>
    <w:p w14:paraId="4844AD0C" w14:textId="77777777" w:rsidR="008D6A1A" w:rsidRPr="008D6A1A" w:rsidRDefault="008D6A1A" w:rsidP="008D6A1A">
      <w:pPr>
        <w:spacing w:line="360" w:lineRule="auto" w:after="120"/>
        <w:jc w:val="left"/>
        <w:rPr>
          <w:rFonts w:ascii="Times New Roman" w:hAnsi="Times New Roman" w:cs="Times New Roman"/>
          <w:sz w:val="24"/>
          <w:szCs w:val="24"/>
        </w:rPr>
      </w:pPr>
    </w:p>
    <w:p w14:paraId="0DAF83D9"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Yao et al. (2026) analysed environmental, demographic, and socio-economic factors influencing Aedes albopictus mosquito density using XGBoost and SHAP. The study supports the value of combining environmental variables with interpretable machine-learning explanations. However, because Nomobug has a smaller warranty dataset, the project will not rely on complex XGBoost modelling as the main approach; instead, it will use the study to justify explainable features and future model improvement.</w:t>
      </w:r>
    </w:p>
    <w:p w14:paraId="2161D12F" w14:textId="77777777" w:rsidR="008D6A1A" w:rsidRPr="008D6A1A" w:rsidRDefault="008D6A1A" w:rsidP="008D6A1A">
      <w:pPr>
        <w:spacing w:line="360" w:lineRule="auto" w:after="120"/>
        <w:jc w:val="left"/>
        <w:rPr>
          <w:rFonts w:ascii="Times New Roman" w:hAnsi="Times New Roman" w:cs="Times New Roman"/>
          <w:sz w:val="24"/>
          <w:szCs w:val="24"/>
        </w:rPr>
      </w:pPr>
    </w:p>
    <w:p w14:paraId="40A2B823"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 xml:space="preserve">Kaloudis et al. (2026) proposed a temperature-driven population dynamics model using biweekly insect trap counts for stored-product pest management. This source supports the relevance of temperature and time-window features in pest analytics. Since it is a preprint and focuses on stored-product pests, it will be treated as supporting evidence rather than as the main evaluation standard for the </w:t>
      </w:r>
      <w:proofErr w:type="spellStart"/>
      <w:r w:rsidRPr="008D6A1A">
        <w:rPr>
          <w:rFonts w:ascii="Times New Roman" w:hAnsi="Times New Roman" w:cs="Times New Roman" w:eastAsia="Times New Roman"/>
          <w:sz w:val="24"/>
          <w:szCs w:val="24"/>
        </w:rPr>
        <w:t>Nomobug</w:t>
      </w:r>
      <w:proofErr w:type="spellEnd"/>
      <w:r w:rsidRPr="008D6A1A">
        <w:rPr>
          <w:rFonts w:ascii="Times New Roman" w:hAnsi="Times New Roman" w:cs="Times New Roman" w:eastAsia="Times New Roman"/>
          <w:sz w:val="24"/>
          <w:szCs w:val="24"/>
        </w:rPr>
        <w:t xml:space="preserve"> dashboard.</w:t>
      </w:r>
    </w:p>
    <w:p w14:paraId="3D7EFC2B" w14:textId="77777777" w:rsidR="008D6A1A" w:rsidRPr="008D6A1A" w:rsidRDefault="008D6A1A" w:rsidP="008D6A1A">
      <w:pPr>
        <w:spacing w:line="360" w:lineRule="auto" w:after="120"/>
        <w:jc w:val="left"/>
        <w:rPr>
          <w:rFonts w:ascii="Times New Roman" w:hAnsi="Times New Roman" w:cs="Times New Roman"/>
          <w:sz w:val="24"/>
          <w:szCs w:val="24"/>
        </w:rPr>
      </w:pPr>
    </w:p>
    <w:p w14:paraId="4B9CD53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Sumido et al. (2023) examined pest classification and prediction using weather variables and machine-learning techniques. This supports the use of rainfall, humidity, and temperature as features for pest-related analytics. The study is relevant to the proposed weather-associated warranty and repeat-problem analysis, although the Nomobug system will prioritise transparent and explainable scoring due to limited labelled warranty data.</w:t>
      </w:r>
    </w:p>
    <w:p w14:paraId="5AAC5F6B" w14:textId="77777777" w:rsidR="008D6A1A" w:rsidRPr="008D6A1A" w:rsidRDefault="008D6A1A" w:rsidP="008D6A1A">
      <w:pPr>
        <w:spacing w:line="360" w:lineRule="auto" w:after="120"/>
        <w:jc w:val="left"/>
        <w:rPr>
          <w:rFonts w:ascii="Times New Roman" w:hAnsi="Times New Roman" w:cs="Times New Roman"/>
          <w:sz w:val="24"/>
          <w:szCs w:val="24"/>
        </w:rPr>
      </w:pPr>
    </w:p>
    <w:p w14:paraId="21D56DCE"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Biswas et al. (2022) described a pest forecasting system using historical pesticide usage information. Although it is patent literature rather than an academic evaluation paper, it shows that historical operational records can be used as inputs for pest forecasting. This is relevant because the proposed project similarly uses historical service, warranty, refund, and calendar records to generate planning indicators.</w:t>
      </w:r>
    </w:p>
    <w:p w14:paraId="13E23AD3" w14:textId="77777777" w:rsidR="008D6A1A" w:rsidRPr="008D6A1A" w:rsidRDefault="008D6A1A" w:rsidP="008D6A1A">
      <w:pPr>
        <w:spacing w:line="360" w:lineRule="auto" w:after="120"/>
        <w:jc w:val="left"/>
        <w:rPr>
          <w:rFonts w:ascii="Times New Roman" w:hAnsi="Times New Roman" w:cs="Times New Roman"/>
          <w:sz w:val="24"/>
          <w:szCs w:val="24"/>
        </w:rPr>
      </w:pPr>
    </w:p>
    <w:p w14:paraId="68F772F6"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Dey and Roy (2025) discussed the use of AI and IoT for pest management in smart agriculture. This source is relevant as a broader technology reference because it connects pest management with automated monitoring and intelligent decision support. However, the Nomobug project will avoid expensive IoT deployment and will instead focus on existing company data, dashboard analytics, and optional local AI explanations.</w:t>
      </w:r>
    </w:p>
    <w:p w14:paraId="78023E0D" w14:textId="77777777" w:rsidR="008D6A1A" w:rsidRPr="008D6A1A" w:rsidRDefault="008D6A1A" w:rsidP="008D6A1A">
      <w:pPr>
        <w:spacing w:line="360" w:lineRule="auto" w:after="120"/>
        <w:jc w:val="left"/>
        <w:rPr>
          <w:rFonts w:ascii="Times New Roman" w:hAnsi="Times New Roman" w:cs="Times New Roman"/>
          <w:sz w:val="24"/>
          <w:szCs w:val="24"/>
        </w:rPr>
      </w:pPr>
    </w:p>
    <w:p w14:paraId="09136E24" w14:textId="77777777" w:rsidR="00984EB3"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Google Calendar API documentation shows that calendar events can be retrieved and processed through API calls. This supports using Google Calendar as an operational data source for scheduling capacity, service stage, team workload, and warranty or extra-service identification. Because calendar titles and descriptions are semi-structured, the methodology will include parsing rules and match-confidence flags.</w:t>
      </w:r>
    </w:p>
    <w:p w14:paraId="49750078" w14:textId="77777777" w:rsidR="008D6A1A" w:rsidRPr="008D6A1A" w:rsidRDefault="008D6A1A" w:rsidP="008D6A1A">
      <w:pPr>
        <w:spacing w:line="360" w:lineRule="auto" w:after="120"/>
        <w:jc w:val="left"/>
        <w:rPr>
          <w:rFonts w:ascii="Times New Roman" w:hAnsi="Times New Roman" w:cs="Times New Roman"/>
          <w:sz w:val="24"/>
          <w:szCs w:val="24"/>
        </w:rPr>
      </w:pPr>
    </w:p>
    <w:p w14:paraId="289FC793" w14:textId="77777777" w:rsidR="00984EB3" w:rsidRDefault="003C0C08" w:rsidP="008D6A1A">
      <w:pPr>
        <w:spacing w:line="360" w:lineRule="auto" w:after="120"/>
        <w:jc w:val="both"/>
      </w:pPr>
      <w:r w:rsidRPr="008D6A1A">
        <w:rPr>
          <w:rFonts w:ascii="Times New Roman" w:hAnsi="Times New Roman" w:cs="Times New Roman" w:eastAsia="Times New Roman"/>
          <w:sz w:val="24"/>
          <w:szCs w:val="24"/>
        </w:rPr>
        <w:t>Open-Meteo documentation explains how historical and forecast weather data can be retrieved using coordinates and date ranges. This is important because Nomobug service areas can be matched to area or postcode centroids without exposing full customer addresses. Malaysia OpenAPI and MET Malaysia documentation provide official forecast and warning support that can be used as a live planning layer</w:t>
      </w:r>
      <w:r>
        <w:rPr>
          <w:rFonts w:ascii="Times New Roman" w:hAnsi="Times New Roman" w:eastAsia="Times New Roman" w:cs="Times New Roman"/>
          <w:sz w:val="24"/>
        </w:rPr>
        <w:t>.</w:t>
      </w:r>
    </w:p>
    <w:p w14:paraId="14B80CED"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2.8 Literature Matrix</w:t>
      </w:r>
    </w:p>
    <w:tbl>
      <w:tblPr>
        <w:tblStyle w:val="TableGrid"/>
        <w:tblW w:w="0" w:type="auto"/>
        <w:jc w:val="center"/>
        <w:tblLook w:val="04A0" w:firstRow="1" w:lastRow="0" w:firstColumn="1" w:lastColumn="0" w:noHBand="0" w:noVBand="1"/>
      </w:tblPr>
      <w:tblGrid>
        <w:gridCol w:w="2248"/>
        <w:gridCol w:w="2251"/>
        <w:gridCol w:w="2269"/>
        <w:gridCol w:w="2248"/>
      </w:tblGrid>
      <w:tr w:rsidR="00984EB3" w14:paraId="53CB9D67" w14:textId="77777777">
        <w:trPr>
          <w:jc w:val="center"/>
        </w:trPr>
        <w:tc>
          <w:tcPr>
            <w:tcW w:w="2256" w:type="dxa"/>
            <w:shd w:val="clear" w:color="auto" w:fill="D9EAF7"/>
            <w:vAlign w:val="center"/>
          </w:tcPr>
          <w:p w14:paraId="73D48E4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Study / Source</w:t>
            </w:r>
          </w:p>
        </w:tc>
        <w:tc>
          <w:tcPr>
            <w:tcW w:w="2256" w:type="dxa"/>
            <w:shd w:val="clear" w:color="auto" w:fill="D9EAF7"/>
            <w:vAlign w:val="center"/>
          </w:tcPr>
          <w:p w14:paraId="3C62294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Focus</w:t>
            </w:r>
          </w:p>
        </w:tc>
        <w:tc>
          <w:tcPr>
            <w:tcW w:w="2256" w:type="dxa"/>
            <w:shd w:val="clear" w:color="auto" w:fill="D9EAF7"/>
            <w:vAlign w:val="center"/>
          </w:tcPr>
          <w:p w14:paraId="1CD5942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How It Supports This Project</w:t>
            </w:r>
          </w:p>
        </w:tc>
        <w:tc>
          <w:tcPr>
            <w:tcW w:w="2256" w:type="dxa"/>
            <w:shd w:val="clear" w:color="auto" w:fill="D9EAF7"/>
            <w:vAlign w:val="center"/>
          </w:tcPr>
          <w:p w14:paraId="48A096F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b/>
                <w:sz w:val="21"/>
                <w:szCs w:val="24"/>
              </w:rPr>
              <w:t>Use / Limitation</w:t>
            </w:r>
          </w:p>
        </w:tc>
      </w:tr>
      <w:tr w:rsidR="00984EB3" w14:paraId="0E34A2A0" w14:textId="77777777">
        <w:trPr>
          <w:jc w:val="center"/>
        </w:trPr>
        <w:tc>
          <w:tcPr>
            <w:tcW w:w="2256" w:type="dxa"/>
            <w:vAlign w:val="center"/>
          </w:tcPr>
          <w:p w14:paraId="456249F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Ragazou et al. (2023)</w:t>
            </w:r>
          </w:p>
        </w:tc>
        <w:tc>
          <w:tcPr>
            <w:tcW w:w="2256" w:type="dxa"/>
            <w:vAlign w:val="center"/>
          </w:tcPr>
          <w:p w14:paraId="66BB6E0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 for SMEs</w:t>
            </w:r>
          </w:p>
        </w:tc>
        <w:tc>
          <w:tcPr>
            <w:tcW w:w="2256" w:type="dxa"/>
            <w:vAlign w:val="center"/>
          </w:tcPr>
          <w:p w14:paraId="3F77F2D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SME decision-support dashboard framing</w:t>
            </w:r>
          </w:p>
        </w:tc>
        <w:tc>
          <w:tcPr>
            <w:tcW w:w="2256" w:type="dxa"/>
            <w:vAlign w:val="center"/>
          </w:tcPr>
          <w:p w14:paraId="77ABA06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Core BI reference</w:t>
            </w:r>
          </w:p>
        </w:tc>
      </w:tr>
      <w:tr w:rsidR="00984EB3" w14:paraId="50000622" w14:textId="77777777">
        <w:trPr>
          <w:jc w:val="center"/>
        </w:trPr>
        <w:tc>
          <w:tcPr>
            <w:tcW w:w="2256" w:type="dxa"/>
            <w:vAlign w:val="center"/>
          </w:tcPr>
          <w:p w14:paraId="144F917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Gurcan et al. (2023)</w:t>
            </w:r>
          </w:p>
        </w:tc>
        <w:tc>
          <w:tcPr>
            <w:tcW w:w="2256" w:type="dxa"/>
            <w:vAlign w:val="center"/>
          </w:tcPr>
          <w:p w14:paraId="4B8D5F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 trends, AI, data mining</w:t>
            </w:r>
          </w:p>
        </w:tc>
        <w:tc>
          <w:tcPr>
            <w:tcW w:w="2256" w:type="dxa"/>
            <w:vAlign w:val="center"/>
          </w:tcPr>
          <w:p w14:paraId="0997505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layered descriptive, predictive, prescriptive analytics</w:t>
            </w:r>
          </w:p>
        </w:tc>
        <w:tc>
          <w:tcPr>
            <w:tcW w:w="2256" w:type="dxa"/>
            <w:vAlign w:val="center"/>
          </w:tcPr>
          <w:p w14:paraId="0CF28C6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Core BI reference</w:t>
            </w:r>
          </w:p>
        </w:tc>
      </w:tr>
      <w:tr w:rsidR="00984EB3" w14:paraId="1FEA69A1" w14:textId="77777777">
        <w:trPr>
          <w:jc w:val="center"/>
        </w:trPr>
        <w:tc>
          <w:tcPr>
            <w:tcW w:w="2256" w:type="dxa"/>
            <w:vAlign w:val="center"/>
          </w:tcPr>
          <w:p w14:paraId="2BF8163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Cordon (2026)</w:t>
            </w:r>
          </w:p>
        </w:tc>
        <w:tc>
          <w:tcPr>
            <w:tcW w:w="2256" w:type="dxa"/>
            <w:vAlign w:val="center"/>
          </w:tcPr>
          <w:p w14:paraId="67797AA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Predictive heat maps for urban cockroach infestation</w:t>
            </w:r>
          </w:p>
        </w:tc>
        <w:tc>
          <w:tcPr>
            <w:tcW w:w="2256" w:type="dxa"/>
            <w:vAlign w:val="center"/>
          </w:tcPr>
          <w:p w14:paraId="3A63FCE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spatial-temporal heatmap concept</w:t>
            </w:r>
          </w:p>
        </w:tc>
        <w:tc>
          <w:tcPr>
            <w:tcW w:w="2256" w:type="dxa"/>
            <w:vAlign w:val="center"/>
          </w:tcPr>
          <w:p w14:paraId="28E9799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Supporting source, not main model</w:t>
            </w:r>
          </w:p>
        </w:tc>
      </w:tr>
      <w:tr w:rsidR="00984EB3" w14:paraId="480CE986" w14:textId="77777777">
        <w:trPr>
          <w:jc w:val="center"/>
        </w:trPr>
        <w:tc>
          <w:tcPr>
            <w:tcW w:w="2256" w:type="dxa"/>
            <w:vAlign w:val="center"/>
          </w:tcPr>
          <w:p w14:paraId="7EE2FBC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Calatayud et al. (2023)</w:t>
            </w:r>
          </w:p>
        </w:tc>
        <w:tc>
          <w:tcPr>
            <w:tcW w:w="2256" w:type="dxa"/>
            <w:vAlign w:val="center"/>
          </w:tcPr>
          <w:p w14:paraId="64E3287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infestation population model</w:t>
            </w:r>
          </w:p>
        </w:tc>
        <w:tc>
          <w:tcPr>
            <w:tcW w:w="2256" w:type="dxa"/>
            <w:vAlign w:val="center"/>
          </w:tcPr>
          <w:p w14:paraId="799519A6"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modelling urban pest dynamics</w:t>
            </w:r>
          </w:p>
        </w:tc>
        <w:tc>
          <w:tcPr>
            <w:tcW w:w="2256" w:type="dxa"/>
            <w:vAlign w:val="center"/>
          </w:tcPr>
          <w:p w14:paraId="6805F82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More theoretical than dashboard use</w:t>
            </w:r>
          </w:p>
        </w:tc>
      </w:tr>
      <w:tr w:rsidR="00984EB3" w14:paraId="350E6D2A" w14:textId="77777777">
        <w:trPr>
          <w:jc w:val="center"/>
        </w:trPr>
        <w:tc>
          <w:tcPr>
            <w:tcW w:w="2256" w:type="dxa"/>
            <w:vAlign w:val="center"/>
          </w:tcPr>
          <w:p w14:paraId="326783D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Hiscox et al. (2025)</w:t>
            </w:r>
          </w:p>
        </w:tc>
        <w:tc>
          <w:tcPr>
            <w:tcW w:w="2256" w:type="dxa"/>
            <w:vAlign w:val="center"/>
          </w:tcPr>
          <w:p w14:paraId="483A620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events and cockroaches/flies</w:t>
            </w:r>
          </w:p>
        </w:tc>
        <w:tc>
          <w:tcPr>
            <w:tcW w:w="2256" w:type="dxa"/>
            <w:vAlign w:val="center"/>
          </w:tcPr>
          <w:p w14:paraId="02CF1E28"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weather-associated risk indicators</w:t>
            </w:r>
          </w:p>
        </w:tc>
        <w:tc>
          <w:tcPr>
            <w:tcW w:w="2256" w:type="dxa"/>
            <w:vAlign w:val="center"/>
          </w:tcPr>
          <w:p w14:paraId="5EC48AD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Avoid causal claims</w:t>
            </w:r>
          </w:p>
        </w:tc>
      </w:tr>
      <w:tr w:rsidR="00984EB3" w14:paraId="0E2FAB9E" w14:textId="77777777">
        <w:trPr>
          <w:jc w:val="center"/>
        </w:trPr>
        <w:tc>
          <w:tcPr>
            <w:tcW w:w="2256" w:type="dxa"/>
            <w:vAlign w:val="center"/>
          </w:tcPr>
          <w:p w14:paraId="057EAAB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Richardson et al. (2025)</w:t>
            </w:r>
          </w:p>
        </w:tc>
        <w:tc>
          <w:tcPr>
            <w:tcW w:w="2256" w:type="dxa"/>
            <w:vAlign w:val="center"/>
          </w:tcPr>
          <w:p w14:paraId="6767183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rats, climate, urbanisation</w:t>
            </w:r>
          </w:p>
        </w:tc>
        <w:tc>
          <w:tcPr>
            <w:tcW w:w="2256" w:type="dxa"/>
            <w:vAlign w:val="center"/>
          </w:tcPr>
          <w:p w14:paraId="791A21D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environmental and urban context analysis</w:t>
            </w:r>
          </w:p>
        </w:tc>
        <w:tc>
          <w:tcPr>
            <w:tcW w:w="2256" w:type="dxa"/>
            <w:vAlign w:val="center"/>
          </w:tcPr>
          <w:p w14:paraId="7A90559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Different pest and setting</w:t>
            </w:r>
          </w:p>
        </w:tc>
      </w:tr>
      <w:tr w:rsidR="00984EB3" w14:paraId="745A3A2D" w14:textId="77777777">
        <w:trPr>
          <w:jc w:val="center"/>
        </w:trPr>
        <w:tc>
          <w:tcPr>
            <w:tcW w:w="2256" w:type="dxa"/>
            <w:vAlign w:val="center"/>
          </w:tcPr>
          <w:p w14:paraId="55D77D5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Brimblecombe et al. (2023)</w:t>
            </w:r>
          </w:p>
        </w:tc>
        <w:tc>
          <w:tcPr>
            <w:tcW w:w="2256" w:type="dxa"/>
            <w:vAlign w:val="center"/>
          </w:tcPr>
          <w:p w14:paraId="46EFCA7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Urban pest enquiry data</w:t>
            </w:r>
          </w:p>
        </w:tc>
        <w:tc>
          <w:tcPr>
            <w:tcW w:w="2256" w:type="dxa"/>
            <w:vAlign w:val="center"/>
          </w:tcPr>
          <w:p w14:paraId="7836437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use of complaints/warranty-style records</w:t>
            </w:r>
          </w:p>
        </w:tc>
        <w:tc>
          <w:tcPr>
            <w:tcW w:w="2256" w:type="dxa"/>
            <w:vAlign w:val="center"/>
          </w:tcPr>
          <w:p w14:paraId="54C7141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Records can be biased</w:t>
            </w:r>
          </w:p>
        </w:tc>
      </w:tr>
      <w:tr w:rsidR="00984EB3" w14:paraId="2718C31B" w14:textId="77777777">
        <w:trPr>
          <w:jc w:val="center"/>
        </w:trPr>
        <w:tc>
          <w:tcPr>
            <w:tcW w:w="2256" w:type="dxa"/>
            <w:vAlign w:val="center"/>
          </w:tcPr>
          <w:p w14:paraId="4476B44D"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Pinto et al. (2025)</w:t>
            </w:r>
          </w:p>
        </w:tc>
        <w:tc>
          <w:tcPr>
            <w:tcW w:w="2256" w:type="dxa"/>
            <w:vAlign w:val="center"/>
          </w:tcPr>
          <w:p w14:paraId="18EFD3CE"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Weather-based pest DSS</w:t>
            </w:r>
          </w:p>
        </w:tc>
        <w:tc>
          <w:tcPr>
            <w:tcW w:w="2256" w:type="dxa"/>
            <w:vAlign w:val="center"/>
          </w:tcPr>
          <w:p w14:paraId="439D338B"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decision-support architecture</w:t>
            </w:r>
          </w:p>
        </w:tc>
        <w:tc>
          <w:tcPr>
            <w:tcW w:w="2256" w:type="dxa"/>
            <w:vAlign w:val="center"/>
          </w:tcPr>
          <w:p w14:paraId="00CF2DB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focus</w:t>
            </w:r>
          </w:p>
        </w:tc>
      </w:tr>
      <w:tr w:rsidR="00984EB3" w14:paraId="4033D9F6" w14:textId="77777777">
        <w:trPr>
          <w:jc w:val="center"/>
        </w:trPr>
        <w:tc>
          <w:tcPr>
            <w:tcW w:w="2256" w:type="dxa"/>
            <w:vAlign w:val="center"/>
          </w:tcPr>
          <w:p w14:paraId="7C01BA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Erguler et al. (2024)</w:t>
            </w:r>
          </w:p>
        </w:tc>
        <w:tc>
          <w:tcPr>
            <w:tcW w:w="2256" w:type="dxa"/>
            <w:vAlign w:val="center"/>
          </w:tcPr>
          <w:p w14:paraId="695E8D1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VEClim early warning DSS</w:t>
            </w:r>
          </w:p>
        </w:tc>
        <w:tc>
          <w:tcPr>
            <w:tcW w:w="2256" w:type="dxa"/>
            <w:vAlign w:val="center"/>
          </w:tcPr>
          <w:p w14:paraId="6B57E07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climate-sensitive warning and planning layer</w:t>
            </w:r>
          </w:p>
        </w:tc>
        <w:tc>
          <w:tcPr>
            <w:tcW w:w="2256" w:type="dxa"/>
            <w:vAlign w:val="center"/>
          </w:tcPr>
          <w:p w14:paraId="254AC35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Vector/public health context</w:t>
            </w:r>
          </w:p>
        </w:tc>
      </w:tr>
      <w:tr w:rsidR="00984EB3" w14:paraId="65CD44D8" w14:textId="77777777">
        <w:trPr>
          <w:jc w:val="center"/>
        </w:trPr>
        <w:tc>
          <w:tcPr>
            <w:tcW w:w="2256" w:type="dxa"/>
            <w:vAlign w:val="center"/>
          </w:tcPr>
          <w:p w14:paraId="203D7C8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Yao et al. (2026)</w:t>
            </w:r>
          </w:p>
        </w:tc>
        <w:tc>
          <w:tcPr>
            <w:tcW w:w="2256" w:type="dxa"/>
            <w:vAlign w:val="center"/>
          </w:tcPr>
          <w:p w14:paraId="71DFD9F4"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XGBoost and SHAP mosquito density</w:t>
            </w:r>
          </w:p>
        </w:tc>
        <w:tc>
          <w:tcPr>
            <w:tcW w:w="2256" w:type="dxa"/>
            <w:vAlign w:val="center"/>
          </w:tcPr>
          <w:p w14:paraId="33B95057"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explainable environmental modelling</w:t>
            </w:r>
          </w:p>
        </w:tc>
        <w:tc>
          <w:tcPr>
            <w:tcW w:w="2256" w:type="dxa"/>
            <w:vAlign w:val="center"/>
          </w:tcPr>
          <w:p w14:paraId="674BE64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Too complex for small warranty dataset</w:t>
            </w:r>
          </w:p>
        </w:tc>
      </w:tr>
      <w:tr w:rsidR="00984EB3" w14:paraId="2C033311" w14:textId="77777777">
        <w:trPr>
          <w:jc w:val="center"/>
        </w:trPr>
        <w:tc>
          <w:tcPr>
            <w:tcW w:w="2256" w:type="dxa"/>
            <w:vAlign w:val="center"/>
          </w:tcPr>
          <w:p w14:paraId="0ED70EA1"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Kaloudis et al. (2026)</w:t>
            </w:r>
          </w:p>
        </w:tc>
        <w:tc>
          <w:tcPr>
            <w:tcW w:w="2256" w:type="dxa"/>
            <w:vAlign w:val="center"/>
          </w:tcPr>
          <w:p w14:paraId="6B58E92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Temperature-driven pest population model</w:t>
            </w:r>
          </w:p>
        </w:tc>
        <w:tc>
          <w:tcPr>
            <w:tcW w:w="2256" w:type="dxa"/>
            <w:vAlign w:val="center"/>
          </w:tcPr>
          <w:p w14:paraId="4CF4DBD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time-window and temperature features</w:t>
            </w:r>
          </w:p>
        </w:tc>
        <w:tc>
          <w:tcPr>
            <w:tcW w:w="2256" w:type="dxa"/>
            <w:vAlign w:val="center"/>
          </w:tcPr>
          <w:p w14:paraId="68A20E15"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Preprint, stored-product pest context</w:t>
            </w:r>
          </w:p>
        </w:tc>
      </w:tr>
      <w:tr w:rsidR="00984EB3" w14:paraId="25543125" w14:textId="77777777">
        <w:trPr>
          <w:jc w:val="center"/>
        </w:trPr>
        <w:tc>
          <w:tcPr>
            <w:tcW w:w="2256" w:type="dxa"/>
            <w:vAlign w:val="center"/>
          </w:tcPr>
          <w:p w14:paraId="11CADB2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Sumido et al. (2023)</w:t>
            </w:r>
          </w:p>
        </w:tc>
        <w:tc>
          <w:tcPr>
            <w:tcW w:w="2256" w:type="dxa"/>
            <w:vAlign w:val="center"/>
          </w:tcPr>
          <w:p w14:paraId="2E4762E8"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variables and pest prediction</w:t>
            </w:r>
          </w:p>
        </w:tc>
        <w:tc>
          <w:tcPr>
            <w:tcW w:w="2256" w:type="dxa"/>
            <w:vAlign w:val="center"/>
          </w:tcPr>
          <w:p w14:paraId="03AA270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weather features in ML analytics</w:t>
            </w:r>
          </w:p>
        </w:tc>
        <w:tc>
          <w:tcPr>
            <w:tcW w:w="2256" w:type="dxa"/>
            <w:vAlign w:val="center"/>
          </w:tcPr>
          <w:p w14:paraId="31A86C6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Different data domain</w:t>
            </w:r>
          </w:p>
        </w:tc>
      </w:tr>
      <w:tr w:rsidR="00984EB3" w14:paraId="5AC2567B" w14:textId="77777777">
        <w:trPr>
          <w:jc w:val="center"/>
        </w:trPr>
        <w:tc>
          <w:tcPr>
            <w:tcW w:w="2256" w:type="dxa"/>
            <w:vAlign w:val="center"/>
          </w:tcPr>
          <w:p w14:paraId="29EE1DF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Biswas et al. (2022)</w:t>
            </w:r>
          </w:p>
        </w:tc>
        <w:tc>
          <w:tcPr>
            <w:tcW w:w="2256" w:type="dxa"/>
            <w:vAlign w:val="center"/>
          </w:tcPr>
          <w:p w14:paraId="2F00C8E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Pest forecasting using historical usage records</w:t>
            </w:r>
          </w:p>
        </w:tc>
        <w:tc>
          <w:tcPr>
            <w:tcW w:w="2256" w:type="dxa"/>
            <w:vAlign w:val="center"/>
          </w:tcPr>
          <w:p w14:paraId="4C27170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use of historical operational records</w:t>
            </w:r>
          </w:p>
        </w:tc>
        <w:tc>
          <w:tcPr>
            <w:tcW w:w="2256" w:type="dxa"/>
            <w:vAlign w:val="center"/>
          </w:tcPr>
          <w:p w14:paraId="12AB900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Patent/source not academic validation</w:t>
            </w:r>
          </w:p>
        </w:tc>
      </w:tr>
      <w:tr w:rsidR="00984EB3" w14:paraId="633F0C46" w14:textId="77777777">
        <w:trPr>
          <w:jc w:val="center"/>
        </w:trPr>
        <w:tc>
          <w:tcPr>
            <w:tcW w:w="2256" w:type="dxa"/>
            <w:vAlign w:val="center"/>
          </w:tcPr>
          <w:p w14:paraId="6C7C8E0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Dey &amp; Roy (2025)</w:t>
            </w:r>
          </w:p>
        </w:tc>
        <w:tc>
          <w:tcPr>
            <w:tcW w:w="2256" w:type="dxa"/>
            <w:vAlign w:val="center"/>
          </w:tcPr>
          <w:p w14:paraId="0161076C"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AI and IoT pest management</w:t>
            </w:r>
          </w:p>
        </w:tc>
        <w:tc>
          <w:tcPr>
            <w:tcW w:w="2256" w:type="dxa"/>
            <w:vAlign w:val="center"/>
          </w:tcPr>
          <w:p w14:paraId="0266774E"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future intelligent decision support</w:t>
            </w:r>
          </w:p>
        </w:tc>
        <w:tc>
          <w:tcPr>
            <w:tcW w:w="2256" w:type="dxa"/>
            <w:vAlign w:val="center"/>
          </w:tcPr>
          <w:p w14:paraId="2FFBA03D"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Broader smart agriculture context</w:t>
            </w:r>
          </w:p>
        </w:tc>
      </w:tr>
      <w:tr w:rsidR="00984EB3" w14:paraId="691DCD73" w14:textId="77777777">
        <w:trPr>
          <w:jc w:val="center"/>
        </w:trPr>
        <w:tc>
          <w:tcPr>
            <w:tcW w:w="2256" w:type="dxa"/>
            <w:vAlign w:val="center"/>
          </w:tcPr>
          <w:p w14:paraId="04C6CF4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Open-Meteo (2026)</w:t>
            </w:r>
          </w:p>
        </w:tc>
        <w:tc>
          <w:tcPr>
            <w:tcW w:w="2256" w:type="dxa"/>
            <w:vAlign w:val="center"/>
          </w:tcPr>
          <w:p w14:paraId="5A09CF7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Historical and forecast weather API</w:t>
            </w:r>
          </w:p>
        </w:tc>
        <w:tc>
          <w:tcPr>
            <w:tcW w:w="2256" w:type="dxa"/>
            <w:vAlign w:val="center"/>
          </w:tcPr>
          <w:p w14:paraId="45692D26"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coordinate-based weather matching</w:t>
            </w:r>
          </w:p>
        </w:tc>
        <w:tc>
          <w:tcPr>
            <w:tcW w:w="2256" w:type="dxa"/>
            <w:vAlign w:val="center"/>
          </w:tcPr>
          <w:p w14:paraId="6EF5DCA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remains an indicator</w:t>
            </w:r>
          </w:p>
        </w:tc>
      </w:tr>
      <w:tr w:rsidR="00984EB3" w14:paraId="2649F334" w14:textId="77777777">
        <w:trPr>
          <w:jc w:val="center"/>
        </w:trPr>
        <w:tc>
          <w:tcPr>
            <w:tcW w:w="2256" w:type="dxa"/>
            <w:vAlign w:val="center"/>
          </w:tcPr>
          <w:p w14:paraId="375FA133"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Google Calendar API (2026)</w:t>
            </w:r>
          </w:p>
        </w:tc>
        <w:tc>
          <w:tcPr>
            <w:tcW w:w="2256" w:type="dxa"/>
            <w:vAlign w:val="center"/>
          </w:tcPr>
          <w:p w14:paraId="6AB7F4F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Calendar event extraction</w:t>
            </w:r>
          </w:p>
        </w:tc>
        <w:tc>
          <w:tcPr>
            <w:tcW w:w="2256" w:type="dxa"/>
            <w:vAlign w:val="center"/>
          </w:tcPr>
          <w:p w14:paraId="2E3EC1D0"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scheduling and capacity analytics</w:t>
            </w:r>
          </w:p>
        </w:tc>
        <w:tc>
          <w:tcPr>
            <w:tcW w:w="2256" w:type="dxa"/>
            <w:vAlign w:val="center"/>
          </w:tcPr>
          <w:p w14:paraId="389E26F9"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Requires parsing confidence</w:t>
            </w:r>
          </w:p>
        </w:tc>
      </w:tr>
      <w:tr w:rsidR="00984EB3" w14:paraId="64F6277C" w14:textId="77777777">
        <w:trPr>
          <w:jc w:val="center"/>
        </w:trPr>
        <w:tc>
          <w:tcPr>
            <w:tcW w:w="2256" w:type="dxa"/>
            <w:vAlign w:val="center"/>
          </w:tcPr>
          <w:p w14:paraId="7E03D612"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Google Cloud / Superset (2026)</w:t>
            </w:r>
          </w:p>
        </w:tc>
        <w:tc>
          <w:tcPr>
            <w:tcW w:w="2256" w:type="dxa"/>
            <w:vAlign w:val="center"/>
          </w:tcPr>
          <w:p w14:paraId="74387BF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Warehouse and dashboard tools</w:t>
            </w:r>
          </w:p>
        </w:tc>
        <w:tc>
          <w:tcPr>
            <w:tcW w:w="2256" w:type="dxa"/>
            <w:vAlign w:val="center"/>
          </w:tcPr>
          <w:p w14:paraId="35F9275F"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BigQuery and dashboard implementation</w:t>
            </w:r>
          </w:p>
        </w:tc>
        <w:tc>
          <w:tcPr>
            <w:tcW w:w="2256" w:type="dxa"/>
            <w:vAlign w:val="center"/>
          </w:tcPr>
          <w:p w14:paraId="3268439A" w14:textId="77777777" w:rsidR="00984EB3" w:rsidRPr="00A32882" w:rsidRDefault="003C0C08" w:rsidP="00A32882">
            <w:pPr>
              <w:spacing w:after="60" w:line="276" w:lineRule="auto"/>
              <w:jc w:val="left"/>
              <w:rPr>
                <w:rFonts w:ascii="Times New Roman" w:hAnsi="Times New Roman" w:cs="Times New Roman"/>
                <w:sz w:val="24"/>
                <w:szCs w:val="24"/>
              </w:rPr>
            </w:pPr>
            <w:r w:rsidRPr="00A32882">
              <w:rPr>
                <w:rFonts w:ascii="Times New Roman" w:hAnsi="Times New Roman" w:cs="Times New Roman" w:eastAsia="Times New Roman"/>
                <w:sz w:val="21"/>
                <w:szCs w:val="24"/>
              </w:rPr>
              <w:t>Technical documentation</w:t>
            </w:r>
          </w:p>
        </w:tc>
      </w:tr>
      <w:tr w:rsidR="00BF3F6C" w14:paraId="654B0EAB" w14:textId="77777777">
        <w:trPr>
          <w:jc w:val="center"/>
        </w:trPr>
        <w:tc>
          <w:tcPr>
            <w:tcW w:w="2248" w:type="dxa"/>
            <w:vAlign w:val="center"/>
          </w:tcPr>
          <w:p w14:paraId="5255B74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Schulze et al. (2023)</w:t>
            </w:r>
          </w:p>
        </w:tc>
        <w:tc>
          <w:tcPr>
            <w:tcW w:w="2251" w:type="dxa"/>
            <w:vAlign w:val="center"/>
          </w:tcPr>
          <w:p w14:paraId="3D643871"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Digital dashboard systematic review</w:t>
            </w:r>
          </w:p>
        </w:tc>
        <w:tc>
          <w:tcPr>
            <w:tcW w:w="2269" w:type="dxa"/>
            <w:vAlign w:val="center"/>
          </w:tcPr>
          <w:p w14:paraId="48D61C3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dashboard design and action-oriented visual communication</w:t>
            </w:r>
          </w:p>
        </w:tc>
        <w:tc>
          <w:tcPr>
            <w:tcW w:w="2248" w:type="dxa"/>
            <w:vAlign w:val="center"/>
          </w:tcPr>
          <w:p w14:paraId="59066484"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General public-health context</w:t>
            </w:r>
          </w:p>
        </w:tc>
      </w:tr>
      <w:tr w:rsidR="00BF3F6C" w14:paraId="2FDB5AE1" w14:textId="77777777">
        <w:trPr>
          <w:jc w:val="center"/>
        </w:trPr>
        <w:tc>
          <w:tcPr>
            <w:tcW w:w="2248" w:type="dxa"/>
            <w:vAlign w:val="center"/>
          </w:tcPr>
          <w:p w14:paraId="0B7E937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Blacketer et al. (2021)</w:t>
            </w:r>
          </w:p>
        </w:tc>
        <w:tc>
          <w:tcPr>
            <w:tcW w:w="2251" w:type="dxa"/>
            <w:vAlign w:val="center"/>
          </w:tcPr>
          <w:p w14:paraId="11ECBBF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Data Quality Dashboard</w:t>
            </w:r>
          </w:p>
        </w:tc>
        <w:tc>
          <w:tcPr>
            <w:tcW w:w="2269" w:type="dxa"/>
            <w:vAlign w:val="center"/>
          </w:tcPr>
          <w:p w14:paraId="41F3A3E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data quality reporting before analytics interpretation</w:t>
            </w:r>
          </w:p>
        </w:tc>
        <w:tc>
          <w:tcPr>
            <w:tcW w:w="2248" w:type="dxa"/>
            <w:vAlign w:val="center"/>
          </w:tcPr>
          <w:p w14:paraId="3AE2F4E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Healthcare context but transferable</w:t>
            </w:r>
          </w:p>
        </w:tc>
      </w:tr>
      <w:tr w:rsidR="00BF3F6C" w14:paraId="73D13A23" w14:textId="77777777">
        <w:trPr>
          <w:jc w:val="center"/>
        </w:trPr>
        <w:tc>
          <w:tcPr>
            <w:tcW w:w="2248" w:type="dxa"/>
            <w:vAlign w:val="center"/>
          </w:tcPr>
          <w:p w14:paraId="0D3A2C5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Fu et al. (2024)</w:t>
            </w:r>
          </w:p>
        </w:tc>
        <w:tc>
          <w:tcPr>
            <w:tcW w:w="2251" w:type="dxa"/>
            <w:vAlign w:val="center"/>
          </w:tcPr>
          <w:p w14:paraId="0BC43E8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Industrial data quality review</w:t>
            </w:r>
          </w:p>
        </w:tc>
        <w:tc>
          <w:tcPr>
            <w:tcW w:w="2269" w:type="dxa"/>
            <w:vAlign w:val="center"/>
          </w:tcPr>
          <w:p w14:paraId="029FA5F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staging, cleaning flags, and governance workflow</w:t>
            </w:r>
          </w:p>
        </w:tc>
        <w:tc>
          <w:tcPr>
            <w:tcW w:w="2248" w:type="dxa"/>
            <w:vAlign w:val="center"/>
          </w:tcPr>
          <w:p w14:paraId="41AF0EA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Conceptual review</w:t>
            </w:r>
          </w:p>
        </w:tc>
      </w:tr>
      <w:tr w:rsidR="00BF3F6C" w14:paraId="50122F0C" w14:textId="77777777">
        <w:trPr>
          <w:jc w:val="center"/>
        </w:trPr>
        <w:tc>
          <w:tcPr>
            <w:tcW w:w="2248" w:type="dxa"/>
            <w:vAlign w:val="center"/>
          </w:tcPr>
          <w:p w14:paraId="3CB0470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Tonle et al. (2024)</w:t>
            </w:r>
          </w:p>
        </w:tc>
        <w:tc>
          <w:tcPr>
            <w:tcW w:w="2251" w:type="dxa"/>
            <w:vAlign w:val="center"/>
          </w:tcPr>
          <w:p w14:paraId="51A1AA30"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Pest management DSS roadmap</w:t>
            </w:r>
          </w:p>
        </w:tc>
        <w:tc>
          <w:tcPr>
            <w:tcW w:w="2269" w:type="dxa"/>
            <w:vAlign w:val="center"/>
          </w:tcPr>
          <w:p w14:paraId="420ADAB0"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architecture connecting data, models, and decision outputs</w:t>
            </w:r>
          </w:p>
        </w:tc>
        <w:tc>
          <w:tcPr>
            <w:tcW w:w="2248" w:type="dxa"/>
            <w:vAlign w:val="center"/>
          </w:tcPr>
          <w:p w14:paraId="35747751"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IPM context</w:t>
            </w:r>
          </w:p>
        </w:tc>
      </w:tr>
      <w:tr w:rsidR="00BF3F6C" w14:paraId="18A4B657" w14:textId="77777777">
        <w:trPr>
          <w:jc w:val="center"/>
        </w:trPr>
        <w:tc>
          <w:tcPr>
            <w:tcW w:w="2248" w:type="dxa"/>
            <w:vAlign w:val="center"/>
          </w:tcPr>
          <w:p w14:paraId="64A3CA4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Marinko et al. (2024)</w:t>
            </w:r>
          </w:p>
        </w:tc>
        <w:tc>
          <w:tcPr>
            <w:tcW w:w="2251" w:type="dxa"/>
            <w:vAlign w:val="center"/>
          </w:tcPr>
          <w:p w14:paraId="7A940DB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IPM DSS typology web app</w:t>
            </w:r>
          </w:p>
        </w:tc>
        <w:tc>
          <w:tcPr>
            <w:tcW w:w="2269" w:type="dxa"/>
            <w:vAlign w:val="center"/>
          </w:tcPr>
          <w:p w14:paraId="1CDEEBF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classifying monitoring, prediction, and recommendation features</w:t>
            </w:r>
          </w:p>
        </w:tc>
        <w:tc>
          <w:tcPr>
            <w:tcW w:w="2248" w:type="dxa"/>
            <w:vAlign w:val="center"/>
          </w:tcPr>
          <w:p w14:paraId="2F101FE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DSS focus</w:t>
            </w:r>
          </w:p>
        </w:tc>
      </w:tr>
      <w:tr w:rsidR="00BF3F6C" w14:paraId="2CC0036A" w14:textId="77777777">
        <w:trPr>
          <w:jc w:val="center"/>
        </w:trPr>
        <w:tc>
          <w:tcPr>
            <w:tcW w:w="2248" w:type="dxa"/>
            <w:vAlign w:val="center"/>
          </w:tcPr>
          <w:p w14:paraId="01F3DDC8"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Fiori et al. (2024)</w:t>
            </w:r>
          </w:p>
        </w:tc>
        <w:tc>
          <w:tcPr>
            <w:tcW w:w="2251" w:type="dxa"/>
            <w:vAlign w:val="center"/>
          </w:tcPr>
          <w:p w14:paraId="039001A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SMARTerra pest/disease DSS</w:t>
            </w:r>
          </w:p>
        </w:tc>
        <w:tc>
          <w:tcPr>
            <w:tcW w:w="2269" w:type="dxa"/>
            <w:vAlign w:val="center"/>
          </w:tcPr>
          <w:p w14:paraId="469BF56E"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high-resolution risk maps and planning dashboards</w:t>
            </w:r>
          </w:p>
        </w:tc>
        <w:tc>
          <w:tcPr>
            <w:tcW w:w="2248" w:type="dxa"/>
            <w:vAlign w:val="center"/>
          </w:tcPr>
          <w:p w14:paraId="6823494D"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Plant pest/disease context</w:t>
            </w:r>
          </w:p>
        </w:tc>
      </w:tr>
      <w:tr w:rsidR="00BF3F6C" w14:paraId="2D2E055B" w14:textId="77777777">
        <w:trPr>
          <w:jc w:val="center"/>
        </w:trPr>
        <w:tc>
          <w:tcPr>
            <w:tcW w:w="2248" w:type="dxa"/>
            <w:vAlign w:val="center"/>
          </w:tcPr>
          <w:p w14:paraId="5D4FB75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Marinko et al. (2025)</w:t>
            </w:r>
          </w:p>
        </w:tc>
        <w:tc>
          <w:tcPr>
            <w:tcW w:w="2251" w:type="dxa"/>
            <w:vAlign w:val="center"/>
          </w:tcPr>
          <w:p w14:paraId="5638BF5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DSS adoption barriers</w:t>
            </w:r>
          </w:p>
        </w:tc>
        <w:tc>
          <w:tcPr>
            <w:tcW w:w="2269" w:type="dxa"/>
            <w:vAlign w:val="center"/>
          </w:tcPr>
          <w:p w14:paraId="5A127FA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usability, trust, and adoption evaluation</w:t>
            </w:r>
          </w:p>
        </w:tc>
        <w:tc>
          <w:tcPr>
            <w:tcW w:w="2248" w:type="dxa"/>
            <w:vAlign w:val="center"/>
          </w:tcPr>
          <w:p w14:paraId="12B7B88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European IPM setting</w:t>
            </w:r>
          </w:p>
        </w:tc>
      </w:tr>
      <w:tr w:rsidR="00BF3F6C" w14:paraId="290BA555" w14:textId="77777777">
        <w:trPr>
          <w:jc w:val="center"/>
        </w:trPr>
        <w:tc>
          <w:tcPr>
            <w:tcW w:w="2248" w:type="dxa"/>
            <w:vAlign w:val="center"/>
          </w:tcPr>
          <w:p w14:paraId="59903B64"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lastRenderedPageBreak/>
              <w:t>Choi &amp; Hong (2021)</w:t>
            </w:r>
          </w:p>
        </w:tc>
        <w:tc>
          <w:tcPr>
            <w:tcW w:w="2251" w:type="dxa"/>
            <w:vAlign w:val="center"/>
          </w:tcPr>
          <w:p w14:paraId="0D43422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MDST-DBSCAN spatiotemporal clustering</w:t>
            </w:r>
          </w:p>
        </w:tc>
        <w:tc>
          <w:tcPr>
            <w:tcW w:w="2269" w:type="dxa"/>
            <w:vAlign w:val="center"/>
          </w:tcPr>
          <w:p w14:paraId="684E5977"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density-based hotspot detection with noisy spatial data</w:t>
            </w:r>
          </w:p>
        </w:tc>
        <w:tc>
          <w:tcPr>
            <w:tcW w:w="2248" w:type="dxa"/>
            <w:vAlign w:val="center"/>
          </w:tcPr>
          <w:p w14:paraId="20CB0F03"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More advanced than required</w:t>
            </w:r>
          </w:p>
        </w:tc>
      </w:tr>
      <w:tr w:rsidR="00BF3F6C" w14:paraId="7A24A48D" w14:textId="77777777">
        <w:trPr>
          <w:jc w:val="center"/>
        </w:trPr>
        <w:tc>
          <w:tcPr>
            <w:tcW w:w="2248" w:type="dxa"/>
            <w:vAlign w:val="center"/>
          </w:tcPr>
          <w:p w14:paraId="3ED26D0B"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Ejike et al. (2025)</w:t>
            </w:r>
          </w:p>
        </w:tc>
        <w:tc>
          <w:tcPr>
            <w:tcW w:w="2251" w:type="dxa"/>
            <w:vAlign w:val="center"/>
          </w:tcPr>
          <w:p w14:paraId="29AE1D8F"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Rainfall prediction using ML</w:t>
            </w:r>
          </w:p>
        </w:tc>
        <w:tc>
          <w:tcPr>
            <w:tcW w:w="2269" w:type="dxa"/>
            <w:vAlign w:val="center"/>
          </w:tcPr>
          <w:p w14:paraId="17B0B34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lightweight weather modelling and logistic regression comparison</w:t>
            </w:r>
          </w:p>
        </w:tc>
        <w:tc>
          <w:tcPr>
            <w:tcW w:w="2248" w:type="dxa"/>
            <w:vAlign w:val="center"/>
          </w:tcPr>
          <w:p w14:paraId="70DA1A02"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Weather prediction, not pest outcome</w:t>
            </w:r>
          </w:p>
        </w:tc>
      </w:tr>
      <w:tr w:rsidR="00BF3F6C" w14:paraId="0CF311BD" w14:textId="77777777">
        <w:trPr>
          <w:jc w:val="center"/>
        </w:trPr>
        <w:tc>
          <w:tcPr>
            <w:tcW w:w="2248" w:type="dxa"/>
            <w:vAlign w:val="center"/>
          </w:tcPr>
          <w:p w14:paraId="6AC9AFBA"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Leybourne et al. (2025)</w:t>
            </w:r>
          </w:p>
        </w:tc>
        <w:tc>
          <w:tcPr>
            <w:tcW w:w="2251" w:type="dxa"/>
            <w:vAlign w:val="center"/>
          </w:tcPr>
          <w:p w14:paraId="5667722C"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AI in pest monitoring schemes</w:t>
            </w:r>
          </w:p>
        </w:tc>
        <w:tc>
          <w:tcPr>
            <w:tcW w:w="2269" w:type="dxa"/>
            <w:vAlign w:val="center"/>
          </w:tcPr>
          <w:p w14:paraId="5993E8B6"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Supports future AI explanation layer and adoption caution</w:t>
            </w:r>
          </w:p>
        </w:tc>
        <w:tc>
          <w:tcPr>
            <w:tcW w:w="2248" w:type="dxa"/>
            <w:vAlign w:val="center"/>
          </w:tcPr>
          <w:p w14:paraId="1A536915" w14:textId="77777777" w:rsidR="00BF3F6C" w:rsidRPr="00A32882" w:rsidRDefault="003C0C08" w:rsidP="00A32882">
            <w:pPr>
              <w:spacing w:line="276" w:lineRule="auto" w:after="60"/>
              <w:jc w:val="left"/>
              <w:rPr>
                <w:rFonts w:ascii="Times New Roman" w:hAnsi="Times New Roman" w:cs="Times New Roman"/>
                <w:sz w:val="24"/>
                <w:szCs w:val="24"/>
              </w:rPr>
            </w:pPr>
            <w:r w:rsidRPr="00A32882">
              <w:rPr>
                <w:rFonts w:ascii="Times New Roman" w:hAnsi="Times New Roman" w:cs="Times New Roman" w:eastAsia="Times New Roman"/>
                <w:sz w:val="21"/>
                <w:szCs w:val="24"/>
              </w:rPr>
              <w:t>Agricultural monitoring focus</w:t>
            </w:r>
          </w:p>
        </w:tc>
      </w:tr>
    </w:tbl>
    <w:p w14:paraId="63FC4198" w14:textId="77777777" w:rsidR="0084730D" w:rsidRPr="00335C63" w:rsidRDefault="0084730D" w:rsidP="000F4170">
      <w:pPr>
        <w:spacing w:line="360" w:lineRule="auto" w:after="120"/>
        <w:jc w:val="left"/>
        <w:rPr>
          <w:rFonts w:ascii="Times New Roman" w:hAnsi="Times New Roman" w:cs="Times New Roman"/>
          <w:sz w:val="24"/>
          <w:szCs w:val="24"/>
        </w:rPr>
      </w:pPr>
    </w:p>
    <w:p w14:paraId="5F6D5E6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cs="Times New Roman"/>
          <w:b/>
          <w:color w:val="000000"/>
          <w:sz w:val="24"/>
        </w:rPr>
        <w:t>2.9 Research Gap</w:t>
      </w:r>
    </w:p>
    <w:p w14:paraId="01CC5F42"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reviewed literature shows that BI can improve SME decision-making, weather can be an important pest-risk indicator, spatial-temporal clustering can detect emerging hotspots, and AI can support SME decision processes. However, there is limited work that combines these areas into a single practical system for an urban pest-control SME using real operational records such as warranty claims, refunds, payment links, Google Calendar service slots, technician assignments,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windows.</w:t>
      </w:r>
    </w:p>
    <w:p w14:paraId="186F0A6C" w14:textId="77777777" w:rsidR="008D6A1A" w:rsidRPr="00335C63" w:rsidRDefault="008D6A1A" w:rsidP="008D6A1A">
      <w:pPr>
        <w:spacing w:line="360" w:lineRule="auto" w:after="120"/>
        <w:jc w:val="left"/>
        <w:rPr>
          <w:rFonts w:ascii="Times New Roman" w:hAnsi="Times New Roman" w:cs="Times New Roman"/>
          <w:sz w:val="24"/>
          <w:szCs w:val="24"/>
        </w:rPr>
      </w:pPr>
    </w:p>
    <w:p w14:paraId="76EF81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project fills that gap by building a company-specific decision-support dashboard that integrates operational, environmental, spatial, and financial data. The contribution is not a heavy machine learning model; it is a usable analytics architecture that helps management understand where problems occur, when recurrence happens, which factors require review, and what actions may improve planning.</w:t>
      </w:r>
    </w:p>
    <w:p w14:paraId="5D47885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Chapter 3: Methodology</w:t>
      </w:r>
    </w:p>
    <w:p w14:paraId="1C46CCEC"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 Overall Research and Development Approach</w:t>
      </w:r>
    </w:p>
    <w:p w14:paraId="6330469C"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project will follow an applied data engineering and analytics development methodology. The process begins with data understanding and source profiling, then moves into flexible data contracts, extraction, raw loading, warehouse transformation, data quality testing, weather enrichment, analytics modelling, dashboard development, and evaluation with company users. The methodology is designed to suit messy SME data and a limited warranty dataset, so explainability and data reliability are prioritised over complex black-box machine learning.</w:t>
      </w:r>
    </w:p>
    <w:tbl>
      <w:tblPr>
        <w:tblStyle w:val="TableGrid"/>
        <w:tblW w:w="0" w:type="auto"/>
        <w:jc w:val="center"/>
        <w:tblLook w:val="04A0" w:firstRow="1" w:lastRow="0" w:firstColumn="1" w:lastColumn="0" w:noHBand="0" w:noVBand="1"/>
      </w:tblPr>
      <w:tblGrid>
        <w:gridCol w:w="2116"/>
        <w:gridCol w:w="4179"/>
        <w:gridCol w:w="2721"/>
      </w:tblGrid>
      <w:tr w:rsidR="0084730D" w:rsidRPr="00335C63" w14:paraId="159723E0" w14:textId="77777777" w:rsidTr="00CD7B49">
        <w:trPr>
          <w:cantSplit/>
          <w:tblHeader/>
          <w:jc w:val="center"/>
        </w:trPr>
        <w:tc>
          <w:tcPr>
            <w:tcW w:w="0" w:type="auto"/>
            <w:shd w:val="clear" w:color="auto" w:fill="E8F1FA"/>
            <w:tcMar>
              <w:top w:w="90" w:type="dxa"/>
              <w:left w:w="90" w:type="dxa"/>
              <w:bottom w:w="90" w:type="dxa"/>
              <w:right w:w="90" w:type="dxa"/>
            </w:tcMar>
            <w:vAlign w:val="center"/>
          </w:tcPr>
          <w:p w14:paraId="4E11B67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Phase</w:t>
            </w:r>
          </w:p>
        </w:tc>
        <w:tc>
          <w:tcPr>
            <w:tcW w:w="0" w:type="auto"/>
            <w:shd w:val="clear" w:color="auto" w:fill="E8F1FA"/>
            <w:tcMar>
              <w:top w:w="90" w:type="dxa"/>
              <w:left w:w="90" w:type="dxa"/>
              <w:bottom w:w="90" w:type="dxa"/>
              <w:right w:w="90" w:type="dxa"/>
            </w:tcMar>
            <w:vAlign w:val="center"/>
          </w:tcPr>
          <w:p w14:paraId="189123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Activities</w:t>
            </w:r>
          </w:p>
        </w:tc>
        <w:tc>
          <w:tcPr>
            <w:tcW w:w="0" w:type="auto"/>
            <w:shd w:val="clear" w:color="auto" w:fill="E8F1FA"/>
            <w:tcMar>
              <w:top w:w="90" w:type="dxa"/>
              <w:left w:w="90" w:type="dxa"/>
              <w:bottom w:w="90" w:type="dxa"/>
              <w:right w:w="90" w:type="dxa"/>
            </w:tcMar>
            <w:vAlign w:val="center"/>
          </w:tcPr>
          <w:p w14:paraId="1300826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Output</w:t>
            </w:r>
          </w:p>
        </w:tc>
      </w:tr>
      <w:tr w:rsidR="0084730D" w:rsidRPr="00335C63" w14:paraId="7A4710D9" w14:textId="77777777" w:rsidTr="00CD7B49">
        <w:trPr>
          <w:cantSplit/>
          <w:jc w:val="center"/>
        </w:trPr>
        <w:tc>
          <w:tcPr>
            <w:tcW w:w="0" w:type="auto"/>
            <w:tcMar>
              <w:top w:w="90" w:type="dxa"/>
              <w:left w:w="90" w:type="dxa"/>
              <w:bottom w:w="90" w:type="dxa"/>
              <w:right w:w="90" w:type="dxa"/>
            </w:tcMar>
            <w:vAlign w:val="center"/>
          </w:tcPr>
          <w:p w14:paraId="6248114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1. Data understanding</w:t>
            </w:r>
          </w:p>
        </w:tc>
        <w:tc>
          <w:tcPr>
            <w:tcW w:w="0" w:type="auto"/>
            <w:tcMar>
              <w:top w:w="90" w:type="dxa"/>
              <w:left w:w="90" w:type="dxa"/>
              <w:bottom w:w="90" w:type="dxa"/>
              <w:right w:w="90" w:type="dxa"/>
            </w:tcMar>
            <w:vAlign w:val="center"/>
          </w:tcPr>
          <w:p w14:paraId="01CBC6E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Profile Google Sheets, Calendar data, weather sources, missing values, duplicates, inconsistent labels</w:t>
            </w:r>
          </w:p>
        </w:tc>
        <w:tc>
          <w:tcPr>
            <w:tcW w:w="0" w:type="auto"/>
            <w:tcMar>
              <w:top w:w="90" w:type="dxa"/>
              <w:left w:w="90" w:type="dxa"/>
              <w:bottom w:w="90" w:type="dxa"/>
              <w:right w:w="90" w:type="dxa"/>
            </w:tcMar>
            <w:vAlign w:val="center"/>
          </w:tcPr>
          <w:p w14:paraId="019989C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report and field mapping</w:t>
            </w:r>
          </w:p>
        </w:tc>
      </w:tr>
      <w:tr w:rsidR="0084730D" w:rsidRPr="00335C63" w14:paraId="50E6A24C" w14:textId="77777777" w:rsidTr="00CD7B49">
        <w:trPr>
          <w:cantSplit/>
          <w:jc w:val="center"/>
        </w:trPr>
        <w:tc>
          <w:tcPr>
            <w:tcW w:w="0" w:type="auto"/>
            <w:tcMar>
              <w:top w:w="90" w:type="dxa"/>
              <w:left w:w="90" w:type="dxa"/>
              <w:bottom w:w="90" w:type="dxa"/>
              <w:right w:w="90" w:type="dxa"/>
            </w:tcMar>
            <w:vAlign w:val="center"/>
          </w:tcPr>
          <w:p w14:paraId="135E543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2. Data preparation</w:t>
            </w:r>
          </w:p>
        </w:tc>
        <w:tc>
          <w:tcPr>
            <w:tcW w:w="0" w:type="auto"/>
            <w:tcMar>
              <w:top w:w="90" w:type="dxa"/>
              <w:left w:w="90" w:type="dxa"/>
              <w:bottom w:w="90" w:type="dxa"/>
              <w:right w:w="90" w:type="dxa"/>
            </w:tcMar>
            <w:vAlign w:val="center"/>
          </w:tcPr>
          <w:p w14:paraId="24D133F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Clean dates, IDs, phone numbers, areas, pest types, packages, refund categories, calendar event types</w:t>
            </w:r>
          </w:p>
        </w:tc>
        <w:tc>
          <w:tcPr>
            <w:tcW w:w="0" w:type="auto"/>
            <w:tcMar>
              <w:top w:w="90" w:type="dxa"/>
              <w:left w:w="90" w:type="dxa"/>
              <w:bottom w:w="90" w:type="dxa"/>
              <w:right w:w="90" w:type="dxa"/>
            </w:tcMar>
            <w:vAlign w:val="center"/>
          </w:tcPr>
          <w:p w14:paraId="08C38C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Cleaned staging tables and validation flags</w:t>
            </w:r>
          </w:p>
        </w:tc>
      </w:tr>
      <w:tr w:rsidR="0084730D" w:rsidRPr="00335C63" w14:paraId="00A789AE" w14:textId="77777777" w:rsidTr="00CD7B49">
        <w:trPr>
          <w:cantSplit/>
          <w:jc w:val="center"/>
        </w:trPr>
        <w:tc>
          <w:tcPr>
            <w:tcW w:w="0" w:type="auto"/>
            <w:tcMar>
              <w:top w:w="90" w:type="dxa"/>
              <w:left w:w="90" w:type="dxa"/>
              <w:bottom w:w="90" w:type="dxa"/>
              <w:right w:w="90" w:type="dxa"/>
            </w:tcMar>
            <w:vAlign w:val="center"/>
          </w:tcPr>
          <w:p w14:paraId="3AED1DA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3. Data integration</w:t>
            </w:r>
          </w:p>
        </w:tc>
        <w:tc>
          <w:tcPr>
            <w:tcW w:w="0" w:type="auto"/>
            <w:tcMar>
              <w:top w:w="90" w:type="dxa"/>
              <w:left w:w="90" w:type="dxa"/>
              <w:bottom w:w="90" w:type="dxa"/>
              <w:right w:w="90" w:type="dxa"/>
            </w:tcMar>
            <w:vAlign w:val="center"/>
          </w:tcPr>
          <w:p w14:paraId="3597FDB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Join data by customer ID, phone number, service date, area, and calendar event matching</w:t>
            </w:r>
          </w:p>
        </w:tc>
        <w:tc>
          <w:tcPr>
            <w:tcW w:w="0" w:type="auto"/>
            <w:tcMar>
              <w:top w:w="90" w:type="dxa"/>
              <w:left w:w="90" w:type="dxa"/>
              <w:bottom w:w="90" w:type="dxa"/>
              <w:right w:w="90" w:type="dxa"/>
            </w:tcMar>
            <w:vAlign w:val="center"/>
          </w:tcPr>
          <w:p w14:paraId="22ED321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Analytics-ready fact/dimension model</w:t>
            </w:r>
          </w:p>
        </w:tc>
      </w:tr>
      <w:tr w:rsidR="0084730D" w:rsidRPr="00335C63" w14:paraId="55EC73AB" w14:textId="77777777" w:rsidTr="00CD7B49">
        <w:trPr>
          <w:cantSplit/>
          <w:jc w:val="center"/>
        </w:trPr>
        <w:tc>
          <w:tcPr>
            <w:tcW w:w="0" w:type="auto"/>
            <w:tcMar>
              <w:top w:w="90" w:type="dxa"/>
              <w:left w:w="90" w:type="dxa"/>
              <w:bottom w:w="90" w:type="dxa"/>
              <w:right w:w="90" w:type="dxa"/>
            </w:tcMar>
            <w:vAlign w:val="center"/>
          </w:tcPr>
          <w:p w14:paraId="36598C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4. Weather enrichment</w:t>
            </w:r>
          </w:p>
        </w:tc>
        <w:tc>
          <w:tcPr>
            <w:tcW w:w="0" w:type="auto"/>
            <w:tcMar>
              <w:top w:w="90" w:type="dxa"/>
              <w:left w:w="90" w:type="dxa"/>
              <w:bottom w:w="90" w:type="dxa"/>
              <w:right w:w="90" w:type="dxa"/>
            </w:tcMar>
            <w:vAlign w:val="center"/>
          </w:tcPr>
          <w:p w14:paraId="2464CFB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Map area/postcode to coordinates and retrieve rainfall, humidity, and temperature windows</w:t>
            </w:r>
          </w:p>
        </w:tc>
        <w:tc>
          <w:tcPr>
            <w:tcW w:w="0" w:type="auto"/>
            <w:tcMar>
              <w:top w:w="90" w:type="dxa"/>
              <w:left w:w="90" w:type="dxa"/>
              <w:bottom w:w="90" w:type="dxa"/>
              <w:right w:w="90" w:type="dxa"/>
            </w:tcMar>
            <w:vAlign w:val="center"/>
          </w:tcPr>
          <w:p w14:paraId="4A811AC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Weather-enriched service table and coverage report</w:t>
            </w:r>
          </w:p>
        </w:tc>
      </w:tr>
      <w:tr w:rsidR="0084730D" w:rsidRPr="00335C63" w14:paraId="4BF569BB" w14:textId="77777777" w:rsidTr="00CD7B49">
        <w:trPr>
          <w:cantSplit/>
          <w:jc w:val="center"/>
        </w:trPr>
        <w:tc>
          <w:tcPr>
            <w:tcW w:w="0" w:type="auto"/>
            <w:tcMar>
              <w:top w:w="90" w:type="dxa"/>
              <w:left w:w="90" w:type="dxa"/>
              <w:bottom w:w="90" w:type="dxa"/>
              <w:right w:w="90" w:type="dxa"/>
            </w:tcMar>
            <w:vAlign w:val="center"/>
          </w:tcPr>
          <w:p w14:paraId="6B1E563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5. Analytics modelling</w:t>
            </w:r>
          </w:p>
        </w:tc>
        <w:tc>
          <w:tcPr>
            <w:tcW w:w="0" w:type="auto"/>
            <w:tcMar>
              <w:top w:w="90" w:type="dxa"/>
              <w:left w:w="90" w:type="dxa"/>
              <w:bottom w:w="90" w:type="dxa"/>
              <w:right w:w="90" w:type="dxa"/>
            </w:tcMar>
            <w:vAlign w:val="center"/>
          </w:tcPr>
          <w:p w14:paraId="05DF4A5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Compute KPIs, recurrence windows, treatment difficulty, hotspot clusters, upsell package fit, warranty review factors</w:t>
            </w:r>
          </w:p>
        </w:tc>
        <w:tc>
          <w:tcPr>
            <w:tcW w:w="0" w:type="auto"/>
            <w:tcMar>
              <w:top w:w="90" w:type="dxa"/>
              <w:left w:w="90" w:type="dxa"/>
              <w:bottom w:w="90" w:type="dxa"/>
              <w:right w:w="90" w:type="dxa"/>
            </w:tcMar>
            <w:vAlign w:val="center"/>
          </w:tcPr>
          <w:p w14:paraId="6232A5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Dashboard marts and scoring tables</w:t>
            </w:r>
          </w:p>
        </w:tc>
      </w:tr>
      <w:tr w:rsidR="0084730D" w:rsidRPr="00335C63" w14:paraId="30A7C790" w14:textId="77777777" w:rsidTr="00CD7B49">
        <w:trPr>
          <w:cantSplit/>
          <w:jc w:val="center"/>
        </w:trPr>
        <w:tc>
          <w:tcPr>
            <w:tcW w:w="0" w:type="auto"/>
            <w:tcMar>
              <w:top w:w="90" w:type="dxa"/>
              <w:left w:w="90" w:type="dxa"/>
              <w:bottom w:w="90" w:type="dxa"/>
              <w:right w:w="90" w:type="dxa"/>
            </w:tcMar>
            <w:vAlign w:val="center"/>
          </w:tcPr>
          <w:p w14:paraId="20E6121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6. Scheduled refresh</w:t>
            </w:r>
          </w:p>
        </w:tc>
        <w:tc>
          <w:tcPr>
            <w:tcW w:w="0" w:type="auto"/>
            <w:tcMar>
              <w:top w:w="90" w:type="dxa"/>
              <w:left w:w="90" w:type="dxa"/>
              <w:bottom w:w="90" w:type="dxa"/>
              <w:right w:w="90" w:type="dxa"/>
            </w:tcMar>
            <w:vAlign w:val="center"/>
          </w:tcPr>
          <w:p w14:paraId="35519A9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Run Python ETL or BigQuery scheduled queries on a planned interval</w:t>
            </w:r>
          </w:p>
        </w:tc>
        <w:tc>
          <w:tcPr>
            <w:tcW w:w="0" w:type="auto"/>
            <w:tcMar>
              <w:top w:w="90" w:type="dxa"/>
              <w:left w:w="90" w:type="dxa"/>
              <w:bottom w:w="90" w:type="dxa"/>
              <w:right w:w="90" w:type="dxa"/>
            </w:tcMar>
            <w:vAlign w:val="center"/>
          </w:tcPr>
          <w:p w14:paraId="16A41AE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Near-real-time refreshed analytics tables</w:t>
            </w:r>
          </w:p>
        </w:tc>
      </w:tr>
      <w:tr w:rsidR="0084730D" w:rsidRPr="00335C63" w14:paraId="522DE7F6" w14:textId="77777777" w:rsidTr="00CD7B49">
        <w:trPr>
          <w:cantSplit/>
          <w:jc w:val="center"/>
        </w:trPr>
        <w:tc>
          <w:tcPr>
            <w:tcW w:w="0" w:type="auto"/>
            <w:tcMar>
              <w:top w:w="90" w:type="dxa"/>
              <w:left w:w="90" w:type="dxa"/>
              <w:bottom w:w="90" w:type="dxa"/>
              <w:right w:w="90" w:type="dxa"/>
            </w:tcMar>
            <w:vAlign w:val="center"/>
          </w:tcPr>
          <w:p w14:paraId="2F9F9E0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7. Dashboard development</w:t>
            </w:r>
          </w:p>
        </w:tc>
        <w:tc>
          <w:tcPr>
            <w:tcW w:w="0" w:type="auto"/>
            <w:tcMar>
              <w:top w:w="90" w:type="dxa"/>
              <w:left w:w="90" w:type="dxa"/>
              <w:bottom w:w="90" w:type="dxa"/>
              <w:right w:w="90" w:type="dxa"/>
            </w:tcMar>
            <w:vAlign w:val="center"/>
          </w:tcPr>
          <w:p w14:paraId="197E4D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Build Superset dashboards connected to BigQuery with filters and charts</w:t>
            </w:r>
          </w:p>
        </w:tc>
        <w:tc>
          <w:tcPr>
            <w:tcW w:w="0" w:type="auto"/>
            <w:tcMar>
              <w:top w:w="90" w:type="dxa"/>
              <w:left w:w="90" w:type="dxa"/>
              <w:bottom w:w="90" w:type="dxa"/>
              <w:right w:w="90" w:type="dxa"/>
            </w:tcMar>
            <w:vAlign w:val="center"/>
          </w:tcPr>
          <w:p w14:paraId="1D75FB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Browser-based BI dashboard</w:t>
            </w:r>
          </w:p>
        </w:tc>
      </w:tr>
      <w:tr w:rsidR="0084730D" w:rsidRPr="00335C63" w14:paraId="3A82E071" w14:textId="77777777" w:rsidTr="00CD7B49">
        <w:trPr>
          <w:cantSplit/>
          <w:jc w:val="center"/>
        </w:trPr>
        <w:tc>
          <w:tcPr>
            <w:tcW w:w="0" w:type="auto"/>
            <w:tcMar>
              <w:top w:w="90" w:type="dxa"/>
              <w:left w:w="90" w:type="dxa"/>
              <w:bottom w:w="90" w:type="dxa"/>
              <w:right w:w="90" w:type="dxa"/>
            </w:tcMar>
            <w:vAlign w:val="center"/>
          </w:tcPr>
          <w:p w14:paraId="46289C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8. Recommendation logging</w:t>
            </w:r>
          </w:p>
        </w:tc>
        <w:tc>
          <w:tcPr>
            <w:tcW w:w="0" w:type="auto"/>
            <w:tcMar>
              <w:top w:w="90" w:type="dxa"/>
              <w:left w:w="90" w:type="dxa"/>
              <w:bottom w:w="90" w:type="dxa"/>
              <w:right w:w="90" w:type="dxa"/>
            </w:tcMar>
            <w:vAlign w:val="center"/>
          </w:tcPr>
          <w:p w14:paraId="1F1A65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Store generated recommendations, reasons, management response, and later outcome</w:t>
            </w:r>
          </w:p>
        </w:tc>
        <w:tc>
          <w:tcPr>
            <w:tcW w:w="0" w:type="auto"/>
            <w:tcMar>
              <w:top w:w="90" w:type="dxa"/>
              <w:left w:w="90" w:type="dxa"/>
              <w:bottom w:w="90" w:type="dxa"/>
              <w:right w:w="90" w:type="dxa"/>
            </w:tcMar>
            <w:vAlign w:val="center"/>
          </w:tcPr>
          <w:p w14:paraId="52C7152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Recommendation log for review and future AI learning</w:t>
            </w:r>
          </w:p>
        </w:tc>
      </w:tr>
      <w:tr w:rsidR="0084730D" w:rsidRPr="00335C63" w14:paraId="368A8E23" w14:textId="77777777" w:rsidTr="00CD7B49">
        <w:trPr>
          <w:cantSplit/>
          <w:jc w:val="center"/>
        </w:trPr>
        <w:tc>
          <w:tcPr>
            <w:tcW w:w="0" w:type="auto"/>
            <w:tcMar>
              <w:top w:w="90" w:type="dxa"/>
              <w:left w:w="90" w:type="dxa"/>
              <w:bottom w:w="90" w:type="dxa"/>
              <w:right w:w="90" w:type="dxa"/>
            </w:tcMar>
            <w:vAlign w:val="center"/>
          </w:tcPr>
          <w:p w14:paraId="49E92B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9. Evaluation</w:t>
            </w:r>
          </w:p>
        </w:tc>
        <w:tc>
          <w:tcPr>
            <w:tcW w:w="0" w:type="auto"/>
            <w:tcMar>
              <w:top w:w="90" w:type="dxa"/>
              <w:left w:w="90" w:type="dxa"/>
              <w:bottom w:w="90" w:type="dxa"/>
              <w:right w:w="90" w:type="dxa"/>
            </w:tcMar>
            <w:vAlign w:val="center"/>
          </w:tcPr>
          <w:p w14:paraId="1128C0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Review dashboard with management, compare manual vs dashboard analysis, collect feedback</w:t>
            </w:r>
          </w:p>
        </w:tc>
        <w:tc>
          <w:tcPr>
            <w:tcW w:w="0" w:type="auto"/>
            <w:tcMar>
              <w:top w:w="90" w:type="dxa"/>
              <w:left w:w="90" w:type="dxa"/>
              <w:bottom w:w="90" w:type="dxa"/>
              <w:right w:w="90" w:type="dxa"/>
            </w:tcMar>
            <w:vAlign w:val="center"/>
          </w:tcPr>
          <w:p w14:paraId="6372649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Evaluation findings and improvement list</w:t>
            </w:r>
          </w:p>
        </w:tc>
      </w:tr>
    </w:tbl>
    <w:p w14:paraId="7C7BA9E8" w14:textId="77777777" w:rsidR="0084730D" w:rsidRPr="00335C63" w:rsidRDefault="0084730D" w:rsidP="000F4170">
      <w:pPr>
        <w:spacing w:line="360" w:lineRule="auto" w:after="120"/>
        <w:jc w:val="left"/>
        <w:rPr>
          <w:rFonts w:ascii="Times New Roman" w:hAnsi="Times New Roman" w:cs="Times New Roman"/>
          <w:sz w:val="24"/>
          <w:szCs w:val="24"/>
        </w:rPr>
      </w:pPr>
    </w:p>
    <w:p w14:paraId="2F321747"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3.2 Proposed Technical Architecture</w:t>
      </w:r>
    </w:p>
    <w:p>
      <w:pPr>
        <w:pStyle w:val="Heading3"/>
        <w:spacing w:line="360" w:lineRule="auto" w:after="120" w:before="160"/>
        <w:jc w:val="left"/>
      </w:pPr>
      <w:r>
        <w:rPr>
          <w:rFonts w:ascii="Times New Roman" w:hAnsi="Times New Roman" w:eastAsia="Times New Roman"/>
          <w:b/>
          <w:color w:val="000000"/>
          <w:sz w:val="24"/>
        </w:rPr>
        <w:t>3.2.1 Project Tech Stack Flow</w:t>
      </w:r>
    </w:p>
    <w:p>
      <w:pPr>
        <w:spacing w:line="360" w:lineRule="auto" w:after="120"/>
        <w:jc w:val="both"/>
      </w:pPr>
      <w:r>
        <w:rPr>
          <w:rFonts w:ascii="Times New Roman" w:hAnsi="Times New Roman" w:eastAsia="Times New Roman"/>
          <w:sz w:val="24"/>
        </w:rPr>
        <w:t>The proposed project workflow follows a data engineering and analytics architecture. Raw operational sources are first orchestrated through Apache Airflow, extracted and validated using Python, stored in BigQuery layers, transformed and tested using dbt Core, and visualised in Apache Superset. The final outputs support treatment difficulty analysis, recurrence monitoring, weather-associated risk review, warranty quality review, and upsell decision support.</w:t>
      </w:r>
    </w:p>
    <w:p>
      <w:pPr>
        <w:spacing w:line="360" w:lineRule="auto" w:after="120"/>
        <w:jc w:val="left"/>
      </w:pPr>
      <w:r>
        <w:rPr>
          <w:rFonts w:ascii="Times New Roman" w:hAnsi="Times New Roman" w:eastAsia="Times New Roman"/>
          <w:sz w:val="24"/>
        </w:rPr>
        <w:drawing>
          <wp:inline xmlns:a="http://schemas.openxmlformats.org/drawingml/2006/main" xmlns:pic="http://schemas.openxmlformats.org/drawingml/2006/picture">
            <wp:extent cx="5760720" cy="7296912"/>
            <wp:docPr id="1" name="Picture 1"/>
            <wp:cNvGraphicFramePr>
              <a:graphicFrameLocks noChangeAspect="1"/>
            </wp:cNvGraphicFramePr>
            <a:graphic>
              <a:graphicData uri="http://schemas.openxmlformats.org/drawingml/2006/picture">
                <pic:pic>
                  <pic:nvPicPr>
                    <pic:cNvPr id="0" name="nomobug_project_tech_stack_flow.png"/>
                    <pic:cNvPicPr/>
                  </pic:nvPicPr>
                  <pic:blipFill>
                    <a:blip r:embed="rId11"/>
                    <a:stretch>
                      <a:fillRect/>
                    </a:stretch>
                  </pic:blipFill>
                  <pic:spPr>
                    <a:xfrm>
                      <a:off x="0" y="0"/>
                      <a:ext cx="5760720" cy="7296912"/>
                    </a:xfrm>
                    <a:prstGeom prst="rect"/>
                  </pic:spPr>
                </pic:pic>
              </a:graphicData>
            </a:graphic>
          </wp:inline>
        </w:drawing>
      </w:r>
    </w:p>
    <w:p>
      <w:pPr>
        <w:spacing w:line="360" w:lineRule="auto" w:after="120"/>
        <w:jc w:val="center"/>
      </w:pPr>
      <w:r>
        <w:rPr>
          <w:rFonts w:ascii="Times New Roman" w:hAnsi="Times New Roman" w:eastAsia="Times New Roman"/>
          <w:i/>
          <w:sz w:val="24"/>
        </w:rPr>
        <w:t>Figure 3.1: Proposed technical stack flow for the Nomobug analytics and decision-support dashboard.</w:t>
      </w:r>
    </w:p>
    <w:p w14:paraId="2FB3CB25" w14:textId="77777777" w:rsidR="0084730D"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selected architecture is Google Sheets or CSV/Excel as the raw data source, Google Calendar as a scheduling source, Python as the extraction/loading layer, Apache Airflow as the pipeline orchestrator, BigQuery as the cloud analytics warehouse, dbt Core as the warehouse transformation and testing layer, Apache Superset as the visualization layer, and optional local Ollama as a future AI recommendation layer. Docker will be used to package local services such as Airflow, Superset, and future Ollama where practical.</w:t>
      </w:r>
    </w:p>
    <w:p w14:paraId="1F8527CE" w14:textId="77777777" w:rsidR="008D6A1A" w:rsidRPr="00335C63" w:rsidRDefault="008D6A1A" w:rsidP="008D6A1A">
      <w:pPr>
        <w:spacing w:line="360" w:lineRule="auto" w:after="120"/>
        <w:jc w:val="left"/>
        <w:rPr>
          <w:rFonts w:ascii="Times New Roman" w:hAnsi="Times New Roman" w:cs="Times New Roman"/>
          <w:sz w:val="24"/>
          <w:szCs w:val="24"/>
        </w:rPr>
      </w:pPr>
    </w:p>
    <w:p w14:paraId="5254C9C0" w14:textId="77777777" w:rsidR="0084730D" w:rsidRPr="003E4481" w:rsidRDefault="00357319" w:rsidP="008D6A1A">
      <w:pPr>
        <w:spacing w:line="360" w:lineRule="auto" w:after="120"/>
        <w:jc w:val="both"/>
        <w:rPr>
          <w:rFonts w:ascii="Times New Roman" w:hAnsi="Times New Roman" w:cs="Times New Roman"/>
          <w:sz w:val="28"/>
          <w:szCs w:val="28"/>
        </w:rPr>
      </w:pPr>
      <w:r w:rsidRPr="003E4481">
        <w:rPr>
          <w:rFonts w:ascii="Times New Roman" w:hAnsi="Times New Roman" w:cs="Times New Roman" w:eastAsia="Times New Roman"/>
          <w:sz w:val="24"/>
          <w:szCs w:val="24"/>
        </w:rPr>
        <w:t>The workflow is designed as a controlled ELT pipeline. Raw data is first extracted from Google Sheets, CSV/Excel exports, Google Calendar, and weather APIs. Python loaders write the raw source records into BigQuery Bronze tables with source metadata. dbt Core then transforms these records into Silver cleaned tables and Gold dashboard marts, while dbt tests and validation tables record data quality issues. Apache Airflow orchestrates the extraction, loading, dbt transformation, testing, weather enrichment, and refresh-log tasks so that the dashboard can show whether the latest data is fresh and reliable.</w:t>
      </w:r>
    </w:p>
    <w:tbl>
      <w:tblPr>
        <w:tblStyle w:val="TableGrid"/>
        <w:tblW w:w="5000" w:type="pct"/>
        <w:jc w:val="center"/>
        <w:tblLook w:val="04A0" w:firstRow="1" w:lastRow="0" w:firstColumn="1" w:lastColumn="0" w:noHBand="0" w:noVBand="1"/>
      </w:tblPr>
      <w:tblGrid>
        <w:gridCol w:w="3038"/>
        <w:gridCol w:w="2862"/>
        <w:gridCol w:w="3116"/>
      </w:tblGrid>
      <w:tr w:rsidR="0084730D" w:rsidRPr="00335C63" w14:paraId="0DF9B444" w14:textId="77777777" w:rsidTr="00997D20">
        <w:trPr>
          <w:cantSplit/>
          <w:tblHeader/>
          <w:jc w:val="center"/>
        </w:trPr>
        <w:tc>
          <w:tcPr>
            <w:tcW w:w="1685" w:type="pct"/>
            <w:shd w:val="clear" w:color="auto" w:fill="E8F1FA"/>
            <w:tcMar>
              <w:top w:w="90" w:type="dxa"/>
              <w:left w:w="90" w:type="dxa"/>
              <w:bottom w:w="90" w:type="dxa"/>
              <w:right w:w="90" w:type="dxa"/>
            </w:tcMar>
            <w:vAlign w:val="center"/>
          </w:tcPr>
          <w:p w14:paraId="19CCA24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Layer</w:t>
            </w:r>
          </w:p>
        </w:tc>
        <w:tc>
          <w:tcPr>
            <w:tcW w:w="1587" w:type="pct"/>
            <w:shd w:val="clear" w:color="auto" w:fill="E8F1FA"/>
            <w:tcMar>
              <w:top w:w="90" w:type="dxa"/>
              <w:left w:w="90" w:type="dxa"/>
              <w:bottom w:w="90" w:type="dxa"/>
              <w:right w:w="90" w:type="dxa"/>
            </w:tcMar>
            <w:vAlign w:val="center"/>
          </w:tcPr>
          <w:p w14:paraId="5A79EA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Technology</w:t>
            </w:r>
          </w:p>
        </w:tc>
        <w:tc>
          <w:tcPr>
            <w:tcW w:w="1729" w:type="pct"/>
            <w:shd w:val="clear" w:color="auto" w:fill="E8F1FA"/>
            <w:tcMar>
              <w:top w:w="90" w:type="dxa"/>
              <w:left w:w="90" w:type="dxa"/>
              <w:bottom w:w="90" w:type="dxa"/>
              <w:right w:w="90" w:type="dxa"/>
            </w:tcMar>
            <w:vAlign w:val="center"/>
          </w:tcPr>
          <w:p w14:paraId="12276FD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021E5655" w14:textId="77777777" w:rsidTr="00997D20">
        <w:trPr>
          <w:cantSplit/>
          <w:jc w:val="center"/>
        </w:trPr>
        <w:tc>
          <w:tcPr>
            <w:tcW w:w="1685" w:type="pct"/>
            <w:tcMar>
              <w:top w:w="90" w:type="dxa"/>
              <w:left w:w="90" w:type="dxa"/>
              <w:bottom w:w="90" w:type="dxa"/>
              <w:right w:w="90" w:type="dxa"/>
            </w:tcMar>
            <w:vAlign w:val="center"/>
          </w:tcPr>
          <w:p w14:paraId="3F855A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source</w:t>
            </w:r>
          </w:p>
        </w:tc>
        <w:tc>
          <w:tcPr>
            <w:tcW w:w="1587" w:type="pct"/>
            <w:tcMar>
              <w:top w:w="90" w:type="dxa"/>
              <w:left w:w="90" w:type="dxa"/>
              <w:bottom w:w="90" w:type="dxa"/>
              <w:right w:w="90" w:type="dxa"/>
            </w:tcMar>
            <w:vAlign w:val="center"/>
          </w:tcPr>
          <w:p w14:paraId="79EF1EB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Sheets, CSV/Excel, Google Calendar</w:t>
            </w:r>
          </w:p>
        </w:tc>
        <w:tc>
          <w:tcPr>
            <w:tcW w:w="1729" w:type="pct"/>
            <w:tcMar>
              <w:top w:w="90" w:type="dxa"/>
              <w:left w:w="90" w:type="dxa"/>
              <w:bottom w:w="90" w:type="dxa"/>
              <w:right w:w="90" w:type="dxa"/>
            </w:tcMar>
            <w:vAlign w:val="center"/>
          </w:tcPr>
          <w:p w14:paraId="6579863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Company-facing raw data entry and operational records</w:t>
            </w:r>
          </w:p>
        </w:tc>
      </w:tr>
      <w:tr w:rsidR="0084730D" w:rsidRPr="00335C63" w14:paraId="0CD9F074" w14:textId="77777777" w:rsidTr="00997D20">
        <w:trPr>
          <w:cantSplit/>
          <w:jc w:val="center"/>
        </w:trPr>
        <w:tc>
          <w:tcPr>
            <w:tcW w:w="1685" w:type="pct"/>
            <w:tcMar>
              <w:top w:w="90" w:type="dxa"/>
              <w:left w:w="90" w:type="dxa"/>
              <w:bottom w:w="90" w:type="dxa"/>
              <w:right w:w="90" w:type="dxa"/>
            </w:tcMar>
            <w:vAlign w:val="center"/>
          </w:tcPr>
          <w:p w14:paraId="60E29B65" w14:textId="77777777" w:rsidR="00BB18A2" w:rsidRDefault="00000000">
            <w:pPr>
              <w:spacing w:line="276" w:lineRule="auto" w:after="60"/>
              <w:jc w:val="left"/>
            </w:pPr>
            <w:r>
              <w:rPr>
                <w:rFonts w:ascii="Times New Roman" w:hAnsi="Times New Roman" w:eastAsia="Times New Roman" w:cs="Times New Roman"/>
                <w:sz w:val="21"/>
              </w:rPr>
              <w:lastRenderedPageBreak/>
              <w:t>Extract/load and analytics</w:t>
            </w:r>
          </w:p>
        </w:tc>
        <w:tc>
          <w:tcPr>
            <w:tcW w:w="1587" w:type="pct"/>
            <w:tcMar>
              <w:top w:w="90" w:type="dxa"/>
              <w:left w:w="90" w:type="dxa"/>
              <w:bottom w:w="90" w:type="dxa"/>
              <w:right w:w="90" w:type="dxa"/>
            </w:tcMar>
            <w:vAlign w:val="center"/>
          </w:tcPr>
          <w:p w14:paraId="70706B73" w14:textId="77777777" w:rsidR="00BB18A2" w:rsidRDefault="00000000">
            <w:pPr>
              <w:spacing w:line="276" w:lineRule="auto" w:after="60"/>
              <w:jc w:val="left"/>
            </w:pPr>
            <w:r>
              <w:rPr>
                <w:rFonts w:ascii="Times New Roman" w:hAnsi="Times New Roman" w:eastAsia="Times New Roman" w:cs="Times New Roman"/>
                <w:sz w:val="21"/>
              </w:rPr>
              <w:t>Python, Pandas, BigQuery client, scikit-learn where appropriate</w:t>
            </w:r>
          </w:p>
        </w:tc>
        <w:tc>
          <w:tcPr>
            <w:tcW w:w="1729" w:type="pct"/>
            <w:tcMar>
              <w:top w:w="90" w:type="dxa"/>
              <w:left w:w="90" w:type="dxa"/>
              <w:bottom w:w="90" w:type="dxa"/>
              <w:right w:w="90" w:type="dxa"/>
            </w:tcMar>
            <w:vAlign w:val="center"/>
          </w:tcPr>
          <w:p w14:paraId="23D711FE" w14:textId="77777777" w:rsidR="00BB18A2" w:rsidRDefault="00000000">
            <w:pPr>
              <w:spacing w:line="276" w:lineRule="auto" w:after="60"/>
              <w:jc w:val="left"/>
            </w:pPr>
            <w:r>
              <w:rPr>
                <w:rFonts w:ascii="Times New Roman" w:hAnsi="Times New Roman" w:eastAsia="Times New Roman" w:cs="Times New Roman"/>
                <w:sz w:val="21"/>
              </w:rPr>
              <w:t>Extract source data, load Bronze tables, run weather enrichment, and compute selected analytics outputs</w:t>
            </w:r>
          </w:p>
        </w:tc>
      </w:tr>
      <w:tr w:rsidR="0084730D" w:rsidRPr="00335C63" w14:paraId="2B9BBDF9" w14:textId="77777777" w:rsidTr="00997D20">
        <w:trPr>
          <w:cantSplit/>
          <w:jc w:val="center"/>
        </w:trPr>
        <w:tc>
          <w:tcPr>
            <w:tcW w:w="1685" w:type="pct"/>
            <w:tcMar>
              <w:top w:w="90" w:type="dxa"/>
              <w:left w:w="90" w:type="dxa"/>
              <w:bottom w:w="90" w:type="dxa"/>
              <w:right w:w="90" w:type="dxa"/>
            </w:tcMar>
            <w:vAlign w:val="center"/>
          </w:tcPr>
          <w:p w14:paraId="1FEA47F1" w14:textId="77777777" w:rsidR="00BB18A2" w:rsidRDefault="00000000">
            <w:pPr>
              <w:spacing w:line="276" w:lineRule="auto" w:after="60"/>
              <w:jc w:val="left"/>
            </w:pPr>
            <w:r>
              <w:rPr>
                <w:rFonts w:ascii="Times New Roman" w:hAnsi="Times New Roman" w:eastAsia="Times New Roman" w:cs="Times New Roman"/>
                <w:sz w:val="21"/>
              </w:rPr>
              <w:t>Cloud warehouse</w:t>
            </w:r>
          </w:p>
        </w:tc>
        <w:tc>
          <w:tcPr>
            <w:tcW w:w="1587" w:type="pct"/>
            <w:tcMar>
              <w:top w:w="90" w:type="dxa"/>
              <w:left w:w="90" w:type="dxa"/>
              <w:bottom w:w="90" w:type="dxa"/>
              <w:right w:w="90" w:type="dxa"/>
            </w:tcMar>
            <w:vAlign w:val="center"/>
          </w:tcPr>
          <w:p w14:paraId="79D6AC0F" w14:textId="77777777" w:rsidR="00BB18A2" w:rsidRDefault="00000000">
            <w:pPr>
              <w:spacing w:line="276" w:lineRule="auto" w:after="60"/>
              <w:jc w:val="left"/>
            </w:pPr>
            <w:r>
              <w:rPr>
                <w:rFonts w:ascii="Times New Roman" w:hAnsi="Times New Roman" w:eastAsia="Times New Roman" w:cs="Times New Roman"/>
                <w:sz w:val="21"/>
              </w:rPr>
              <w:t>Google BigQuery</w:t>
            </w:r>
          </w:p>
        </w:tc>
        <w:tc>
          <w:tcPr>
            <w:tcW w:w="1729" w:type="pct"/>
            <w:tcMar>
              <w:top w:w="90" w:type="dxa"/>
              <w:left w:w="90" w:type="dxa"/>
              <w:bottom w:w="90" w:type="dxa"/>
              <w:right w:w="90" w:type="dxa"/>
            </w:tcMar>
            <w:vAlign w:val="center"/>
          </w:tcPr>
          <w:p w14:paraId="3B93AE8A" w14:textId="77777777" w:rsidR="00BB18A2" w:rsidRDefault="00000000">
            <w:pPr>
              <w:spacing w:line="276" w:lineRule="auto" w:after="60"/>
              <w:jc w:val="left"/>
            </w:pPr>
            <w:r>
              <w:rPr>
                <w:rFonts w:ascii="Times New Roman" w:hAnsi="Times New Roman" w:eastAsia="Times New Roman" w:cs="Times New Roman"/>
                <w:sz w:val="21"/>
              </w:rPr>
              <w:t>Store Bronze raw, Silver cleaned, and Gold dashboard-ready analytics tables</w:t>
            </w:r>
          </w:p>
        </w:tc>
      </w:tr>
      <w:tr w:rsidR="0084730D" w:rsidRPr="00335C63" w14:paraId="778995FB" w14:textId="77777777" w:rsidTr="00997D20">
        <w:trPr>
          <w:cantSplit/>
          <w:jc w:val="center"/>
        </w:trPr>
        <w:tc>
          <w:tcPr>
            <w:tcW w:w="1685" w:type="pct"/>
            <w:tcMar>
              <w:top w:w="90" w:type="dxa"/>
              <w:left w:w="90" w:type="dxa"/>
              <w:bottom w:w="90" w:type="dxa"/>
              <w:right w:w="90" w:type="dxa"/>
            </w:tcMar>
            <w:vAlign w:val="center"/>
          </w:tcPr>
          <w:p w14:paraId="10D3CB2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Visualization</w:t>
            </w:r>
          </w:p>
        </w:tc>
        <w:tc>
          <w:tcPr>
            <w:tcW w:w="1587" w:type="pct"/>
            <w:tcMar>
              <w:top w:w="90" w:type="dxa"/>
              <w:left w:w="90" w:type="dxa"/>
              <w:bottom w:w="90" w:type="dxa"/>
              <w:right w:w="90" w:type="dxa"/>
            </w:tcMar>
            <w:vAlign w:val="center"/>
          </w:tcPr>
          <w:p w14:paraId="28248A6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Apache Superset</w:t>
            </w:r>
          </w:p>
        </w:tc>
        <w:tc>
          <w:tcPr>
            <w:tcW w:w="1729" w:type="pct"/>
            <w:tcMar>
              <w:top w:w="90" w:type="dxa"/>
              <w:left w:w="90" w:type="dxa"/>
              <w:bottom w:w="90" w:type="dxa"/>
              <w:right w:w="90" w:type="dxa"/>
            </w:tcMar>
            <w:vAlign w:val="center"/>
          </w:tcPr>
          <w:p w14:paraId="1CDD797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Browser-based dashboards, charts, filters, maps, and tables</w:t>
            </w:r>
          </w:p>
        </w:tc>
      </w:tr>
      <w:tr w:rsidR="0084730D" w:rsidRPr="00335C63" w14:paraId="526809AC" w14:textId="77777777" w:rsidTr="00997D20">
        <w:trPr>
          <w:cantSplit/>
          <w:jc w:val="center"/>
        </w:trPr>
        <w:tc>
          <w:tcPr>
            <w:tcW w:w="1685" w:type="pct"/>
            <w:tcMar>
              <w:top w:w="90" w:type="dxa"/>
              <w:left w:w="90" w:type="dxa"/>
              <w:bottom w:w="90" w:type="dxa"/>
              <w:right w:w="90" w:type="dxa"/>
            </w:tcMar>
            <w:vAlign w:val="center"/>
          </w:tcPr>
          <w:p w14:paraId="744BB085" w14:textId="77777777" w:rsidR="00BB18A2" w:rsidRDefault="00000000">
            <w:pPr>
              <w:spacing w:line="276" w:lineRule="auto" w:after="60"/>
              <w:jc w:val="left"/>
            </w:pPr>
            <w:r>
              <w:rPr>
                <w:rFonts w:ascii="Times New Roman" w:hAnsi="Times New Roman" w:eastAsia="Times New Roman" w:cs="Times New Roman"/>
                <w:sz w:val="21"/>
              </w:rPr>
              <w:t>Orchestration</w:t>
            </w:r>
          </w:p>
        </w:tc>
        <w:tc>
          <w:tcPr>
            <w:tcW w:w="1587" w:type="pct"/>
            <w:tcMar>
              <w:top w:w="90" w:type="dxa"/>
              <w:left w:w="90" w:type="dxa"/>
              <w:bottom w:w="90" w:type="dxa"/>
              <w:right w:w="90" w:type="dxa"/>
            </w:tcMar>
            <w:vAlign w:val="center"/>
          </w:tcPr>
          <w:p w14:paraId="16BFE5B7" w14:textId="77777777" w:rsidR="00BB18A2" w:rsidRDefault="00000000">
            <w:pPr>
              <w:spacing w:line="276" w:lineRule="auto" w:after="60"/>
              <w:jc w:val="left"/>
            </w:pPr>
            <w:r>
              <w:rPr>
                <w:rFonts w:ascii="Times New Roman" w:hAnsi="Times New Roman" w:eastAsia="Times New Roman" w:cs="Times New Roman"/>
                <w:sz w:val="21"/>
              </w:rPr>
              <w:t>Apache Airflow</w:t>
            </w:r>
          </w:p>
        </w:tc>
        <w:tc>
          <w:tcPr>
            <w:tcW w:w="1729" w:type="pct"/>
            <w:tcMar>
              <w:top w:w="90" w:type="dxa"/>
              <w:left w:w="90" w:type="dxa"/>
              <w:bottom w:w="90" w:type="dxa"/>
              <w:right w:w="90" w:type="dxa"/>
            </w:tcMar>
            <w:vAlign w:val="center"/>
          </w:tcPr>
          <w:p w14:paraId="5ADC59A6" w14:textId="77777777" w:rsidR="00BB18A2" w:rsidRDefault="00000000">
            <w:pPr>
              <w:spacing w:line="276" w:lineRule="auto" w:after="60"/>
              <w:jc w:val="left"/>
            </w:pPr>
            <w:r>
              <w:rPr>
                <w:rFonts w:ascii="Times New Roman" w:hAnsi="Times New Roman" w:eastAsia="Times New Roman" w:cs="Times New Roman"/>
                <w:sz w:val="21"/>
              </w:rPr>
              <w:t>Schedule, monitor, retry, and log ELT pipeline tasks</w:t>
            </w:r>
          </w:p>
        </w:tc>
      </w:tr>
      <w:tr w:rsidR="0084730D" w:rsidRPr="00335C63" w14:paraId="50A3250B" w14:textId="77777777" w:rsidTr="00997D20">
        <w:trPr>
          <w:cantSplit/>
          <w:jc w:val="center"/>
        </w:trPr>
        <w:tc>
          <w:tcPr>
            <w:tcW w:w="1685" w:type="pct"/>
            <w:tcMar>
              <w:top w:w="90" w:type="dxa"/>
              <w:left w:w="90" w:type="dxa"/>
              <w:bottom w:w="90" w:type="dxa"/>
              <w:right w:w="90" w:type="dxa"/>
            </w:tcMar>
            <w:vAlign w:val="center"/>
          </w:tcPr>
          <w:p w14:paraId="7C47F98D" w14:textId="77777777" w:rsidR="00BB18A2" w:rsidRDefault="00000000">
            <w:pPr>
              <w:spacing w:line="276" w:lineRule="auto" w:after="60"/>
              <w:jc w:val="left"/>
            </w:pPr>
            <w:r>
              <w:rPr>
                <w:rFonts w:ascii="Times New Roman" w:hAnsi="Times New Roman" w:eastAsia="Times New Roman" w:cs="Times New Roman"/>
                <w:sz w:val="21"/>
              </w:rPr>
              <w:t>Transformation and testing</w:t>
            </w:r>
          </w:p>
        </w:tc>
        <w:tc>
          <w:tcPr>
            <w:tcW w:w="1587" w:type="pct"/>
            <w:tcMar>
              <w:top w:w="90" w:type="dxa"/>
              <w:left w:w="90" w:type="dxa"/>
              <w:bottom w:w="90" w:type="dxa"/>
              <w:right w:w="90" w:type="dxa"/>
            </w:tcMar>
            <w:vAlign w:val="center"/>
          </w:tcPr>
          <w:p w14:paraId="703D8FE7" w14:textId="77777777" w:rsidR="00BB18A2" w:rsidRDefault="00000000">
            <w:pPr>
              <w:spacing w:line="276" w:lineRule="auto" w:after="60"/>
              <w:jc w:val="left"/>
            </w:pPr>
            <w:r>
              <w:rPr>
                <w:rFonts w:ascii="Times New Roman" w:hAnsi="Times New Roman" w:eastAsia="Times New Roman" w:cs="Times New Roman"/>
                <w:sz w:val="21"/>
              </w:rPr>
              <w:t>dbt Core</w:t>
            </w:r>
          </w:p>
        </w:tc>
        <w:tc>
          <w:tcPr>
            <w:tcW w:w="1729" w:type="pct"/>
            <w:tcMar>
              <w:top w:w="90" w:type="dxa"/>
              <w:left w:w="90" w:type="dxa"/>
              <w:bottom w:w="90" w:type="dxa"/>
              <w:right w:w="90" w:type="dxa"/>
            </w:tcMar>
            <w:vAlign w:val="center"/>
          </w:tcPr>
          <w:p w14:paraId="04C69086" w14:textId="77777777" w:rsidR="00BB18A2" w:rsidRDefault="00000000">
            <w:pPr>
              <w:spacing w:line="276" w:lineRule="auto" w:after="60"/>
              <w:jc w:val="left"/>
            </w:pPr>
            <w:r>
              <w:rPr>
                <w:rFonts w:ascii="Times New Roman" w:hAnsi="Times New Roman" w:eastAsia="Times New Roman" w:cs="Times New Roman"/>
                <w:sz w:val="21"/>
              </w:rPr>
              <w:t>Build SQL models, data tests, documentation, and lineage for BigQuery tables</w:t>
            </w:r>
          </w:p>
        </w:tc>
      </w:tr>
      <w:tr w:rsidR="0084730D" w:rsidRPr="00335C63" w14:paraId="6143D2D2" w14:textId="77777777" w:rsidTr="00997D20">
        <w:trPr>
          <w:cantSplit/>
          <w:jc w:val="center"/>
        </w:trPr>
        <w:tc>
          <w:tcPr>
            <w:tcW w:w="1685" w:type="pct"/>
            <w:tcMar>
              <w:top w:w="90" w:type="dxa"/>
              <w:left w:w="90" w:type="dxa"/>
              <w:bottom w:w="90" w:type="dxa"/>
              <w:right w:w="90" w:type="dxa"/>
            </w:tcMar>
            <w:vAlign w:val="center"/>
          </w:tcPr>
          <w:p w14:paraId="1DD0F1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AI recommendation</w:t>
            </w:r>
          </w:p>
        </w:tc>
        <w:tc>
          <w:tcPr>
            <w:tcW w:w="1587" w:type="pct"/>
            <w:tcMar>
              <w:top w:w="90" w:type="dxa"/>
              <w:left w:w="90" w:type="dxa"/>
              <w:bottom w:w="90" w:type="dxa"/>
              <w:right w:w="90" w:type="dxa"/>
            </w:tcMar>
            <w:vAlign w:val="center"/>
          </w:tcPr>
          <w:p w14:paraId="73DF317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Local Ollama (future phase)</w:t>
            </w:r>
          </w:p>
        </w:tc>
        <w:tc>
          <w:tcPr>
            <w:tcW w:w="1729" w:type="pct"/>
            <w:tcMar>
              <w:top w:w="90" w:type="dxa"/>
              <w:left w:w="90" w:type="dxa"/>
              <w:bottom w:w="90" w:type="dxa"/>
              <w:right w:w="90" w:type="dxa"/>
            </w:tcMar>
            <w:vAlign w:val="center"/>
          </w:tcPr>
          <w:p w14:paraId="5479D74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Generate plain-language suggestions from analytics outputs without paid API calls</w:t>
            </w:r>
          </w:p>
        </w:tc>
      </w:tr>
      <w:tr w:rsidR="0084730D" w:rsidRPr="00335C63" w14:paraId="5D5131CF" w14:textId="77777777" w:rsidTr="00997D20">
        <w:trPr>
          <w:cantSplit/>
          <w:jc w:val="center"/>
        </w:trPr>
        <w:tc>
          <w:tcPr>
            <w:tcW w:w="1685" w:type="pct"/>
            <w:tcMar>
              <w:top w:w="90" w:type="dxa"/>
              <w:left w:w="90" w:type="dxa"/>
              <w:bottom w:w="90" w:type="dxa"/>
              <w:right w:w="90" w:type="dxa"/>
            </w:tcMar>
            <w:vAlign w:val="center"/>
          </w:tcPr>
          <w:p w14:paraId="01FBA5F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Deployment</w:t>
            </w:r>
          </w:p>
        </w:tc>
        <w:tc>
          <w:tcPr>
            <w:tcW w:w="1587" w:type="pct"/>
            <w:tcMar>
              <w:top w:w="90" w:type="dxa"/>
              <w:left w:w="90" w:type="dxa"/>
              <w:bottom w:w="90" w:type="dxa"/>
              <w:right w:w="90" w:type="dxa"/>
            </w:tcMar>
            <w:vAlign w:val="center"/>
          </w:tcPr>
          <w:p w14:paraId="2E19FEB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Docker Compose for local services; BigQuery hosted by Google Cloud</w:t>
            </w:r>
          </w:p>
        </w:tc>
        <w:tc>
          <w:tcPr>
            <w:tcW w:w="1729" w:type="pct"/>
            <w:tcMar>
              <w:top w:w="90" w:type="dxa"/>
              <w:left w:w="90" w:type="dxa"/>
              <w:bottom w:w="90" w:type="dxa"/>
              <w:right w:w="90" w:type="dxa"/>
            </w:tcMar>
            <w:vAlign w:val="center"/>
          </w:tcPr>
          <w:p w14:paraId="364DAF7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Reproducible setup for demo and company handover</w:t>
            </w:r>
          </w:p>
        </w:tc>
      </w:tr>
      <w:tr w:rsidR="00BB18A2" w14:paraId="5E29EE52" w14:textId="77777777">
        <w:trPr>
          <w:jc w:val="center"/>
        </w:trPr>
        <w:tc>
          <w:tcPr>
            <w:tcW w:w="3038" w:type="dxa"/>
            <w:vAlign w:val="center"/>
          </w:tcPr>
          <w:p w14:paraId="0EF0BA47"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Governance and quality</w:t>
            </w:r>
          </w:p>
        </w:tc>
        <w:tc>
          <w:tcPr>
            <w:tcW w:w="2862" w:type="dxa"/>
            <w:vAlign w:val="center"/>
          </w:tcPr>
          <w:p w14:paraId="4426F4BC"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dbt tests, validation logs, anonymised views</w:t>
            </w:r>
          </w:p>
        </w:tc>
        <w:tc>
          <w:tcPr>
            <w:tcW w:w="3116" w:type="dxa"/>
            <w:vAlign w:val="center"/>
          </w:tcPr>
          <w:p w14:paraId="258799F4" w14:textId="77777777" w:rsidR="00BB18A2" w:rsidRPr="003E4481" w:rsidRDefault="00000000">
            <w:pPr>
              <w:spacing w:line="276" w:lineRule="auto" w:after="60"/>
              <w:jc w:val="left"/>
              <w:rPr>
                <w:rFonts w:ascii="Times New Roman" w:hAnsi="Times New Roman" w:cs="Times New Roman"/>
                <w:sz w:val="24"/>
                <w:szCs w:val="24"/>
              </w:rPr>
            </w:pPr>
            <w:r w:rsidRPr="003E4481">
              <w:rPr>
                <w:rFonts w:ascii="Times New Roman" w:hAnsi="Times New Roman" w:cs="Times New Roman" w:eastAsia="Times New Roman"/>
                <w:sz w:val="21"/>
                <w:szCs w:val="24"/>
              </w:rPr>
              <w:t>Protect customer data and show data quality, contract, and refresh status</w:t>
            </w:r>
          </w:p>
        </w:tc>
      </w:tr>
    </w:tbl>
    <w:p w14:paraId="09A8A0FA" w14:textId="77777777" w:rsidR="0084730D" w:rsidRPr="00335C63" w:rsidRDefault="0084730D" w:rsidP="000F4170">
      <w:pPr>
        <w:spacing w:line="360" w:lineRule="auto" w:after="120"/>
        <w:jc w:val="left"/>
        <w:rPr>
          <w:rFonts w:ascii="Times New Roman" w:hAnsi="Times New Roman" w:cs="Times New Roman"/>
          <w:sz w:val="24"/>
          <w:szCs w:val="24"/>
        </w:rPr>
      </w:pPr>
    </w:p>
    <w:p w14:paraId="25343A7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3.3 BigQuery Data Warehouse Design</w:t>
      </w:r>
    </w:p>
    <w:p w14:paraId="5FB49291"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 xml:space="preserve">BigQuery is selected because the project is analytics-oriented and the company data is connected to the Google ecosystem. BigQuery removes the need to maintain a database server while still allowing SQL-based modelling, scheduled queries, partitioned tables, and dashboard connections. The warehouse will follow a Bronze, Silver, and Gold design: Bronze tables preserve raw source records, </w:t>
      </w:r>
      <w:r>
        <w:rPr>
          <w:rFonts w:ascii="Times New Roman" w:hAnsi="Times New Roman" w:eastAsia="Times New Roman" w:cs="Times New Roman"/>
          <w:sz w:val="24"/>
        </w:rPr>
        <w:lastRenderedPageBreak/>
        <w:t>Silver tables standardise entities and facts, and Gold marts serve dashboard-ready analytics to Superset.</w:t>
      </w:r>
    </w:p>
    <w:tbl>
      <w:tblPr>
        <w:tblStyle w:val="TableGrid"/>
        <w:tblW w:w="5000" w:type="pct"/>
        <w:jc w:val="center"/>
        <w:tblLook w:val="04A0" w:firstRow="1" w:lastRow="0" w:firstColumn="1" w:lastColumn="0" w:noHBand="0" w:noVBand="1"/>
      </w:tblPr>
      <w:tblGrid>
        <w:gridCol w:w="1740"/>
        <w:gridCol w:w="2680"/>
        <w:gridCol w:w="4596"/>
      </w:tblGrid>
      <w:tr w:rsidR="0084730D" w:rsidRPr="00335C63" w14:paraId="54B3681B" w14:textId="77777777" w:rsidTr="00997D20">
        <w:trPr>
          <w:cantSplit/>
          <w:tblHeader/>
          <w:jc w:val="center"/>
        </w:trPr>
        <w:tc>
          <w:tcPr>
            <w:tcW w:w="965" w:type="pct"/>
            <w:shd w:val="clear" w:color="auto" w:fill="E8F1FA"/>
            <w:tcMar>
              <w:top w:w="90" w:type="dxa"/>
              <w:left w:w="90" w:type="dxa"/>
              <w:bottom w:w="90" w:type="dxa"/>
              <w:right w:w="90" w:type="dxa"/>
            </w:tcMar>
            <w:vAlign w:val="center"/>
          </w:tcPr>
          <w:p w14:paraId="2D67B79E" w14:textId="77777777" w:rsidR="00BB18A2" w:rsidRDefault="00000000">
            <w:pPr>
              <w:spacing w:line="276" w:lineRule="auto" w:after="60"/>
              <w:jc w:val="left"/>
            </w:pPr>
            <w:r>
              <w:rPr>
                <w:rFonts w:ascii="Times New Roman" w:hAnsi="Times New Roman" w:eastAsia="Times New Roman" w:cs="Times New Roman"/>
                <w:b/>
                <w:sz w:val="21"/>
              </w:rPr>
              <w:t>Layer</w:t>
            </w:r>
          </w:p>
        </w:tc>
        <w:tc>
          <w:tcPr>
            <w:tcW w:w="1486" w:type="pct"/>
            <w:shd w:val="clear" w:color="auto" w:fill="E8F1FA"/>
            <w:tcMar>
              <w:top w:w="90" w:type="dxa"/>
              <w:left w:w="90" w:type="dxa"/>
              <w:bottom w:w="90" w:type="dxa"/>
              <w:right w:w="90" w:type="dxa"/>
            </w:tcMar>
            <w:vAlign w:val="center"/>
          </w:tcPr>
          <w:p w14:paraId="7EFBF44C" w14:textId="77777777" w:rsidR="00BB18A2" w:rsidRDefault="00000000">
            <w:pPr>
              <w:spacing w:line="276" w:lineRule="auto" w:after="60"/>
              <w:jc w:val="left"/>
            </w:pPr>
            <w:r>
              <w:rPr>
                <w:rFonts w:ascii="Times New Roman" w:hAnsi="Times New Roman" w:eastAsia="Times New Roman" w:cs="Times New Roman"/>
                <w:b/>
                <w:sz w:val="21"/>
              </w:rPr>
              <w:t>Purpose</w:t>
            </w:r>
          </w:p>
        </w:tc>
        <w:tc>
          <w:tcPr>
            <w:tcW w:w="2549" w:type="pct"/>
            <w:shd w:val="clear" w:color="auto" w:fill="E8F1FA"/>
            <w:tcMar>
              <w:top w:w="90" w:type="dxa"/>
              <w:left w:w="90" w:type="dxa"/>
              <w:bottom w:w="90" w:type="dxa"/>
              <w:right w:w="90" w:type="dxa"/>
            </w:tcMar>
            <w:vAlign w:val="center"/>
          </w:tcPr>
          <w:p w14:paraId="22D807E4" w14:textId="77777777" w:rsidR="00BB18A2" w:rsidRDefault="00000000">
            <w:pPr>
              <w:spacing w:line="276" w:lineRule="auto" w:after="60"/>
              <w:jc w:val="left"/>
            </w:pPr>
            <w:r>
              <w:rPr>
                <w:rFonts w:ascii="Times New Roman" w:hAnsi="Times New Roman" w:eastAsia="Times New Roman" w:cs="Times New Roman"/>
                <w:b/>
                <w:sz w:val="21"/>
              </w:rPr>
              <w:t>Example Tables</w:t>
            </w:r>
          </w:p>
        </w:tc>
      </w:tr>
      <w:tr w:rsidR="0084730D" w:rsidRPr="00335C63" w14:paraId="2CDE4A8E" w14:textId="77777777" w:rsidTr="00997D20">
        <w:trPr>
          <w:cantSplit/>
          <w:jc w:val="center"/>
        </w:trPr>
        <w:tc>
          <w:tcPr>
            <w:tcW w:w="965" w:type="pct"/>
            <w:tcMar>
              <w:top w:w="90" w:type="dxa"/>
              <w:left w:w="90" w:type="dxa"/>
              <w:bottom w:w="90" w:type="dxa"/>
              <w:right w:w="90" w:type="dxa"/>
            </w:tcMar>
            <w:vAlign w:val="center"/>
          </w:tcPr>
          <w:p w14:paraId="01ADA915" w14:textId="77777777" w:rsidR="00BB18A2" w:rsidRDefault="00000000">
            <w:pPr>
              <w:spacing w:line="276" w:lineRule="auto" w:after="60"/>
              <w:jc w:val="left"/>
            </w:pPr>
            <w:r>
              <w:rPr>
                <w:rFonts w:ascii="Times New Roman" w:hAnsi="Times New Roman" w:eastAsia="Times New Roman" w:cs="Times New Roman"/>
                <w:sz w:val="21"/>
              </w:rPr>
              <w:t>Bronze raw</w:t>
            </w:r>
          </w:p>
        </w:tc>
        <w:tc>
          <w:tcPr>
            <w:tcW w:w="1486" w:type="pct"/>
            <w:tcMar>
              <w:top w:w="90" w:type="dxa"/>
              <w:left w:w="90" w:type="dxa"/>
              <w:bottom w:w="90" w:type="dxa"/>
              <w:right w:w="90" w:type="dxa"/>
            </w:tcMar>
            <w:vAlign w:val="center"/>
          </w:tcPr>
          <w:p w14:paraId="7E3C32DD" w14:textId="77777777" w:rsidR="00BB18A2" w:rsidRDefault="00000000">
            <w:pPr>
              <w:spacing w:line="276" w:lineRule="auto" w:after="60"/>
              <w:jc w:val="left"/>
            </w:pPr>
            <w:r>
              <w:rPr>
                <w:rFonts w:ascii="Times New Roman" w:hAnsi="Times New Roman" w:eastAsia="Times New Roman" w:cs="Times New Roman"/>
                <w:sz w:val="21"/>
              </w:rPr>
              <w:t>Store raw imported data with minimal transformation and source metadata</w:t>
            </w:r>
          </w:p>
        </w:tc>
        <w:tc>
          <w:tcPr>
            <w:tcW w:w="2549" w:type="pct"/>
            <w:tcMar>
              <w:top w:w="90" w:type="dxa"/>
              <w:left w:w="90" w:type="dxa"/>
              <w:bottom w:w="90" w:type="dxa"/>
              <w:right w:w="90" w:type="dxa"/>
            </w:tcMar>
            <w:vAlign w:val="center"/>
          </w:tcPr>
          <w:p w14:paraId="667836E1" w14:textId="77777777" w:rsidR="00BB18A2" w:rsidRDefault="00000000">
            <w:pPr>
              <w:spacing w:line="276" w:lineRule="auto" w:after="60"/>
              <w:jc w:val="left"/>
            </w:pPr>
            <w:r>
              <w:rPr>
                <w:rFonts w:ascii="Times New Roman" w:hAnsi="Times New Roman" w:eastAsia="Times New Roman" w:cs="Times New Roman"/>
                <w:sz w:val="21"/>
              </w:rPr>
              <w:t>bronze_google_sheets_services, bronze_calendar_events, bronze_open_meteo_weather</w:t>
            </w:r>
          </w:p>
        </w:tc>
      </w:tr>
      <w:tr w:rsidR="0084730D" w:rsidRPr="00335C63" w14:paraId="158C8F5E" w14:textId="77777777" w:rsidTr="00997D20">
        <w:trPr>
          <w:cantSplit/>
          <w:jc w:val="center"/>
        </w:trPr>
        <w:tc>
          <w:tcPr>
            <w:tcW w:w="965" w:type="pct"/>
            <w:tcMar>
              <w:top w:w="90" w:type="dxa"/>
              <w:left w:w="90" w:type="dxa"/>
              <w:bottom w:w="90" w:type="dxa"/>
              <w:right w:w="90" w:type="dxa"/>
            </w:tcMar>
            <w:vAlign w:val="center"/>
          </w:tcPr>
          <w:p w14:paraId="66DEE3E1" w14:textId="77777777" w:rsidR="00BB18A2" w:rsidRDefault="00000000">
            <w:pPr>
              <w:spacing w:line="276" w:lineRule="auto" w:after="60"/>
              <w:jc w:val="left"/>
            </w:pPr>
            <w:r>
              <w:rPr>
                <w:rFonts w:ascii="Times New Roman" w:hAnsi="Times New Roman" w:eastAsia="Times New Roman" w:cs="Times New Roman"/>
                <w:sz w:val="21"/>
              </w:rPr>
              <w:t>Silver cleaned</w:t>
            </w:r>
          </w:p>
        </w:tc>
        <w:tc>
          <w:tcPr>
            <w:tcW w:w="1486" w:type="pct"/>
            <w:tcMar>
              <w:top w:w="90" w:type="dxa"/>
              <w:left w:w="90" w:type="dxa"/>
              <w:bottom w:w="90" w:type="dxa"/>
              <w:right w:w="90" w:type="dxa"/>
            </w:tcMar>
            <w:vAlign w:val="center"/>
          </w:tcPr>
          <w:p w14:paraId="0FD914B8" w14:textId="77777777" w:rsidR="00BB18A2" w:rsidRDefault="00000000">
            <w:pPr>
              <w:spacing w:line="276" w:lineRule="auto" w:after="60"/>
              <w:jc w:val="left"/>
            </w:pPr>
            <w:r>
              <w:rPr>
                <w:rFonts w:ascii="Times New Roman" w:hAnsi="Times New Roman" w:eastAsia="Times New Roman" w:cs="Times New Roman"/>
                <w:sz w:val="21"/>
              </w:rPr>
              <w:t>Standardised dimensions and facts built through dbt models</w:t>
            </w:r>
          </w:p>
        </w:tc>
        <w:tc>
          <w:tcPr>
            <w:tcW w:w="2549" w:type="pct"/>
            <w:tcMar>
              <w:top w:w="90" w:type="dxa"/>
              <w:left w:w="90" w:type="dxa"/>
              <w:bottom w:w="90" w:type="dxa"/>
              <w:right w:w="90" w:type="dxa"/>
            </w:tcMar>
            <w:vAlign w:val="center"/>
          </w:tcPr>
          <w:p w14:paraId="15FC927D" w14:textId="77777777" w:rsidR="00BB18A2" w:rsidRDefault="00000000">
            <w:pPr>
              <w:spacing w:line="276" w:lineRule="auto" w:after="60"/>
              <w:jc w:val="left"/>
            </w:pPr>
            <w:r>
              <w:rPr>
                <w:rFonts w:ascii="Times New Roman" w:hAnsi="Times New Roman" w:eastAsia="Times New Roman" w:cs="Times New Roman"/>
                <w:sz w:val="21"/>
              </w:rPr>
              <w:t>dim_customer, dim_area, dim_pest, fact_service, fact_payment, fact_warranty, fact_refund</w:t>
            </w:r>
          </w:p>
        </w:tc>
      </w:tr>
      <w:tr w:rsidR="0084730D" w:rsidRPr="00335C63" w14:paraId="5702B7B8" w14:textId="77777777" w:rsidTr="00997D20">
        <w:trPr>
          <w:cantSplit/>
          <w:jc w:val="center"/>
        </w:trPr>
        <w:tc>
          <w:tcPr>
            <w:tcW w:w="965" w:type="pct"/>
            <w:tcMar>
              <w:top w:w="90" w:type="dxa"/>
              <w:left w:w="90" w:type="dxa"/>
              <w:bottom w:w="90" w:type="dxa"/>
              <w:right w:w="90" w:type="dxa"/>
            </w:tcMar>
            <w:vAlign w:val="center"/>
          </w:tcPr>
          <w:p w14:paraId="4C64C757" w14:textId="77777777" w:rsidR="00BB18A2" w:rsidRDefault="00000000">
            <w:pPr>
              <w:spacing w:line="276" w:lineRule="auto" w:after="60"/>
              <w:jc w:val="left"/>
            </w:pPr>
            <w:r>
              <w:rPr>
                <w:rFonts w:ascii="Times New Roman" w:hAnsi="Times New Roman" w:eastAsia="Times New Roman" w:cs="Times New Roman"/>
                <w:sz w:val="21"/>
              </w:rPr>
              <w:t>Gold marts</w:t>
            </w:r>
          </w:p>
        </w:tc>
        <w:tc>
          <w:tcPr>
            <w:tcW w:w="1486" w:type="pct"/>
            <w:tcMar>
              <w:top w:w="90" w:type="dxa"/>
              <w:left w:w="90" w:type="dxa"/>
              <w:bottom w:w="90" w:type="dxa"/>
              <w:right w:w="90" w:type="dxa"/>
            </w:tcMar>
            <w:vAlign w:val="center"/>
          </w:tcPr>
          <w:p w14:paraId="5140254D" w14:textId="77777777" w:rsidR="00BB18A2" w:rsidRDefault="00000000">
            <w:pPr>
              <w:spacing w:line="276" w:lineRule="auto" w:after="60"/>
              <w:jc w:val="left"/>
            </w:pPr>
            <w:r>
              <w:rPr>
                <w:rFonts w:ascii="Times New Roman" w:hAnsi="Times New Roman" w:eastAsia="Times New Roman" w:cs="Times New Roman"/>
                <w:sz w:val="21"/>
              </w:rPr>
              <w:t>Dashboard-ready tables and views consumed by Superset</w:t>
            </w:r>
          </w:p>
        </w:tc>
        <w:tc>
          <w:tcPr>
            <w:tcW w:w="2549" w:type="pct"/>
            <w:tcMar>
              <w:top w:w="90" w:type="dxa"/>
              <w:left w:w="90" w:type="dxa"/>
              <w:bottom w:w="90" w:type="dxa"/>
              <w:right w:w="90" w:type="dxa"/>
            </w:tcMar>
            <w:vAlign w:val="center"/>
          </w:tcPr>
          <w:p w14:paraId="24E3ECDE" w14:textId="77777777" w:rsidR="00BB18A2" w:rsidRDefault="00000000">
            <w:pPr>
              <w:spacing w:line="276" w:lineRule="auto" w:after="60"/>
              <w:jc w:val="left"/>
            </w:pPr>
            <w:r>
              <w:rPr>
                <w:rFonts w:ascii="Times New Roman" w:hAnsi="Times New Roman" w:eastAsia="Times New Roman" w:cs="Times New Roman"/>
                <w:sz w:val="21"/>
              </w:rPr>
              <w:t>mart_area_risk, mart_treatment_difficulty, mart_recurrence_windows, mart_data_quality, mart_pipeline_status</w:t>
            </w:r>
          </w:p>
        </w:tc>
      </w:tr>
      <w:tr w:rsidR="00BB18A2" w14:paraId="122A9E8A" w14:textId="77777777">
        <w:trPr>
          <w:jc w:val="center"/>
        </w:trPr>
        <w:tc>
          <w:tcPr>
            <w:tcW w:w="1740" w:type="dxa"/>
            <w:vAlign w:val="center"/>
          </w:tcPr>
          <w:p w14:paraId="1E4EFB17" w14:textId="77777777" w:rsidR="00BB18A2" w:rsidRDefault="00000000">
            <w:pPr>
              <w:spacing w:line="276" w:lineRule="auto" w:after="60"/>
              <w:jc w:val="left"/>
            </w:pPr>
            <w:r>
              <w:rPr>
                <w:rFonts w:ascii="Times New Roman" w:hAnsi="Times New Roman" w:eastAsia="Times New Roman" w:cs="Times New Roman"/>
                <w:sz w:val="21"/>
              </w:rPr>
              <w:t>Audit and lineage</w:t>
            </w:r>
          </w:p>
        </w:tc>
        <w:tc>
          <w:tcPr>
            <w:tcW w:w="2680" w:type="dxa"/>
            <w:vAlign w:val="center"/>
          </w:tcPr>
          <w:p w14:paraId="570374C0" w14:textId="77777777" w:rsidR="00BB18A2" w:rsidRDefault="00000000">
            <w:pPr>
              <w:spacing w:line="276" w:lineRule="auto" w:after="60"/>
              <w:jc w:val="left"/>
            </w:pPr>
            <w:r>
              <w:rPr>
                <w:rFonts w:ascii="Times New Roman" w:hAnsi="Times New Roman" w:eastAsia="Times New Roman" w:cs="Times New Roman"/>
                <w:sz w:val="21"/>
              </w:rPr>
              <w:t>Store pipeline runs, quality checks, source freshness, and matching confidence</w:t>
            </w:r>
          </w:p>
        </w:tc>
        <w:tc>
          <w:tcPr>
            <w:tcW w:w="4596" w:type="dxa"/>
            <w:vAlign w:val="center"/>
          </w:tcPr>
          <w:p w14:paraId="3AA2C9F5" w14:textId="77777777" w:rsidR="00BB18A2" w:rsidRDefault="00000000">
            <w:pPr>
              <w:spacing w:line="276" w:lineRule="auto" w:after="60"/>
              <w:jc w:val="left"/>
            </w:pPr>
            <w:r>
              <w:rPr>
                <w:rFonts w:ascii="Times New Roman" w:hAnsi="Times New Roman" w:eastAsia="Times New Roman" w:cs="Times New Roman"/>
                <w:sz w:val="21"/>
              </w:rPr>
              <w:t>etl_run_log, data_quality_log, source_refresh_status, record_match_log, weather_enrichment_log</w:t>
            </w:r>
          </w:p>
        </w:tc>
      </w:tr>
    </w:tbl>
    <w:p w14:paraId="0810C224" w14:textId="77777777" w:rsidR="0084730D" w:rsidRPr="00335C63" w:rsidRDefault="0084730D" w:rsidP="000F4170">
      <w:pPr>
        <w:spacing w:line="360" w:lineRule="auto" w:after="120"/>
        <w:jc w:val="left"/>
        <w:rPr>
          <w:rFonts w:ascii="Times New Roman" w:hAnsi="Times New Roman" w:cs="Times New Roman"/>
          <w:sz w:val="24"/>
          <w:szCs w:val="24"/>
        </w:rPr>
      </w:pPr>
    </w:p>
    <w:p w14:paraId="05F4A6CA"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design will use stable identifiers such as customer_id, service_id, date, area, postcode, pest_type, package_type, technician, and team. BigQuery is used as an analytics warehouse rather than a transaction-processing database, so relationships will be managed through consistent keys, SQL joins, dbt models, data tests, lineage documentation, and validation logs rather than transactional foreign-key enforcement.</w:t>
      </w:r>
    </w:p>
    <w:tbl>
      <w:tblPr>
        <w:tblStyle w:val="TableGrid"/>
        <w:tblW w:w="5000" w:type="pct"/>
        <w:jc w:val="center"/>
        <w:tblLook w:val="04A0" w:firstRow="1" w:lastRow="0" w:firstColumn="1" w:lastColumn="0" w:noHBand="0" w:noVBand="1"/>
      </w:tblPr>
      <w:tblGrid>
        <w:gridCol w:w="3511"/>
        <w:gridCol w:w="3408"/>
        <w:gridCol w:w="2097"/>
      </w:tblGrid>
      <w:tr w:rsidR="0084730D" w:rsidRPr="00335C63" w14:paraId="4A5A3C68" w14:textId="77777777" w:rsidTr="00997D20">
        <w:trPr>
          <w:cantSplit/>
          <w:tblHeader/>
          <w:jc w:val="center"/>
        </w:trPr>
        <w:tc>
          <w:tcPr>
            <w:tcW w:w="1947" w:type="pct"/>
            <w:shd w:val="clear" w:color="auto" w:fill="E8F1FA"/>
            <w:tcMar>
              <w:top w:w="90" w:type="dxa"/>
              <w:left w:w="90" w:type="dxa"/>
              <w:bottom w:w="90" w:type="dxa"/>
              <w:right w:w="90" w:type="dxa"/>
            </w:tcMar>
            <w:vAlign w:val="center"/>
          </w:tcPr>
          <w:p w14:paraId="15AF405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Relationship</w:t>
            </w:r>
          </w:p>
        </w:tc>
        <w:tc>
          <w:tcPr>
            <w:tcW w:w="1890" w:type="pct"/>
            <w:shd w:val="clear" w:color="auto" w:fill="E8F1FA"/>
            <w:tcMar>
              <w:top w:w="90" w:type="dxa"/>
              <w:left w:w="90" w:type="dxa"/>
              <w:bottom w:w="90" w:type="dxa"/>
              <w:right w:w="90" w:type="dxa"/>
            </w:tcMar>
            <w:vAlign w:val="center"/>
          </w:tcPr>
          <w:p w14:paraId="7F4422D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Join Key / Matching Rule</w:t>
            </w:r>
          </w:p>
        </w:tc>
        <w:tc>
          <w:tcPr>
            <w:tcW w:w="1163" w:type="pct"/>
            <w:shd w:val="clear" w:color="auto" w:fill="E8F1FA"/>
            <w:tcMar>
              <w:top w:w="90" w:type="dxa"/>
              <w:left w:w="90" w:type="dxa"/>
              <w:bottom w:w="90" w:type="dxa"/>
              <w:right w:w="90" w:type="dxa"/>
            </w:tcMar>
            <w:vAlign w:val="center"/>
          </w:tcPr>
          <w:p w14:paraId="73F99F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70693315" w14:textId="77777777" w:rsidTr="00997D20">
        <w:trPr>
          <w:cantSplit/>
          <w:jc w:val="center"/>
        </w:trPr>
        <w:tc>
          <w:tcPr>
            <w:tcW w:w="1947" w:type="pct"/>
            <w:tcMar>
              <w:top w:w="90" w:type="dxa"/>
              <w:left w:w="90" w:type="dxa"/>
              <w:bottom w:w="90" w:type="dxa"/>
              <w:right w:w="90" w:type="dxa"/>
            </w:tcMar>
            <w:vAlign w:val="center"/>
          </w:tcPr>
          <w:p w14:paraId="02CC3B0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dim_customer -&gt; fact_service</w:t>
            </w:r>
          </w:p>
        </w:tc>
        <w:tc>
          <w:tcPr>
            <w:tcW w:w="1890" w:type="pct"/>
            <w:tcMar>
              <w:top w:w="90" w:type="dxa"/>
              <w:left w:w="90" w:type="dxa"/>
              <w:bottom w:w="90" w:type="dxa"/>
              <w:right w:w="90" w:type="dxa"/>
            </w:tcMar>
            <w:vAlign w:val="center"/>
          </w:tcPr>
          <w:p w14:paraId="7001157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customer_id; fallback to normalised phone number</w:t>
            </w:r>
          </w:p>
        </w:tc>
        <w:tc>
          <w:tcPr>
            <w:tcW w:w="1163" w:type="pct"/>
            <w:tcMar>
              <w:top w:w="90" w:type="dxa"/>
              <w:left w:w="90" w:type="dxa"/>
              <w:bottom w:w="90" w:type="dxa"/>
              <w:right w:w="90" w:type="dxa"/>
            </w:tcMar>
            <w:vAlign w:val="center"/>
          </w:tcPr>
          <w:p w14:paraId="74A1709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Connect services to customer profile, premise type, and segment</w:t>
            </w:r>
          </w:p>
        </w:tc>
      </w:tr>
      <w:tr w:rsidR="0084730D" w:rsidRPr="00335C63" w14:paraId="6D8EBB70" w14:textId="77777777" w:rsidTr="00997D20">
        <w:trPr>
          <w:cantSplit/>
          <w:jc w:val="center"/>
        </w:trPr>
        <w:tc>
          <w:tcPr>
            <w:tcW w:w="1947" w:type="pct"/>
            <w:tcMar>
              <w:top w:w="90" w:type="dxa"/>
              <w:left w:w="90" w:type="dxa"/>
              <w:bottom w:w="90" w:type="dxa"/>
              <w:right w:w="90" w:type="dxa"/>
            </w:tcMar>
            <w:vAlign w:val="center"/>
          </w:tcPr>
          <w:p w14:paraId="0ED9B1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fact_service -&gt; fact_warranty</w:t>
            </w:r>
          </w:p>
        </w:tc>
        <w:tc>
          <w:tcPr>
            <w:tcW w:w="1890" w:type="pct"/>
            <w:tcMar>
              <w:top w:w="90" w:type="dxa"/>
              <w:left w:w="90" w:type="dxa"/>
              <w:bottom w:w="90" w:type="dxa"/>
              <w:right w:w="90" w:type="dxa"/>
            </w:tcMar>
            <w:vAlign w:val="center"/>
          </w:tcPr>
          <w:p w14:paraId="508BB0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service_id when available; </w:t>
            </w:r>
            <w:proofErr w:type="gramStart"/>
            <w:r w:rsidRPr="00335C63">
              <w:rPr>
                <w:rFonts w:ascii="Times New Roman" w:hAnsi="Times New Roman" w:cs="Times New Roman" w:eastAsia="Times New Roman"/>
                <w:sz w:val="21"/>
                <w:szCs w:val="24"/>
              </w:rPr>
              <w:t>otherwise</w:t>
            </w:r>
            <w:proofErr w:type="gramEnd"/>
            <w:r w:rsidRPr="00335C63">
              <w:rPr>
                <w:rFonts w:ascii="Times New Roman" w:hAnsi="Times New Roman" w:cs="Times New Roman" w:eastAsia="Times New Roman"/>
                <w:sz w:val="21"/>
                <w:szCs w:val="24"/>
              </w:rPr>
              <w:t xml:space="preserve"> customer_id + service date window + pest type</w:t>
            </w:r>
          </w:p>
        </w:tc>
        <w:tc>
          <w:tcPr>
            <w:tcW w:w="1163" w:type="pct"/>
            <w:tcMar>
              <w:top w:w="90" w:type="dxa"/>
              <w:left w:w="90" w:type="dxa"/>
              <w:bottom w:w="90" w:type="dxa"/>
              <w:right w:w="90" w:type="dxa"/>
            </w:tcMar>
            <w:vAlign w:val="center"/>
          </w:tcPr>
          <w:p w14:paraId="19F8818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Link claims to original service context</w:t>
            </w:r>
          </w:p>
        </w:tc>
      </w:tr>
      <w:tr w:rsidR="0084730D" w:rsidRPr="00335C63" w14:paraId="30DFC4CE" w14:textId="77777777" w:rsidTr="00997D20">
        <w:trPr>
          <w:cantSplit/>
          <w:jc w:val="center"/>
        </w:trPr>
        <w:tc>
          <w:tcPr>
            <w:tcW w:w="1947" w:type="pct"/>
            <w:tcMar>
              <w:top w:w="90" w:type="dxa"/>
              <w:left w:w="90" w:type="dxa"/>
              <w:bottom w:w="90" w:type="dxa"/>
              <w:right w:w="90" w:type="dxa"/>
            </w:tcMar>
            <w:vAlign w:val="center"/>
          </w:tcPr>
          <w:p w14:paraId="17B9A0E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fact_service -&gt; fact_refund</w:t>
            </w:r>
          </w:p>
        </w:tc>
        <w:tc>
          <w:tcPr>
            <w:tcW w:w="1890" w:type="pct"/>
            <w:tcMar>
              <w:top w:w="90" w:type="dxa"/>
              <w:left w:w="90" w:type="dxa"/>
              <w:bottom w:w="90" w:type="dxa"/>
              <w:right w:w="90" w:type="dxa"/>
            </w:tcMar>
            <w:vAlign w:val="center"/>
          </w:tcPr>
          <w:p w14:paraId="475DFF3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customer_id/service_id and refund date after service date</w:t>
            </w:r>
          </w:p>
        </w:tc>
        <w:tc>
          <w:tcPr>
            <w:tcW w:w="1163" w:type="pct"/>
            <w:tcMar>
              <w:top w:w="90" w:type="dxa"/>
              <w:left w:w="90" w:type="dxa"/>
              <w:bottom w:w="90" w:type="dxa"/>
              <w:right w:w="90" w:type="dxa"/>
            </w:tcMar>
            <w:vAlign w:val="center"/>
          </w:tcPr>
          <w:p w14:paraId="7C14467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Measure refund impact by service, area, pest, and technician review signal</w:t>
            </w:r>
          </w:p>
        </w:tc>
      </w:tr>
      <w:tr w:rsidR="0084730D" w:rsidRPr="00335C63" w14:paraId="116B8FEC" w14:textId="77777777" w:rsidTr="00997D20">
        <w:trPr>
          <w:cantSplit/>
          <w:jc w:val="center"/>
        </w:trPr>
        <w:tc>
          <w:tcPr>
            <w:tcW w:w="1947" w:type="pct"/>
            <w:tcMar>
              <w:top w:w="90" w:type="dxa"/>
              <w:left w:w="90" w:type="dxa"/>
              <w:bottom w:w="90" w:type="dxa"/>
              <w:right w:w="90" w:type="dxa"/>
            </w:tcMar>
            <w:vAlign w:val="center"/>
          </w:tcPr>
          <w:p w14:paraId="138DE5A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fact_service -&gt; fact_calendar_event</w:t>
            </w:r>
          </w:p>
        </w:tc>
        <w:tc>
          <w:tcPr>
            <w:tcW w:w="1890" w:type="pct"/>
            <w:tcMar>
              <w:top w:w="90" w:type="dxa"/>
              <w:left w:w="90" w:type="dxa"/>
              <w:bottom w:w="90" w:type="dxa"/>
              <w:right w:w="90" w:type="dxa"/>
            </w:tcMar>
            <w:vAlign w:val="center"/>
          </w:tcPr>
          <w:p w14:paraId="45AF46A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service date + customer name/phone/event title; confidence flag stored</w:t>
            </w:r>
          </w:p>
        </w:tc>
        <w:tc>
          <w:tcPr>
            <w:tcW w:w="1163" w:type="pct"/>
            <w:tcMar>
              <w:top w:w="90" w:type="dxa"/>
              <w:left w:w="90" w:type="dxa"/>
              <w:bottom w:w="90" w:type="dxa"/>
              <w:right w:w="90" w:type="dxa"/>
            </w:tcMar>
            <w:vAlign w:val="center"/>
          </w:tcPr>
          <w:p w14:paraId="703737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Compare scheduled slots with service and warranty activity</w:t>
            </w:r>
          </w:p>
        </w:tc>
      </w:tr>
      <w:tr w:rsidR="0084730D" w:rsidRPr="00335C63" w14:paraId="42F51C3B" w14:textId="77777777" w:rsidTr="00997D20">
        <w:trPr>
          <w:cantSplit/>
          <w:jc w:val="center"/>
        </w:trPr>
        <w:tc>
          <w:tcPr>
            <w:tcW w:w="1947" w:type="pct"/>
            <w:tcMar>
              <w:top w:w="90" w:type="dxa"/>
              <w:left w:w="90" w:type="dxa"/>
              <w:bottom w:w="90" w:type="dxa"/>
              <w:right w:w="90" w:type="dxa"/>
            </w:tcMar>
            <w:vAlign w:val="center"/>
          </w:tcPr>
          <w:p w14:paraId="667D0E6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fact_service -&gt; dim_area</w:t>
            </w:r>
          </w:p>
        </w:tc>
        <w:tc>
          <w:tcPr>
            <w:tcW w:w="1890" w:type="pct"/>
            <w:tcMar>
              <w:top w:w="90" w:type="dxa"/>
              <w:left w:w="90" w:type="dxa"/>
              <w:bottom w:w="90" w:type="dxa"/>
              <w:right w:w="90" w:type="dxa"/>
            </w:tcMar>
            <w:vAlign w:val="center"/>
          </w:tcPr>
          <w:p w14:paraId="669E4BB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standardised area/postcode</w:t>
            </w:r>
          </w:p>
        </w:tc>
        <w:tc>
          <w:tcPr>
            <w:tcW w:w="1163" w:type="pct"/>
            <w:tcMar>
              <w:top w:w="90" w:type="dxa"/>
              <w:left w:w="90" w:type="dxa"/>
              <w:bottom w:w="90" w:type="dxa"/>
              <w:right w:w="90" w:type="dxa"/>
            </w:tcMar>
            <w:vAlign w:val="center"/>
          </w:tcPr>
          <w:p w14:paraId="61CAFA6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Attach city/state, centroid coordinates, and area match confidence</w:t>
            </w:r>
          </w:p>
        </w:tc>
      </w:tr>
      <w:tr w:rsidR="0084730D" w:rsidRPr="00335C63" w14:paraId="77D20D60" w14:textId="77777777" w:rsidTr="00997D20">
        <w:trPr>
          <w:cantSplit/>
          <w:jc w:val="center"/>
        </w:trPr>
        <w:tc>
          <w:tcPr>
            <w:tcW w:w="1947" w:type="pct"/>
            <w:tcMar>
              <w:top w:w="90" w:type="dxa"/>
              <w:left w:w="90" w:type="dxa"/>
              <w:bottom w:w="90" w:type="dxa"/>
              <w:right w:w="90" w:type="dxa"/>
            </w:tcMar>
            <w:vAlign w:val="center"/>
          </w:tcPr>
          <w:p w14:paraId="5048E2F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fact_service -&gt; weather features</w:t>
            </w:r>
          </w:p>
        </w:tc>
        <w:tc>
          <w:tcPr>
            <w:tcW w:w="1890" w:type="pct"/>
            <w:tcMar>
              <w:top w:w="90" w:type="dxa"/>
              <w:left w:w="90" w:type="dxa"/>
              <w:bottom w:w="90" w:type="dxa"/>
              <w:right w:w="90" w:type="dxa"/>
            </w:tcMar>
            <w:vAlign w:val="center"/>
          </w:tcPr>
          <w:p w14:paraId="17380E4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 coordinate + service date</w:t>
            </w:r>
          </w:p>
        </w:tc>
        <w:tc>
          <w:tcPr>
            <w:tcW w:w="1163" w:type="pct"/>
            <w:tcMar>
              <w:top w:w="90" w:type="dxa"/>
              <w:left w:w="90" w:type="dxa"/>
              <w:bottom w:w="90" w:type="dxa"/>
              <w:right w:w="90" w:type="dxa"/>
            </w:tcMar>
            <w:vAlign w:val="center"/>
          </w:tcPr>
          <w:p w14:paraId="5C88668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Attach rainfall, humidity, temperature, and weather data coverage</w:t>
            </w:r>
          </w:p>
        </w:tc>
      </w:tr>
      <w:tr w:rsidR="0084730D" w:rsidRPr="00335C63" w14:paraId="7C20AE31" w14:textId="77777777" w:rsidTr="00997D20">
        <w:trPr>
          <w:cantSplit/>
          <w:jc w:val="center"/>
        </w:trPr>
        <w:tc>
          <w:tcPr>
            <w:tcW w:w="1947" w:type="pct"/>
            <w:tcMar>
              <w:top w:w="90" w:type="dxa"/>
              <w:left w:w="90" w:type="dxa"/>
              <w:bottom w:w="90" w:type="dxa"/>
              <w:right w:w="90" w:type="dxa"/>
            </w:tcMar>
            <w:vAlign w:val="center"/>
          </w:tcPr>
          <w:p w14:paraId="50580EE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fact_upsell -&gt; fact_payment</w:t>
            </w:r>
          </w:p>
        </w:tc>
        <w:tc>
          <w:tcPr>
            <w:tcW w:w="1890" w:type="pct"/>
            <w:tcMar>
              <w:top w:w="90" w:type="dxa"/>
              <w:left w:w="90" w:type="dxa"/>
              <w:bottom w:w="90" w:type="dxa"/>
              <w:right w:w="90" w:type="dxa"/>
            </w:tcMar>
            <w:vAlign w:val="center"/>
          </w:tcPr>
          <w:p w14:paraId="5D4013C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customer_id + payment date near offer/window date</w:t>
            </w:r>
          </w:p>
        </w:tc>
        <w:tc>
          <w:tcPr>
            <w:tcW w:w="1163" w:type="pct"/>
            <w:tcMar>
              <w:top w:w="90" w:type="dxa"/>
              <w:left w:w="90" w:type="dxa"/>
              <w:bottom w:w="90" w:type="dxa"/>
              <w:right w:w="90" w:type="dxa"/>
            </w:tcMar>
            <w:vAlign w:val="center"/>
          </w:tcPr>
          <w:p w14:paraId="7E436FB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Infer window performance when direct response data is unavailable</w:t>
            </w:r>
          </w:p>
        </w:tc>
      </w:tr>
      <w:tr w:rsidR="0084730D" w:rsidRPr="00335C63" w14:paraId="31B53ED4" w14:textId="77777777" w:rsidTr="00997D20">
        <w:trPr>
          <w:cantSplit/>
          <w:jc w:val="center"/>
        </w:trPr>
        <w:tc>
          <w:tcPr>
            <w:tcW w:w="1947" w:type="pct"/>
            <w:tcMar>
              <w:top w:w="90" w:type="dxa"/>
              <w:left w:w="90" w:type="dxa"/>
              <w:bottom w:w="90" w:type="dxa"/>
              <w:right w:w="90" w:type="dxa"/>
            </w:tcMar>
            <w:vAlign w:val="center"/>
          </w:tcPr>
          <w:p w14:paraId="0CC7865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mart_recommendations -&gt; facts/marts</w:t>
            </w:r>
          </w:p>
        </w:tc>
        <w:tc>
          <w:tcPr>
            <w:tcW w:w="1890" w:type="pct"/>
            <w:tcMar>
              <w:top w:w="90" w:type="dxa"/>
              <w:left w:w="90" w:type="dxa"/>
              <w:bottom w:w="90" w:type="dxa"/>
              <w:right w:w="90" w:type="dxa"/>
            </w:tcMar>
            <w:vAlign w:val="center"/>
          </w:tcPr>
          <w:p w14:paraId="5D7A5B4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related customer_id, service_id, area, pest type, and generated date</w:t>
            </w:r>
          </w:p>
        </w:tc>
        <w:tc>
          <w:tcPr>
            <w:tcW w:w="1163" w:type="pct"/>
            <w:tcMar>
              <w:top w:w="90" w:type="dxa"/>
              <w:left w:w="90" w:type="dxa"/>
              <w:bottom w:w="90" w:type="dxa"/>
              <w:right w:w="90" w:type="dxa"/>
            </w:tcMar>
            <w:vAlign w:val="center"/>
          </w:tcPr>
          <w:p w14:paraId="3A0D77A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Track suggested actions and later outcomes</w:t>
            </w:r>
          </w:p>
        </w:tc>
      </w:tr>
    </w:tbl>
    <w:p w14:paraId="11382515" w14:textId="77777777" w:rsidR="0084730D" w:rsidRPr="00335C63" w:rsidRDefault="0084730D" w:rsidP="000F4170">
      <w:pPr>
        <w:spacing w:line="360" w:lineRule="auto" w:after="120"/>
        <w:jc w:val="left"/>
        <w:rPr>
          <w:rFonts w:ascii="Times New Roman" w:hAnsi="Times New Roman" w:cs="Times New Roman"/>
          <w:sz w:val="24"/>
          <w:szCs w:val="24"/>
        </w:rPr>
      </w:pPr>
    </w:p>
    <w:p w14:paraId="31F356D8"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3.4 Data Sources and Field Mapping</w:t>
      </w:r>
    </w:p>
    <w:tbl>
      <w:tblPr>
        <w:tblStyle w:val="TableGrid"/>
        <w:tblW w:w="5000" w:type="pct"/>
        <w:jc w:val="center"/>
        <w:tblLook w:val="04A0" w:firstRow="1" w:lastRow="0" w:firstColumn="1" w:lastColumn="0" w:noHBand="0" w:noVBand="1"/>
      </w:tblPr>
      <w:tblGrid>
        <w:gridCol w:w="2670"/>
        <w:gridCol w:w="3583"/>
        <w:gridCol w:w="2763"/>
      </w:tblGrid>
      <w:tr w:rsidR="0084730D" w:rsidRPr="00335C63" w14:paraId="0A73B079" w14:textId="77777777" w:rsidTr="00997D20">
        <w:trPr>
          <w:cantSplit/>
          <w:tblHeader/>
          <w:jc w:val="center"/>
        </w:trPr>
        <w:tc>
          <w:tcPr>
            <w:tcW w:w="1480" w:type="pct"/>
            <w:shd w:val="clear" w:color="auto" w:fill="E8F1FA"/>
            <w:tcMar>
              <w:top w:w="90" w:type="dxa"/>
              <w:left w:w="90" w:type="dxa"/>
              <w:bottom w:w="90" w:type="dxa"/>
              <w:right w:w="90" w:type="dxa"/>
            </w:tcMar>
            <w:vAlign w:val="center"/>
          </w:tcPr>
          <w:p w14:paraId="5F57697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Source</w:t>
            </w:r>
          </w:p>
        </w:tc>
        <w:tc>
          <w:tcPr>
            <w:tcW w:w="1987" w:type="pct"/>
            <w:shd w:val="clear" w:color="auto" w:fill="E8F1FA"/>
            <w:tcMar>
              <w:top w:w="90" w:type="dxa"/>
              <w:left w:w="90" w:type="dxa"/>
              <w:bottom w:w="90" w:type="dxa"/>
              <w:right w:w="90" w:type="dxa"/>
            </w:tcMar>
            <w:vAlign w:val="center"/>
          </w:tcPr>
          <w:p w14:paraId="3776FC7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Key Fields</w:t>
            </w:r>
          </w:p>
        </w:tc>
        <w:tc>
          <w:tcPr>
            <w:tcW w:w="1532" w:type="pct"/>
            <w:shd w:val="clear" w:color="auto" w:fill="E8F1FA"/>
            <w:tcMar>
              <w:top w:w="90" w:type="dxa"/>
              <w:left w:w="90" w:type="dxa"/>
              <w:bottom w:w="90" w:type="dxa"/>
              <w:right w:w="90" w:type="dxa"/>
            </w:tcMar>
            <w:vAlign w:val="center"/>
          </w:tcPr>
          <w:p w14:paraId="6AC108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Analytics Use</w:t>
            </w:r>
          </w:p>
        </w:tc>
      </w:tr>
      <w:tr w:rsidR="0084730D" w:rsidRPr="00335C63" w14:paraId="54A6C12F" w14:textId="77777777" w:rsidTr="00997D20">
        <w:trPr>
          <w:cantSplit/>
          <w:jc w:val="center"/>
        </w:trPr>
        <w:tc>
          <w:tcPr>
            <w:tcW w:w="1480" w:type="pct"/>
            <w:tcMar>
              <w:top w:w="90" w:type="dxa"/>
              <w:left w:w="90" w:type="dxa"/>
              <w:bottom w:w="90" w:type="dxa"/>
              <w:right w:w="90" w:type="dxa"/>
            </w:tcMar>
            <w:vAlign w:val="center"/>
          </w:tcPr>
          <w:p w14:paraId="1345D21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Prospects / leads</w:t>
            </w:r>
          </w:p>
        </w:tc>
        <w:tc>
          <w:tcPr>
            <w:tcW w:w="1987" w:type="pct"/>
            <w:tcMar>
              <w:top w:w="90" w:type="dxa"/>
              <w:left w:w="90" w:type="dxa"/>
              <w:bottom w:w="90" w:type="dxa"/>
              <w:right w:w="90" w:type="dxa"/>
            </w:tcMar>
            <w:vAlign w:val="center"/>
          </w:tcPr>
          <w:p w14:paraId="7899CF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phone, lead date, ad source, campaign, status, PIC, follow-up count</w:t>
            </w:r>
          </w:p>
        </w:tc>
        <w:tc>
          <w:tcPr>
            <w:tcW w:w="1532" w:type="pct"/>
            <w:tcMar>
              <w:top w:w="90" w:type="dxa"/>
              <w:left w:w="90" w:type="dxa"/>
              <w:bottom w:w="90" w:type="dxa"/>
              <w:right w:w="90" w:type="dxa"/>
            </w:tcMar>
            <w:vAlign w:val="center"/>
          </w:tcPr>
          <w:p w14:paraId="3FAC6B8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Marketing attribution, lead conversion, funnel analysis</w:t>
            </w:r>
          </w:p>
        </w:tc>
      </w:tr>
      <w:tr w:rsidR="0084730D" w:rsidRPr="00335C63" w14:paraId="0FB17742" w14:textId="77777777" w:rsidTr="00997D20">
        <w:trPr>
          <w:cantSplit/>
          <w:jc w:val="center"/>
        </w:trPr>
        <w:tc>
          <w:tcPr>
            <w:tcW w:w="1480" w:type="pct"/>
            <w:tcMar>
              <w:top w:w="90" w:type="dxa"/>
              <w:left w:w="90" w:type="dxa"/>
              <w:bottom w:w="90" w:type="dxa"/>
              <w:right w:w="90" w:type="dxa"/>
            </w:tcMar>
            <w:vAlign w:val="center"/>
          </w:tcPr>
          <w:p w14:paraId="1C4E14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Services / sales</w:t>
            </w:r>
          </w:p>
        </w:tc>
        <w:tc>
          <w:tcPr>
            <w:tcW w:w="1987" w:type="pct"/>
            <w:tcMar>
              <w:top w:w="90" w:type="dxa"/>
              <w:left w:w="90" w:type="dxa"/>
              <w:bottom w:w="90" w:type="dxa"/>
              <w:right w:w="90" w:type="dxa"/>
            </w:tcMar>
            <w:vAlign w:val="center"/>
          </w:tcPr>
          <w:p w14:paraId="7A723F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ID, service date, pest type, package, area, amount, payment status</w:t>
            </w:r>
          </w:p>
        </w:tc>
        <w:tc>
          <w:tcPr>
            <w:tcW w:w="1532" w:type="pct"/>
            <w:tcMar>
              <w:top w:w="90" w:type="dxa"/>
              <w:left w:w="90" w:type="dxa"/>
              <w:bottom w:w="90" w:type="dxa"/>
              <w:right w:w="90" w:type="dxa"/>
            </w:tcMar>
            <w:vAlign w:val="center"/>
          </w:tcPr>
          <w:p w14:paraId="0C03FA9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Service trends, revenue, customer segmentation, recurrence base</w:t>
            </w:r>
          </w:p>
        </w:tc>
      </w:tr>
      <w:tr w:rsidR="0084730D" w:rsidRPr="00335C63" w14:paraId="1A0D639C" w14:textId="77777777" w:rsidTr="00997D20">
        <w:trPr>
          <w:cantSplit/>
          <w:jc w:val="center"/>
        </w:trPr>
        <w:tc>
          <w:tcPr>
            <w:tcW w:w="1480" w:type="pct"/>
            <w:tcMar>
              <w:top w:w="90" w:type="dxa"/>
              <w:left w:w="90" w:type="dxa"/>
              <w:bottom w:w="90" w:type="dxa"/>
              <w:right w:w="90" w:type="dxa"/>
            </w:tcMar>
            <w:vAlign w:val="center"/>
          </w:tcPr>
          <w:p w14:paraId="2638D0E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claims</w:t>
            </w:r>
          </w:p>
        </w:tc>
        <w:tc>
          <w:tcPr>
            <w:tcW w:w="1987" w:type="pct"/>
            <w:tcMar>
              <w:top w:w="90" w:type="dxa"/>
              <w:left w:w="90" w:type="dxa"/>
              <w:bottom w:w="90" w:type="dxa"/>
              <w:right w:w="90" w:type="dxa"/>
            </w:tcMar>
            <w:vAlign w:val="center"/>
          </w:tcPr>
          <w:p w14:paraId="6CB2208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claim date, complaint reason, technician/team, repeat flag, complimentary service</w:t>
            </w:r>
          </w:p>
        </w:tc>
        <w:tc>
          <w:tcPr>
            <w:tcW w:w="1532" w:type="pct"/>
            <w:tcMar>
              <w:top w:w="90" w:type="dxa"/>
              <w:left w:w="90" w:type="dxa"/>
              <w:bottom w:w="90" w:type="dxa"/>
              <w:right w:w="90" w:type="dxa"/>
            </w:tcMar>
            <w:vAlign w:val="center"/>
          </w:tcPr>
          <w:p w14:paraId="0896BE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review factors, repeat-problem analysis, treatment difficulty</w:t>
            </w:r>
          </w:p>
        </w:tc>
      </w:tr>
      <w:tr w:rsidR="0084730D" w:rsidRPr="00335C63" w14:paraId="2B420D8A" w14:textId="77777777" w:rsidTr="00997D20">
        <w:trPr>
          <w:cantSplit/>
          <w:jc w:val="center"/>
        </w:trPr>
        <w:tc>
          <w:tcPr>
            <w:tcW w:w="1480" w:type="pct"/>
            <w:tcMar>
              <w:top w:w="90" w:type="dxa"/>
              <w:left w:w="90" w:type="dxa"/>
              <w:bottom w:w="90" w:type="dxa"/>
              <w:right w:w="90" w:type="dxa"/>
            </w:tcMar>
            <w:vAlign w:val="center"/>
          </w:tcPr>
          <w:p w14:paraId="0EB320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Refunds</w:t>
            </w:r>
          </w:p>
        </w:tc>
        <w:tc>
          <w:tcPr>
            <w:tcW w:w="1987" w:type="pct"/>
            <w:tcMar>
              <w:top w:w="90" w:type="dxa"/>
              <w:left w:w="90" w:type="dxa"/>
              <w:bottom w:w="90" w:type="dxa"/>
              <w:right w:w="90" w:type="dxa"/>
            </w:tcMar>
            <w:vAlign w:val="center"/>
          </w:tcPr>
          <w:p w14:paraId="08F87D5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date, reason, amount, status</w:t>
            </w:r>
          </w:p>
        </w:tc>
        <w:tc>
          <w:tcPr>
            <w:tcW w:w="1532" w:type="pct"/>
            <w:tcMar>
              <w:top w:w="90" w:type="dxa"/>
              <w:left w:w="90" w:type="dxa"/>
              <w:bottom w:w="90" w:type="dxa"/>
              <w:right w:w="90" w:type="dxa"/>
            </w:tcMar>
            <w:vAlign w:val="center"/>
          </w:tcPr>
          <w:p w14:paraId="3FEE12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Root cause categories, financial loss, difficulty score</w:t>
            </w:r>
          </w:p>
        </w:tc>
      </w:tr>
      <w:tr w:rsidR="0084730D" w:rsidRPr="00335C63" w14:paraId="1EA3AE75" w14:textId="77777777" w:rsidTr="00997D20">
        <w:trPr>
          <w:cantSplit/>
          <w:jc w:val="center"/>
        </w:trPr>
        <w:tc>
          <w:tcPr>
            <w:tcW w:w="1480" w:type="pct"/>
            <w:tcMar>
              <w:top w:w="90" w:type="dxa"/>
              <w:left w:w="90" w:type="dxa"/>
              <w:bottom w:w="90" w:type="dxa"/>
              <w:right w:w="90" w:type="dxa"/>
            </w:tcMar>
            <w:vAlign w:val="center"/>
          </w:tcPr>
          <w:p w14:paraId="200E25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Payments and payment links</w:t>
            </w:r>
          </w:p>
        </w:tc>
        <w:tc>
          <w:tcPr>
            <w:tcW w:w="1987" w:type="pct"/>
            <w:tcMar>
              <w:top w:w="90" w:type="dxa"/>
              <w:left w:w="90" w:type="dxa"/>
              <w:bottom w:w="90" w:type="dxa"/>
              <w:right w:w="90" w:type="dxa"/>
            </w:tcMar>
            <w:vAlign w:val="center"/>
          </w:tcPr>
          <w:p w14:paraId="59C631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received date, amount, method, sent date, won/pending</w:t>
            </w:r>
          </w:p>
        </w:tc>
        <w:tc>
          <w:tcPr>
            <w:tcW w:w="1532" w:type="pct"/>
            <w:tcMar>
              <w:top w:w="90" w:type="dxa"/>
              <w:left w:w="90" w:type="dxa"/>
              <w:bottom w:w="90" w:type="dxa"/>
              <w:right w:w="90" w:type="dxa"/>
            </w:tcMar>
            <w:vAlign w:val="center"/>
          </w:tcPr>
          <w:p w14:paraId="235F6B4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Payment completion and payment-link conversion</w:t>
            </w:r>
          </w:p>
        </w:tc>
      </w:tr>
      <w:tr w:rsidR="0084730D" w:rsidRPr="00335C63" w14:paraId="394ECBE6" w14:textId="77777777" w:rsidTr="00997D20">
        <w:trPr>
          <w:cantSplit/>
          <w:jc w:val="center"/>
        </w:trPr>
        <w:tc>
          <w:tcPr>
            <w:tcW w:w="1480" w:type="pct"/>
            <w:tcMar>
              <w:top w:w="90" w:type="dxa"/>
              <w:left w:w="90" w:type="dxa"/>
              <w:bottom w:w="90" w:type="dxa"/>
              <w:right w:w="90" w:type="dxa"/>
            </w:tcMar>
            <w:vAlign w:val="center"/>
          </w:tcPr>
          <w:p w14:paraId="0868774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records</w:t>
            </w:r>
          </w:p>
        </w:tc>
        <w:tc>
          <w:tcPr>
            <w:tcW w:w="1987" w:type="pct"/>
            <w:tcMar>
              <w:top w:w="90" w:type="dxa"/>
              <w:left w:w="90" w:type="dxa"/>
              <w:bottom w:w="90" w:type="dxa"/>
              <w:right w:w="90" w:type="dxa"/>
            </w:tcMar>
            <w:vAlign w:val="center"/>
          </w:tcPr>
          <w:p w14:paraId="2AB592A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package, offer date/window, accepted/purchased package, amount</w:t>
            </w:r>
          </w:p>
        </w:tc>
        <w:tc>
          <w:tcPr>
            <w:tcW w:w="1532" w:type="pct"/>
            <w:tcMar>
              <w:top w:w="90" w:type="dxa"/>
              <w:left w:w="90" w:type="dxa"/>
              <w:bottom w:w="90" w:type="dxa"/>
              <w:right w:w="90" w:type="dxa"/>
            </w:tcMar>
            <w:vAlign w:val="center"/>
          </w:tcPr>
          <w:p w14:paraId="12C8B83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 effectiveness and package-fit matrix</w:t>
            </w:r>
          </w:p>
        </w:tc>
      </w:tr>
      <w:tr w:rsidR="0084730D" w:rsidRPr="00335C63" w14:paraId="4786F189" w14:textId="77777777" w:rsidTr="00997D20">
        <w:trPr>
          <w:cantSplit/>
          <w:jc w:val="center"/>
        </w:trPr>
        <w:tc>
          <w:tcPr>
            <w:tcW w:w="1480" w:type="pct"/>
            <w:tcMar>
              <w:top w:w="90" w:type="dxa"/>
              <w:left w:w="90" w:type="dxa"/>
              <w:bottom w:w="90" w:type="dxa"/>
              <w:right w:w="90" w:type="dxa"/>
            </w:tcMar>
            <w:vAlign w:val="center"/>
          </w:tcPr>
          <w:p w14:paraId="1EF114D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Calendar</w:t>
            </w:r>
          </w:p>
        </w:tc>
        <w:tc>
          <w:tcPr>
            <w:tcW w:w="1987" w:type="pct"/>
            <w:tcMar>
              <w:top w:w="90" w:type="dxa"/>
              <w:left w:w="90" w:type="dxa"/>
              <w:bottom w:w="90" w:type="dxa"/>
              <w:right w:w="90" w:type="dxa"/>
            </w:tcMar>
            <w:vAlign w:val="center"/>
          </w:tcPr>
          <w:p w14:paraId="21B85C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event title, start/end time, area, technician/team, session type</w:t>
            </w:r>
          </w:p>
        </w:tc>
        <w:tc>
          <w:tcPr>
            <w:tcW w:w="1532" w:type="pct"/>
            <w:tcMar>
              <w:top w:w="90" w:type="dxa"/>
              <w:left w:w="90" w:type="dxa"/>
              <w:bottom w:w="90" w:type="dxa"/>
              <w:right w:w="90" w:type="dxa"/>
            </w:tcMar>
            <w:vAlign w:val="center"/>
          </w:tcPr>
          <w:p w14:paraId="38CA64B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Capacity analytics, slot utilisation, warranty/extra session share</w:t>
            </w:r>
          </w:p>
        </w:tc>
      </w:tr>
      <w:tr w:rsidR="0084730D" w:rsidRPr="00335C63" w14:paraId="73E28B27" w14:textId="77777777" w:rsidTr="00997D20">
        <w:trPr>
          <w:cantSplit/>
          <w:jc w:val="center"/>
        </w:trPr>
        <w:tc>
          <w:tcPr>
            <w:tcW w:w="1480" w:type="pct"/>
            <w:tcMar>
              <w:top w:w="90" w:type="dxa"/>
              <w:left w:w="90" w:type="dxa"/>
              <w:bottom w:w="90" w:type="dxa"/>
              <w:right w:w="90" w:type="dxa"/>
            </w:tcMar>
            <w:vAlign w:val="center"/>
          </w:tcPr>
          <w:p w14:paraId="1EECF6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Weather/flood data</w:t>
            </w:r>
          </w:p>
        </w:tc>
        <w:tc>
          <w:tcPr>
            <w:tcW w:w="1987" w:type="pct"/>
            <w:tcMar>
              <w:top w:w="90" w:type="dxa"/>
              <w:left w:w="90" w:type="dxa"/>
              <w:bottom w:w="90" w:type="dxa"/>
              <w:right w:w="90" w:type="dxa"/>
            </w:tcMar>
            <w:vAlign w:val="center"/>
          </w:tcPr>
          <w:p w14:paraId="03C9B9F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rainfall, humidity, temperature, warning/flood flags, date, area coordinate</w:t>
            </w:r>
          </w:p>
        </w:tc>
        <w:tc>
          <w:tcPr>
            <w:tcW w:w="1532" w:type="pct"/>
            <w:tcMar>
              <w:top w:w="90" w:type="dxa"/>
              <w:left w:w="90" w:type="dxa"/>
              <w:bottom w:w="90" w:type="dxa"/>
              <w:right w:w="90" w:type="dxa"/>
            </w:tcMar>
            <w:vAlign w:val="center"/>
          </w:tcPr>
          <w:p w14:paraId="6CF0FB3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risk, service-date enrichment</w:t>
            </w:r>
          </w:p>
        </w:tc>
      </w:tr>
    </w:tbl>
    <w:p w14:paraId="55014217" w14:textId="77777777" w:rsidR="0084730D" w:rsidRPr="00335C63" w:rsidRDefault="0084730D" w:rsidP="000F4170">
      <w:pPr>
        <w:spacing w:line="360" w:lineRule="auto" w:after="120"/>
        <w:jc w:val="left"/>
        <w:rPr>
          <w:rFonts w:ascii="Times New Roman" w:hAnsi="Times New Roman" w:cs="Times New Roman"/>
          <w:sz w:val="24"/>
          <w:szCs w:val="24"/>
        </w:rPr>
      </w:pPr>
    </w:p>
    <w:p w14:paraId="2C514DF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3.5 Data Cleaning, Inclusion, and Exclusion Rules</w:t>
      </w:r>
    </w:p>
    <w:p w14:paraId="4629B063"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pipeline will not simply load the company files directly into dashboards. Each source will pass through a flexible data contract layer before it is used for analysis. Because company data may contain inconsistent column names and formats, the contract will define required business fields, accepted column aliases, expected data types, and validation rules. Missing or low-confidence mappings will be flagged in the Data Quality Report instead of being silently deleted.</w:t>
      </w:r>
    </w:p>
    <w:tbl>
      <w:tblPr>
        <w:tblStyle w:val="TableGrid"/>
        <w:tblW w:w="5000" w:type="pct"/>
        <w:jc w:val="center"/>
        <w:tblLook w:val="04A0" w:firstRow="1" w:lastRow="0" w:firstColumn="1" w:lastColumn="0" w:noHBand="0" w:noVBand="1"/>
      </w:tblPr>
      <w:tblGrid>
        <w:gridCol w:w="2820"/>
        <w:gridCol w:w="2725"/>
        <w:gridCol w:w="3471"/>
      </w:tblGrid>
      <w:tr w:rsidR="0084730D" w:rsidRPr="00335C63" w14:paraId="65ADD790" w14:textId="77777777" w:rsidTr="00997D20">
        <w:trPr>
          <w:cantSplit/>
          <w:tblHeader/>
          <w:jc w:val="center"/>
        </w:trPr>
        <w:tc>
          <w:tcPr>
            <w:tcW w:w="1564" w:type="pct"/>
            <w:shd w:val="clear" w:color="auto" w:fill="E8F1FA"/>
            <w:tcMar>
              <w:top w:w="90" w:type="dxa"/>
              <w:left w:w="90" w:type="dxa"/>
              <w:bottom w:w="90" w:type="dxa"/>
              <w:right w:w="90" w:type="dxa"/>
            </w:tcMar>
            <w:vAlign w:val="center"/>
          </w:tcPr>
          <w:p w14:paraId="486098C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Element</w:t>
            </w:r>
          </w:p>
        </w:tc>
        <w:tc>
          <w:tcPr>
            <w:tcW w:w="1511" w:type="pct"/>
            <w:shd w:val="clear" w:color="auto" w:fill="E8F1FA"/>
            <w:tcMar>
              <w:top w:w="90" w:type="dxa"/>
              <w:left w:w="90" w:type="dxa"/>
              <w:bottom w:w="90" w:type="dxa"/>
              <w:right w:w="90" w:type="dxa"/>
            </w:tcMar>
            <w:vAlign w:val="center"/>
          </w:tcPr>
          <w:p w14:paraId="3CD13FA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Cleaning / Standardisation Rule</w:t>
            </w:r>
          </w:p>
        </w:tc>
        <w:tc>
          <w:tcPr>
            <w:tcW w:w="1926" w:type="pct"/>
            <w:shd w:val="clear" w:color="auto" w:fill="E8F1FA"/>
            <w:tcMar>
              <w:top w:w="90" w:type="dxa"/>
              <w:left w:w="90" w:type="dxa"/>
              <w:bottom w:w="90" w:type="dxa"/>
              <w:right w:w="90" w:type="dxa"/>
            </w:tcMar>
            <w:vAlign w:val="center"/>
          </w:tcPr>
          <w:p w14:paraId="428439E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Flag or Exclusion Rule</w:t>
            </w:r>
          </w:p>
        </w:tc>
      </w:tr>
      <w:tr w:rsidR="0084730D" w:rsidRPr="00335C63" w14:paraId="706C5C88" w14:textId="77777777" w:rsidTr="00997D20">
        <w:trPr>
          <w:cantSplit/>
          <w:jc w:val="center"/>
        </w:trPr>
        <w:tc>
          <w:tcPr>
            <w:tcW w:w="1564" w:type="pct"/>
            <w:tcMar>
              <w:top w:w="90" w:type="dxa"/>
              <w:left w:w="90" w:type="dxa"/>
              <w:bottom w:w="90" w:type="dxa"/>
              <w:right w:w="90" w:type="dxa"/>
            </w:tcMar>
            <w:vAlign w:val="center"/>
          </w:tcPr>
          <w:p w14:paraId="5933933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Dates</w:t>
            </w:r>
          </w:p>
        </w:tc>
        <w:tc>
          <w:tcPr>
            <w:tcW w:w="1511" w:type="pct"/>
            <w:tcMar>
              <w:top w:w="90" w:type="dxa"/>
              <w:left w:w="90" w:type="dxa"/>
              <w:bottom w:w="90" w:type="dxa"/>
              <w:right w:w="90" w:type="dxa"/>
            </w:tcMar>
            <w:vAlign w:val="center"/>
          </w:tcPr>
          <w:p w14:paraId="2AA29D8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Convert all service, payment, claim, refund, upsell, and calendar dates into a consistent date format</w:t>
            </w:r>
          </w:p>
        </w:tc>
        <w:tc>
          <w:tcPr>
            <w:tcW w:w="1926" w:type="pct"/>
            <w:tcMar>
              <w:top w:w="90" w:type="dxa"/>
              <w:left w:w="90" w:type="dxa"/>
              <w:bottom w:w="90" w:type="dxa"/>
              <w:right w:w="90" w:type="dxa"/>
            </w:tcMar>
            <w:vAlign w:val="center"/>
          </w:tcPr>
          <w:p w14:paraId="3B8174D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Invalid or impossible dates are flagged and excluded from time-based analysis until corrected</w:t>
            </w:r>
          </w:p>
        </w:tc>
      </w:tr>
      <w:tr w:rsidR="0084730D" w:rsidRPr="00335C63" w14:paraId="1D786432" w14:textId="77777777" w:rsidTr="00997D20">
        <w:trPr>
          <w:cantSplit/>
          <w:jc w:val="center"/>
        </w:trPr>
        <w:tc>
          <w:tcPr>
            <w:tcW w:w="1564" w:type="pct"/>
            <w:tcMar>
              <w:top w:w="90" w:type="dxa"/>
              <w:left w:w="90" w:type="dxa"/>
              <w:bottom w:w="90" w:type="dxa"/>
              <w:right w:w="90" w:type="dxa"/>
            </w:tcMar>
            <w:vAlign w:val="center"/>
          </w:tcPr>
          <w:p w14:paraId="0826B3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identifiers</w:t>
            </w:r>
          </w:p>
        </w:tc>
        <w:tc>
          <w:tcPr>
            <w:tcW w:w="1511" w:type="pct"/>
            <w:tcMar>
              <w:top w:w="90" w:type="dxa"/>
              <w:left w:w="90" w:type="dxa"/>
              <w:bottom w:w="90" w:type="dxa"/>
              <w:right w:w="90" w:type="dxa"/>
            </w:tcMar>
            <w:vAlign w:val="center"/>
          </w:tcPr>
          <w:p w14:paraId="4FD397A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customer_id and normalise phone numbers by removing spaces, symbols, and country-code inconsistencies</w:t>
            </w:r>
          </w:p>
        </w:tc>
        <w:tc>
          <w:tcPr>
            <w:tcW w:w="1926" w:type="pct"/>
            <w:tcMar>
              <w:top w:w="90" w:type="dxa"/>
              <w:left w:w="90" w:type="dxa"/>
              <w:bottom w:w="90" w:type="dxa"/>
              <w:right w:w="90" w:type="dxa"/>
            </w:tcMar>
            <w:vAlign w:val="center"/>
          </w:tcPr>
          <w:p w14:paraId="036D91A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Rows without any usable customer_id, phone, or name/date fallback are flagged as unmatched</w:t>
            </w:r>
          </w:p>
        </w:tc>
      </w:tr>
      <w:tr w:rsidR="0084730D" w:rsidRPr="00335C63" w14:paraId="7CB5EBA7" w14:textId="77777777" w:rsidTr="00997D20">
        <w:trPr>
          <w:cantSplit/>
          <w:jc w:val="center"/>
        </w:trPr>
        <w:tc>
          <w:tcPr>
            <w:tcW w:w="1564" w:type="pct"/>
            <w:tcMar>
              <w:top w:w="90" w:type="dxa"/>
              <w:left w:w="90" w:type="dxa"/>
              <w:bottom w:w="90" w:type="dxa"/>
              <w:right w:w="90" w:type="dxa"/>
            </w:tcMar>
            <w:vAlign w:val="center"/>
          </w:tcPr>
          <w:p w14:paraId="2EA887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Pest type</w:t>
            </w:r>
          </w:p>
        </w:tc>
        <w:tc>
          <w:tcPr>
            <w:tcW w:w="1511" w:type="pct"/>
            <w:tcMar>
              <w:top w:w="90" w:type="dxa"/>
              <w:left w:w="90" w:type="dxa"/>
              <w:bottom w:w="90" w:type="dxa"/>
              <w:right w:w="90" w:type="dxa"/>
            </w:tcMar>
            <w:vAlign w:val="center"/>
          </w:tcPr>
          <w:p w14:paraId="125253C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Map variants such as lipas, </w:t>
            </w:r>
            <w:proofErr w:type="gramStart"/>
            <w:r w:rsidRPr="00335C63">
              <w:rPr>
                <w:rFonts w:ascii="Times New Roman" w:hAnsi="Times New Roman" w:cs="Times New Roman" w:eastAsia="Times New Roman"/>
                <w:sz w:val="21"/>
                <w:szCs w:val="24"/>
              </w:rPr>
              <w:t>cockroach</w:t>
            </w:r>
            <w:proofErr w:type="gramEnd"/>
            <w:r w:rsidRPr="00335C63">
              <w:rPr>
                <w:rFonts w:ascii="Times New Roman" w:hAnsi="Times New Roman" w:cs="Times New Roman" w:eastAsia="Times New Roman"/>
                <w:sz w:val="21"/>
                <w:szCs w:val="24"/>
              </w:rPr>
              <w:t>, cockroaches, anai-anai, and termite into standard pest labels</w:t>
            </w:r>
          </w:p>
        </w:tc>
        <w:tc>
          <w:tcPr>
            <w:tcW w:w="1926" w:type="pct"/>
            <w:tcMar>
              <w:top w:w="90" w:type="dxa"/>
              <w:left w:w="90" w:type="dxa"/>
              <w:bottom w:w="90" w:type="dxa"/>
              <w:right w:w="90" w:type="dxa"/>
            </w:tcMar>
            <w:vAlign w:val="center"/>
          </w:tcPr>
          <w:p w14:paraId="7B656A8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Unknown pest labels are retained but flagged for manual mapping</w:t>
            </w:r>
          </w:p>
        </w:tc>
      </w:tr>
      <w:tr w:rsidR="0084730D" w:rsidRPr="00335C63" w14:paraId="48BD4F7E" w14:textId="77777777" w:rsidTr="00997D20">
        <w:trPr>
          <w:cantSplit/>
          <w:jc w:val="center"/>
        </w:trPr>
        <w:tc>
          <w:tcPr>
            <w:tcW w:w="1564" w:type="pct"/>
            <w:tcMar>
              <w:top w:w="90" w:type="dxa"/>
              <w:left w:w="90" w:type="dxa"/>
              <w:bottom w:w="90" w:type="dxa"/>
              <w:right w:w="90" w:type="dxa"/>
            </w:tcMar>
            <w:vAlign w:val="center"/>
          </w:tcPr>
          <w:p w14:paraId="6A1E61A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w:t>
            </w:r>
          </w:p>
        </w:tc>
        <w:tc>
          <w:tcPr>
            <w:tcW w:w="1511" w:type="pct"/>
            <w:tcMar>
              <w:top w:w="90" w:type="dxa"/>
              <w:left w:w="90" w:type="dxa"/>
              <w:bottom w:w="90" w:type="dxa"/>
              <w:right w:w="90" w:type="dxa"/>
            </w:tcMar>
            <w:vAlign w:val="center"/>
          </w:tcPr>
          <w:p w14:paraId="2A95F5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area names and map postcode/area to centroid coordinates</w:t>
            </w:r>
          </w:p>
        </w:tc>
        <w:tc>
          <w:tcPr>
            <w:tcW w:w="1926" w:type="pct"/>
            <w:tcMar>
              <w:top w:w="90" w:type="dxa"/>
              <w:left w:w="90" w:type="dxa"/>
              <w:bottom w:w="90" w:type="dxa"/>
              <w:right w:w="90" w:type="dxa"/>
            </w:tcMar>
            <w:vAlign w:val="center"/>
          </w:tcPr>
          <w:p w14:paraId="55E4E1F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Unknown areas are included in non-map summaries but excluded from coordinate-based hotspot analysis</w:t>
            </w:r>
          </w:p>
        </w:tc>
      </w:tr>
      <w:tr w:rsidR="0084730D" w:rsidRPr="00335C63" w14:paraId="26054650" w14:textId="77777777" w:rsidTr="00997D20">
        <w:trPr>
          <w:cantSplit/>
          <w:jc w:val="center"/>
        </w:trPr>
        <w:tc>
          <w:tcPr>
            <w:tcW w:w="1564" w:type="pct"/>
            <w:tcMar>
              <w:top w:w="90" w:type="dxa"/>
              <w:left w:w="90" w:type="dxa"/>
              <w:bottom w:w="90" w:type="dxa"/>
              <w:right w:w="90" w:type="dxa"/>
            </w:tcMar>
            <w:vAlign w:val="center"/>
          </w:tcPr>
          <w:p w14:paraId="219F664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Technician/team</w:t>
            </w:r>
          </w:p>
        </w:tc>
        <w:tc>
          <w:tcPr>
            <w:tcW w:w="1511" w:type="pct"/>
            <w:tcMar>
              <w:top w:w="90" w:type="dxa"/>
              <w:left w:w="90" w:type="dxa"/>
              <w:bottom w:w="90" w:type="dxa"/>
              <w:right w:w="90" w:type="dxa"/>
            </w:tcMar>
            <w:vAlign w:val="center"/>
          </w:tcPr>
          <w:p w14:paraId="7B243D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spelling and team labels across service, warranty, and calendar records</w:t>
            </w:r>
          </w:p>
        </w:tc>
        <w:tc>
          <w:tcPr>
            <w:tcW w:w="1926" w:type="pct"/>
            <w:tcMar>
              <w:top w:w="90" w:type="dxa"/>
              <w:left w:w="90" w:type="dxa"/>
              <w:bottom w:w="90" w:type="dxa"/>
              <w:right w:w="90" w:type="dxa"/>
            </w:tcMar>
            <w:vAlign w:val="center"/>
          </w:tcPr>
          <w:p w14:paraId="384765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 technician is allowed for company-level analysis but flagged for technician review dashboards</w:t>
            </w:r>
          </w:p>
        </w:tc>
      </w:tr>
      <w:tr w:rsidR="0084730D" w:rsidRPr="00335C63" w14:paraId="441C678F" w14:textId="77777777" w:rsidTr="00997D20">
        <w:trPr>
          <w:cantSplit/>
          <w:jc w:val="center"/>
        </w:trPr>
        <w:tc>
          <w:tcPr>
            <w:tcW w:w="1564" w:type="pct"/>
            <w:tcMar>
              <w:top w:w="90" w:type="dxa"/>
              <w:left w:w="90" w:type="dxa"/>
              <w:bottom w:w="90" w:type="dxa"/>
              <w:right w:w="90" w:type="dxa"/>
            </w:tcMar>
            <w:vAlign w:val="center"/>
          </w:tcPr>
          <w:p w14:paraId="336725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Package/service type</w:t>
            </w:r>
          </w:p>
        </w:tc>
        <w:tc>
          <w:tcPr>
            <w:tcW w:w="1511" w:type="pct"/>
            <w:tcMar>
              <w:top w:w="90" w:type="dxa"/>
              <w:left w:w="90" w:type="dxa"/>
              <w:bottom w:w="90" w:type="dxa"/>
              <w:right w:w="90" w:type="dxa"/>
            </w:tcMar>
            <w:vAlign w:val="center"/>
          </w:tcPr>
          <w:p w14:paraId="171C798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 1x, 2x, 3x, yearly, TRBS, GPC, termite, and related package labels</w:t>
            </w:r>
          </w:p>
        </w:tc>
        <w:tc>
          <w:tcPr>
            <w:tcW w:w="1926" w:type="pct"/>
            <w:tcMar>
              <w:top w:w="90" w:type="dxa"/>
              <w:left w:w="90" w:type="dxa"/>
              <w:bottom w:w="90" w:type="dxa"/>
              <w:right w:w="90" w:type="dxa"/>
            </w:tcMar>
            <w:vAlign w:val="center"/>
          </w:tcPr>
          <w:p w14:paraId="3A6EB4D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Unrecognised package labels are flagged and grouped as Other until reviewed</w:t>
            </w:r>
          </w:p>
        </w:tc>
      </w:tr>
      <w:tr w:rsidR="0084730D" w:rsidRPr="00335C63" w14:paraId="1DA3706C" w14:textId="77777777" w:rsidTr="00997D20">
        <w:trPr>
          <w:cantSplit/>
          <w:jc w:val="center"/>
        </w:trPr>
        <w:tc>
          <w:tcPr>
            <w:tcW w:w="1564" w:type="pct"/>
            <w:tcMar>
              <w:top w:w="90" w:type="dxa"/>
              <w:left w:w="90" w:type="dxa"/>
              <w:bottom w:w="90" w:type="dxa"/>
              <w:right w:w="90" w:type="dxa"/>
            </w:tcMar>
            <w:vAlign w:val="center"/>
          </w:tcPr>
          <w:p w14:paraId="10BDAF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reason</w:t>
            </w:r>
          </w:p>
        </w:tc>
        <w:tc>
          <w:tcPr>
            <w:tcW w:w="1511" w:type="pct"/>
            <w:tcMar>
              <w:top w:w="90" w:type="dxa"/>
              <w:left w:w="90" w:type="dxa"/>
              <w:bottom w:w="90" w:type="dxa"/>
              <w:right w:w="90" w:type="dxa"/>
            </w:tcMar>
            <w:vAlign w:val="center"/>
          </w:tcPr>
          <w:p w14:paraId="57FF66E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Group free-text reasons into categories such as Cannot eradicate, </w:t>
            </w:r>
            <w:proofErr w:type="gramStart"/>
            <w:r w:rsidRPr="00335C63">
              <w:rPr>
                <w:rFonts w:ascii="Times New Roman" w:hAnsi="Times New Roman" w:cs="Times New Roman" w:eastAsia="Times New Roman"/>
                <w:sz w:val="21"/>
                <w:szCs w:val="24"/>
              </w:rPr>
              <w:t>Not</w:t>
            </w:r>
            <w:proofErr w:type="gramEnd"/>
            <w:r w:rsidRPr="00335C63">
              <w:rPr>
                <w:rFonts w:ascii="Times New Roman" w:hAnsi="Times New Roman" w:cs="Times New Roman" w:eastAsia="Times New Roman"/>
                <w:sz w:val="21"/>
                <w:szCs w:val="24"/>
              </w:rPr>
              <w:t xml:space="preserve"> satisfied, Billing issue, Late service, and Manual review</w:t>
            </w:r>
          </w:p>
        </w:tc>
        <w:tc>
          <w:tcPr>
            <w:tcW w:w="1926" w:type="pct"/>
            <w:tcMar>
              <w:top w:w="90" w:type="dxa"/>
              <w:left w:w="90" w:type="dxa"/>
              <w:bottom w:w="90" w:type="dxa"/>
              <w:right w:w="90" w:type="dxa"/>
            </w:tcMar>
            <w:vAlign w:val="center"/>
          </w:tcPr>
          <w:p w14:paraId="7C1A726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Ambiguous reasons are shown in root-cause analysis as Needs manual review</w:t>
            </w:r>
          </w:p>
        </w:tc>
      </w:tr>
      <w:tr w:rsidR="0084730D" w:rsidRPr="00335C63" w14:paraId="543718A3" w14:textId="77777777" w:rsidTr="00997D20">
        <w:trPr>
          <w:cantSplit/>
          <w:jc w:val="center"/>
        </w:trPr>
        <w:tc>
          <w:tcPr>
            <w:tcW w:w="1564" w:type="pct"/>
            <w:tcMar>
              <w:top w:w="90" w:type="dxa"/>
              <w:left w:w="90" w:type="dxa"/>
              <w:bottom w:w="90" w:type="dxa"/>
              <w:right w:w="90" w:type="dxa"/>
            </w:tcMar>
            <w:vAlign w:val="center"/>
          </w:tcPr>
          <w:p w14:paraId="221CB01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event</w:t>
            </w:r>
          </w:p>
        </w:tc>
        <w:tc>
          <w:tcPr>
            <w:tcW w:w="1511" w:type="pct"/>
            <w:tcMar>
              <w:top w:w="90" w:type="dxa"/>
              <w:left w:w="90" w:type="dxa"/>
              <w:bottom w:w="90" w:type="dxa"/>
              <w:right w:w="90" w:type="dxa"/>
            </w:tcMar>
            <w:vAlign w:val="center"/>
          </w:tcPr>
          <w:p w14:paraId="419BEF18" w14:textId="77777777" w:rsidR="0084730D" w:rsidRPr="00335C63" w:rsidRDefault="00357319" w:rsidP="000F4170">
            <w:pPr>
              <w:spacing w:after="6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1"/>
                <w:szCs w:val="24"/>
              </w:rPr>
              <w:t>Parse</w:t>
            </w:r>
            <w:proofErr w:type="gramEnd"/>
            <w:r w:rsidRPr="00335C63">
              <w:rPr>
                <w:rFonts w:ascii="Times New Roman" w:hAnsi="Times New Roman" w:cs="Times New Roman" w:eastAsia="Times New Roman"/>
                <w:sz w:val="21"/>
                <w:szCs w:val="24"/>
              </w:rPr>
              <w:t xml:space="preserve"> event title/description into New/Paid, Warranty, Extra, Follow-up, or Unknown</w:t>
            </w:r>
          </w:p>
        </w:tc>
        <w:tc>
          <w:tcPr>
            <w:tcW w:w="1926" w:type="pct"/>
            <w:tcMar>
              <w:top w:w="90" w:type="dxa"/>
              <w:left w:w="90" w:type="dxa"/>
              <w:bottom w:w="90" w:type="dxa"/>
              <w:right w:w="90" w:type="dxa"/>
            </w:tcMar>
            <w:vAlign w:val="center"/>
          </w:tcPr>
          <w:p w14:paraId="163040E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Unmatched or unknown events are kept in scheduling totals but excluded from service-quality attribution</w:t>
            </w:r>
          </w:p>
        </w:tc>
      </w:tr>
      <w:tr w:rsidR="0084730D" w:rsidRPr="00335C63" w14:paraId="688F2A31" w14:textId="77777777" w:rsidTr="00997D20">
        <w:trPr>
          <w:cantSplit/>
          <w:jc w:val="center"/>
        </w:trPr>
        <w:tc>
          <w:tcPr>
            <w:tcW w:w="1564" w:type="pct"/>
            <w:tcMar>
              <w:top w:w="90" w:type="dxa"/>
              <w:left w:w="90" w:type="dxa"/>
              <w:bottom w:w="90" w:type="dxa"/>
              <w:right w:w="90" w:type="dxa"/>
            </w:tcMar>
            <w:vAlign w:val="center"/>
          </w:tcPr>
          <w:p w14:paraId="60B917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match</w:t>
            </w:r>
          </w:p>
        </w:tc>
        <w:tc>
          <w:tcPr>
            <w:tcW w:w="1511" w:type="pct"/>
            <w:tcMar>
              <w:top w:w="90" w:type="dxa"/>
              <w:left w:w="90" w:type="dxa"/>
              <w:bottom w:w="90" w:type="dxa"/>
              <w:right w:w="90" w:type="dxa"/>
            </w:tcMar>
            <w:vAlign w:val="center"/>
          </w:tcPr>
          <w:p w14:paraId="37D7E2D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Attach service-date rainfall, humidity, and temperature using area/postcode centroid</w:t>
            </w:r>
          </w:p>
        </w:tc>
        <w:tc>
          <w:tcPr>
            <w:tcW w:w="1926" w:type="pct"/>
            <w:tcMar>
              <w:top w:w="90" w:type="dxa"/>
              <w:left w:w="90" w:type="dxa"/>
              <w:bottom w:w="90" w:type="dxa"/>
              <w:right w:w="90" w:type="dxa"/>
            </w:tcMar>
            <w:vAlign w:val="center"/>
          </w:tcPr>
          <w:p w14:paraId="7025789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Rows without weather match are kept with weather_data_status = Missing and excluded from weather-specific charts</w:t>
            </w:r>
          </w:p>
        </w:tc>
      </w:tr>
      <w:tr w:rsidR="00BB18A2" w14:paraId="7D26AE05" w14:textId="77777777">
        <w:trPr>
          <w:jc w:val="center"/>
        </w:trPr>
        <w:tc>
          <w:tcPr>
            <w:tcW w:w="2820" w:type="dxa"/>
            <w:vAlign w:val="center"/>
          </w:tcPr>
          <w:p w14:paraId="575279A2" w14:textId="77777777" w:rsidR="00BB18A2" w:rsidRDefault="00000000">
            <w:pPr>
              <w:spacing w:line="276" w:lineRule="auto" w:after="60"/>
              <w:jc w:val="left"/>
            </w:pPr>
            <w:r>
              <w:rPr>
                <w:rFonts w:ascii="Times New Roman" w:hAnsi="Times New Roman" w:eastAsia="Times New Roman" w:cs="Times New Roman"/>
                <w:sz w:val="21"/>
              </w:rPr>
              <w:t>Source columns</w:t>
            </w:r>
          </w:p>
        </w:tc>
        <w:tc>
          <w:tcPr>
            <w:tcW w:w="2725" w:type="dxa"/>
            <w:vAlign w:val="center"/>
          </w:tcPr>
          <w:p w14:paraId="121121E8" w14:textId="77777777" w:rsidR="00BB18A2" w:rsidRDefault="00000000">
            <w:pPr>
              <w:spacing w:line="276" w:lineRule="auto" w:after="60"/>
              <w:jc w:val="left"/>
            </w:pPr>
            <w:r>
              <w:rPr>
                <w:rFonts w:ascii="Times New Roman" w:hAnsi="Times New Roman" w:eastAsia="Times New Roman" w:cs="Times New Roman"/>
                <w:sz w:val="21"/>
              </w:rPr>
              <w:t>Map messy source column names to standard fields using flexible data contracts and alias dictionaries</w:t>
            </w:r>
          </w:p>
        </w:tc>
        <w:tc>
          <w:tcPr>
            <w:tcW w:w="3471" w:type="dxa"/>
            <w:vAlign w:val="center"/>
          </w:tcPr>
          <w:p w14:paraId="364E83E5" w14:textId="77777777" w:rsidR="00BB18A2" w:rsidRDefault="00000000">
            <w:pPr>
              <w:spacing w:line="276" w:lineRule="auto" w:after="60"/>
              <w:jc w:val="left"/>
            </w:pPr>
            <w:r>
              <w:rPr>
                <w:rFonts w:ascii="Times New Roman" w:hAnsi="Times New Roman" w:eastAsia="Times New Roman" w:cs="Times New Roman"/>
                <w:sz w:val="21"/>
              </w:rPr>
              <w:t>Missing critical fields are flagged as failed_data_contract; important/optional fields are warned but do not always block loading</w:t>
            </w:r>
          </w:p>
        </w:tc>
      </w:tr>
    </w:tbl>
    <w:p w14:paraId="4FEF011C" w14:textId="77777777" w:rsidR="0084730D" w:rsidRPr="00335C63" w:rsidRDefault="0084730D" w:rsidP="000F4170">
      <w:pPr>
        <w:spacing w:line="360" w:lineRule="auto" w:after="120"/>
        <w:jc w:val="left"/>
        <w:rPr>
          <w:rFonts w:ascii="Times New Roman" w:hAnsi="Times New Roman" w:cs="Times New Roman"/>
          <w:sz w:val="24"/>
          <w:szCs w:val="24"/>
        </w:rPr>
      </w:pPr>
    </w:p>
    <w:p w14:paraId="1F0A5C6D"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lastRenderedPageBreak/>
        <w:t>The project will use a conservative exclusion policy. Records are not silently deleted. They are first preserved in Bronze raw tables, then marked with validation flags such as invalid_date, duplicate_candidate, unmatched_customer, unknown_area, missing_weather, missing_required_field, failed_data_contract, or low_calendar_match_confidence. A record may be excluded from one analysis but still used in another if the required fields for that analysis are available.</w:t>
      </w:r>
    </w:p>
    <w:tbl>
      <w:tblPr>
        <w:tblStyle w:val="TableGrid"/>
        <w:tblW w:w="5000" w:type="pct"/>
        <w:jc w:val="center"/>
        <w:tblLook w:val="04A0" w:firstRow="1" w:lastRow="0" w:firstColumn="1" w:lastColumn="0" w:noHBand="0" w:noVBand="1"/>
      </w:tblPr>
      <w:tblGrid>
        <w:gridCol w:w="2973"/>
        <w:gridCol w:w="6043"/>
      </w:tblGrid>
      <w:tr w:rsidR="0084730D" w:rsidRPr="00335C63" w14:paraId="1ACFFEAC" w14:textId="77777777" w:rsidTr="00997D20">
        <w:trPr>
          <w:cantSplit/>
          <w:tblHeader/>
          <w:jc w:val="center"/>
        </w:trPr>
        <w:tc>
          <w:tcPr>
            <w:tcW w:w="1649" w:type="pct"/>
            <w:shd w:val="clear" w:color="auto" w:fill="E8F1FA"/>
            <w:tcMar>
              <w:top w:w="90" w:type="dxa"/>
              <w:left w:w="90" w:type="dxa"/>
              <w:bottom w:w="90" w:type="dxa"/>
              <w:right w:w="90" w:type="dxa"/>
            </w:tcMar>
            <w:vAlign w:val="center"/>
          </w:tcPr>
          <w:p w14:paraId="6B887F7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Data Quality Metric</w:t>
            </w:r>
          </w:p>
        </w:tc>
        <w:tc>
          <w:tcPr>
            <w:tcW w:w="3351" w:type="pct"/>
            <w:shd w:val="clear" w:color="auto" w:fill="E8F1FA"/>
            <w:tcMar>
              <w:top w:w="90" w:type="dxa"/>
              <w:left w:w="90" w:type="dxa"/>
              <w:bottom w:w="90" w:type="dxa"/>
              <w:right w:w="90" w:type="dxa"/>
            </w:tcMar>
            <w:vAlign w:val="center"/>
          </w:tcPr>
          <w:p w14:paraId="6E8FB9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47AD59AF" w14:textId="77777777" w:rsidTr="00997D20">
        <w:trPr>
          <w:cantSplit/>
          <w:jc w:val="center"/>
        </w:trPr>
        <w:tc>
          <w:tcPr>
            <w:tcW w:w="1649" w:type="pct"/>
            <w:tcMar>
              <w:top w:w="90" w:type="dxa"/>
              <w:left w:w="90" w:type="dxa"/>
              <w:bottom w:w="90" w:type="dxa"/>
              <w:right w:w="90" w:type="dxa"/>
            </w:tcMar>
            <w:vAlign w:val="center"/>
          </w:tcPr>
          <w:p w14:paraId="3869C91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Missing-value summary</w:t>
            </w:r>
          </w:p>
        </w:tc>
        <w:tc>
          <w:tcPr>
            <w:tcW w:w="3351" w:type="pct"/>
            <w:tcMar>
              <w:top w:w="90" w:type="dxa"/>
              <w:left w:w="90" w:type="dxa"/>
              <w:bottom w:w="90" w:type="dxa"/>
              <w:right w:w="90" w:type="dxa"/>
            </w:tcMar>
            <w:vAlign w:val="center"/>
          </w:tcPr>
          <w:p w14:paraId="4D54C24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which fields are incomplete by source and by column</w:t>
            </w:r>
          </w:p>
        </w:tc>
      </w:tr>
      <w:tr w:rsidR="0084730D" w:rsidRPr="00335C63" w14:paraId="302B3655" w14:textId="77777777" w:rsidTr="00997D20">
        <w:trPr>
          <w:cantSplit/>
          <w:jc w:val="center"/>
        </w:trPr>
        <w:tc>
          <w:tcPr>
            <w:tcW w:w="1649" w:type="pct"/>
            <w:tcMar>
              <w:top w:w="90" w:type="dxa"/>
              <w:left w:w="90" w:type="dxa"/>
              <w:bottom w:w="90" w:type="dxa"/>
              <w:right w:w="90" w:type="dxa"/>
            </w:tcMar>
            <w:vAlign w:val="center"/>
          </w:tcPr>
          <w:p w14:paraId="6056642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Duplicate-record count</w:t>
            </w:r>
          </w:p>
        </w:tc>
        <w:tc>
          <w:tcPr>
            <w:tcW w:w="3351" w:type="pct"/>
            <w:tcMar>
              <w:top w:w="90" w:type="dxa"/>
              <w:left w:w="90" w:type="dxa"/>
              <w:bottom w:w="90" w:type="dxa"/>
              <w:right w:w="90" w:type="dxa"/>
            </w:tcMar>
            <w:vAlign w:val="center"/>
          </w:tcPr>
          <w:p w14:paraId="6D4CA38C" w14:textId="77777777" w:rsidR="0084730D" w:rsidRPr="00335C63" w:rsidRDefault="00357319" w:rsidP="000F4170">
            <w:pPr>
              <w:spacing w:after="60" w:line="276" w:lineRule="auto"/>
              <w:jc w:val="left"/>
              <w:rPr>
                <w:rFonts w:ascii="Times New Roman" w:hAnsi="Times New Roman" w:cs="Times New Roman"/>
                <w:sz w:val="24"/>
                <w:szCs w:val="24"/>
              </w:rPr>
            </w:pPr>
            <w:proofErr w:type="gramStart"/>
            <w:r w:rsidRPr="00335C63">
              <w:rPr>
                <w:rFonts w:ascii="Times New Roman" w:hAnsi="Times New Roman" w:cs="Times New Roman" w:eastAsia="Times New Roman"/>
                <w:sz w:val="21"/>
                <w:szCs w:val="24"/>
              </w:rPr>
              <w:t>Identifies</w:t>
            </w:r>
            <w:proofErr w:type="gramEnd"/>
            <w:r w:rsidRPr="00335C63">
              <w:rPr>
                <w:rFonts w:ascii="Times New Roman" w:hAnsi="Times New Roman" w:cs="Times New Roman" w:eastAsia="Times New Roman"/>
                <w:sz w:val="21"/>
                <w:szCs w:val="24"/>
              </w:rPr>
              <w:t xml:space="preserve"> repeated customers, services, payments, claims, or calendar rows</w:t>
            </w:r>
          </w:p>
        </w:tc>
      </w:tr>
      <w:tr w:rsidR="0084730D" w:rsidRPr="00335C63" w14:paraId="454F9178" w14:textId="77777777" w:rsidTr="00997D20">
        <w:trPr>
          <w:cantSplit/>
          <w:jc w:val="center"/>
        </w:trPr>
        <w:tc>
          <w:tcPr>
            <w:tcW w:w="1649" w:type="pct"/>
            <w:tcMar>
              <w:top w:w="90" w:type="dxa"/>
              <w:left w:w="90" w:type="dxa"/>
              <w:bottom w:w="90" w:type="dxa"/>
              <w:right w:w="90" w:type="dxa"/>
            </w:tcMar>
            <w:vAlign w:val="center"/>
          </w:tcPr>
          <w:p w14:paraId="04D03A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Invalid-date count</w:t>
            </w:r>
          </w:p>
        </w:tc>
        <w:tc>
          <w:tcPr>
            <w:tcW w:w="3351" w:type="pct"/>
            <w:tcMar>
              <w:top w:w="90" w:type="dxa"/>
              <w:left w:w="90" w:type="dxa"/>
              <w:bottom w:w="90" w:type="dxa"/>
              <w:right w:w="90" w:type="dxa"/>
            </w:tcMar>
            <w:vAlign w:val="center"/>
          </w:tcPr>
          <w:p w14:paraId="43523F3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Prevents broken time trends and recurrence calculations</w:t>
            </w:r>
          </w:p>
        </w:tc>
      </w:tr>
      <w:tr w:rsidR="0084730D" w:rsidRPr="00335C63" w14:paraId="22A6B49D" w14:textId="77777777" w:rsidTr="00997D20">
        <w:trPr>
          <w:cantSplit/>
          <w:jc w:val="center"/>
        </w:trPr>
        <w:tc>
          <w:tcPr>
            <w:tcW w:w="1649" w:type="pct"/>
            <w:tcMar>
              <w:top w:w="90" w:type="dxa"/>
              <w:left w:w="90" w:type="dxa"/>
              <w:bottom w:w="90" w:type="dxa"/>
              <w:right w:w="90" w:type="dxa"/>
            </w:tcMar>
            <w:vAlign w:val="center"/>
          </w:tcPr>
          <w:p w14:paraId="188C91C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Unmatched-customer count</w:t>
            </w:r>
          </w:p>
        </w:tc>
        <w:tc>
          <w:tcPr>
            <w:tcW w:w="3351" w:type="pct"/>
            <w:tcMar>
              <w:top w:w="90" w:type="dxa"/>
              <w:left w:w="90" w:type="dxa"/>
              <w:bottom w:w="90" w:type="dxa"/>
              <w:right w:w="90" w:type="dxa"/>
            </w:tcMar>
            <w:vAlign w:val="center"/>
          </w:tcPr>
          <w:p w14:paraId="63C1F37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records that cannot be joined confidently across sheets</w:t>
            </w:r>
          </w:p>
        </w:tc>
      </w:tr>
      <w:tr w:rsidR="0084730D" w:rsidRPr="00335C63" w14:paraId="178FCD97" w14:textId="77777777" w:rsidTr="00997D20">
        <w:trPr>
          <w:cantSplit/>
          <w:jc w:val="center"/>
        </w:trPr>
        <w:tc>
          <w:tcPr>
            <w:tcW w:w="1649" w:type="pct"/>
            <w:tcMar>
              <w:top w:w="90" w:type="dxa"/>
              <w:left w:w="90" w:type="dxa"/>
              <w:bottom w:w="90" w:type="dxa"/>
              <w:right w:w="90" w:type="dxa"/>
            </w:tcMar>
            <w:vAlign w:val="center"/>
          </w:tcPr>
          <w:p w14:paraId="706BB95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 match confidence</w:t>
            </w:r>
          </w:p>
        </w:tc>
        <w:tc>
          <w:tcPr>
            <w:tcW w:w="3351" w:type="pct"/>
            <w:tcMar>
              <w:top w:w="90" w:type="dxa"/>
              <w:left w:w="90" w:type="dxa"/>
              <w:bottom w:w="90" w:type="dxa"/>
              <w:right w:w="90" w:type="dxa"/>
            </w:tcMar>
            <w:vAlign w:val="center"/>
          </w:tcPr>
          <w:p w14:paraId="6FB1EA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Indicates whether spatial analysis is based on strong or approximate location matching</w:t>
            </w:r>
          </w:p>
        </w:tc>
      </w:tr>
      <w:tr w:rsidR="0084730D" w:rsidRPr="00335C63" w14:paraId="26B7E2AF" w14:textId="77777777" w:rsidTr="00997D20">
        <w:trPr>
          <w:cantSplit/>
          <w:jc w:val="center"/>
        </w:trPr>
        <w:tc>
          <w:tcPr>
            <w:tcW w:w="1649" w:type="pct"/>
            <w:tcMar>
              <w:top w:w="90" w:type="dxa"/>
              <w:left w:w="90" w:type="dxa"/>
              <w:bottom w:w="90" w:type="dxa"/>
              <w:right w:w="90" w:type="dxa"/>
            </w:tcMar>
            <w:vAlign w:val="center"/>
          </w:tcPr>
          <w:p w14:paraId="02CED4D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Weather-enrichment coverage</w:t>
            </w:r>
          </w:p>
        </w:tc>
        <w:tc>
          <w:tcPr>
            <w:tcW w:w="3351" w:type="pct"/>
            <w:tcMar>
              <w:top w:w="90" w:type="dxa"/>
              <w:left w:w="90" w:type="dxa"/>
              <w:bottom w:w="90" w:type="dxa"/>
              <w:right w:w="90" w:type="dxa"/>
            </w:tcMar>
            <w:vAlign w:val="center"/>
          </w:tcPr>
          <w:p w14:paraId="53C77A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the percentage of service records with matched rainfall/humidity/temperature</w:t>
            </w:r>
          </w:p>
        </w:tc>
      </w:tr>
      <w:tr w:rsidR="0084730D" w:rsidRPr="00335C63" w14:paraId="00C397EE" w14:textId="77777777" w:rsidTr="00997D20">
        <w:trPr>
          <w:cantSplit/>
          <w:jc w:val="center"/>
        </w:trPr>
        <w:tc>
          <w:tcPr>
            <w:tcW w:w="1649" w:type="pct"/>
            <w:tcMar>
              <w:top w:w="90" w:type="dxa"/>
              <w:left w:w="90" w:type="dxa"/>
              <w:bottom w:w="90" w:type="dxa"/>
              <w:right w:w="90" w:type="dxa"/>
            </w:tcMar>
            <w:vAlign w:val="center"/>
          </w:tcPr>
          <w:p w14:paraId="778011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matching confidence</w:t>
            </w:r>
          </w:p>
        </w:tc>
        <w:tc>
          <w:tcPr>
            <w:tcW w:w="3351" w:type="pct"/>
            <w:tcMar>
              <w:top w:w="90" w:type="dxa"/>
              <w:left w:w="90" w:type="dxa"/>
              <w:bottom w:w="90" w:type="dxa"/>
              <w:right w:w="90" w:type="dxa"/>
            </w:tcMar>
            <w:vAlign w:val="center"/>
          </w:tcPr>
          <w:p w14:paraId="072DBD4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Shows how reliable the service-to-calendar linkage is</w:t>
            </w:r>
          </w:p>
        </w:tc>
      </w:tr>
      <w:tr w:rsidR="00BB18A2" w14:paraId="3A6B4AD0" w14:textId="77777777">
        <w:trPr>
          <w:jc w:val="center"/>
        </w:trPr>
        <w:tc>
          <w:tcPr>
            <w:tcW w:w="2973" w:type="dxa"/>
            <w:vAlign w:val="center"/>
          </w:tcPr>
          <w:p w14:paraId="6AA822FB" w14:textId="77777777" w:rsidR="00BB18A2" w:rsidRDefault="00000000">
            <w:pPr>
              <w:spacing w:line="276" w:lineRule="auto" w:after="60"/>
              <w:jc w:val="left"/>
            </w:pPr>
            <w:r>
              <w:rPr>
                <w:rFonts w:ascii="Times New Roman" w:hAnsi="Times New Roman" w:eastAsia="Times New Roman" w:cs="Times New Roman"/>
                <w:sz w:val="21"/>
              </w:rPr>
              <w:t>Flexible data contract status</w:t>
            </w:r>
          </w:p>
        </w:tc>
        <w:tc>
          <w:tcPr>
            <w:tcW w:w="6043" w:type="dxa"/>
            <w:vAlign w:val="center"/>
          </w:tcPr>
          <w:p w14:paraId="4F52E6C1" w14:textId="77777777" w:rsidR="00BB18A2" w:rsidRDefault="00000000">
            <w:pPr>
              <w:spacing w:line="276" w:lineRule="auto" w:after="60"/>
              <w:jc w:val="left"/>
            </w:pPr>
            <w:r>
              <w:rPr>
                <w:rFonts w:ascii="Times New Roman" w:hAnsi="Times New Roman" w:eastAsia="Times New Roman" w:cs="Times New Roman"/>
                <w:sz w:val="21"/>
              </w:rPr>
              <w:t>Shows whether required business fields were mapped successfully for each source</w:t>
            </w:r>
          </w:p>
        </w:tc>
      </w:tr>
      <w:tr w:rsidR="00BB18A2" w14:paraId="639A46A0" w14:textId="77777777">
        <w:trPr>
          <w:jc w:val="center"/>
        </w:trPr>
        <w:tc>
          <w:tcPr>
            <w:tcW w:w="2973" w:type="dxa"/>
            <w:vAlign w:val="center"/>
          </w:tcPr>
          <w:p w14:paraId="4121D917" w14:textId="77777777" w:rsidR="00BB18A2" w:rsidRDefault="00000000">
            <w:pPr>
              <w:spacing w:line="276" w:lineRule="auto" w:after="60"/>
              <w:jc w:val="left"/>
            </w:pPr>
            <w:r>
              <w:rPr>
                <w:rFonts w:ascii="Times New Roman" w:hAnsi="Times New Roman" w:eastAsia="Times New Roman" w:cs="Times New Roman"/>
                <w:sz w:val="21"/>
              </w:rPr>
              <w:t>dbt test result summary</w:t>
            </w:r>
          </w:p>
        </w:tc>
        <w:tc>
          <w:tcPr>
            <w:tcW w:w="6043" w:type="dxa"/>
            <w:vAlign w:val="center"/>
          </w:tcPr>
          <w:p w14:paraId="4A9224CA" w14:textId="77777777" w:rsidR="00BB18A2" w:rsidRDefault="00000000">
            <w:pPr>
              <w:spacing w:line="276" w:lineRule="auto" w:after="60"/>
              <w:jc w:val="left"/>
            </w:pPr>
            <w:r>
              <w:rPr>
                <w:rFonts w:ascii="Times New Roman" w:hAnsi="Times New Roman" w:eastAsia="Times New Roman" w:cs="Times New Roman"/>
                <w:sz w:val="21"/>
              </w:rPr>
              <w:t>Shows failed not-null, unique, accepted-value, or relationship tests</w:t>
            </w:r>
          </w:p>
        </w:tc>
      </w:tr>
      <w:tr w:rsidR="00BB18A2" w14:paraId="7A64E83A" w14:textId="77777777">
        <w:trPr>
          <w:jc w:val="center"/>
        </w:trPr>
        <w:tc>
          <w:tcPr>
            <w:tcW w:w="2973" w:type="dxa"/>
            <w:vAlign w:val="center"/>
          </w:tcPr>
          <w:p w14:paraId="309461E2" w14:textId="77777777" w:rsidR="00BB18A2" w:rsidRDefault="00000000">
            <w:pPr>
              <w:spacing w:line="276" w:lineRule="auto" w:after="60"/>
              <w:jc w:val="left"/>
            </w:pPr>
            <w:r>
              <w:rPr>
                <w:rFonts w:ascii="Times New Roman" w:hAnsi="Times New Roman" w:eastAsia="Times New Roman" w:cs="Times New Roman"/>
                <w:sz w:val="21"/>
              </w:rPr>
              <w:t>Pipeline run status</w:t>
            </w:r>
          </w:p>
        </w:tc>
        <w:tc>
          <w:tcPr>
            <w:tcW w:w="6043" w:type="dxa"/>
            <w:vAlign w:val="center"/>
          </w:tcPr>
          <w:p w14:paraId="477BFB4F" w14:textId="77777777" w:rsidR="00BB18A2" w:rsidRDefault="00000000">
            <w:pPr>
              <w:spacing w:line="276" w:lineRule="auto" w:after="60"/>
              <w:jc w:val="left"/>
            </w:pPr>
            <w:r>
              <w:rPr>
                <w:rFonts w:ascii="Times New Roman" w:hAnsi="Times New Roman" w:eastAsia="Times New Roman" w:cs="Times New Roman"/>
                <w:sz w:val="21"/>
              </w:rPr>
              <w:t>Shows Airflow run time, success/failure state, rows loaded, rows failed, and latest refresh time</w:t>
            </w:r>
          </w:p>
        </w:tc>
      </w:tr>
      <w:tr w:rsidR="00BB18A2" w14:paraId="3E21808F" w14:textId="77777777">
        <w:trPr>
          <w:jc w:val="center"/>
        </w:trPr>
        <w:tc>
          <w:tcPr>
            <w:tcW w:w="2973" w:type="dxa"/>
            <w:vAlign w:val="center"/>
          </w:tcPr>
          <w:p w14:paraId="0C2DF3CE" w14:textId="77777777" w:rsidR="00BB18A2" w:rsidRDefault="00000000">
            <w:pPr>
              <w:spacing w:line="276" w:lineRule="auto" w:after="60"/>
              <w:jc w:val="left"/>
            </w:pPr>
            <w:r>
              <w:rPr>
                <w:rFonts w:ascii="Times New Roman" w:hAnsi="Times New Roman" w:eastAsia="Times New Roman" w:cs="Times New Roman"/>
                <w:sz w:val="21"/>
              </w:rPr>
              <w:t>Lineage coverage</w:t>
            </w:r>
          </w:p>
        </w:tc>
        <w:tc>
          <w:tcPr>
            <w:tcW w:w="6043" w:type="dxa"/>
            <w:vAlign w:val="center"/>
          </w:tcPr>
          <w:p w14:paraId="59EEEDB1" w14:textId="77777777" w:rsidR="00BB18A2" w:rsidRDefault="00000000">
            <w:pPr>
              <w:spacing w:line="276" w:lineRule="auto" w:after="60"/>
              <w:jc w:val="left"/>
            </w:pPr>
            <w:r>
              <w:rPr>
                <w:rFonts w:ascii="Times New Roman" w:hAnsi="Times New Roman" w:eastAsia="Times New Roman" w:cs="Times New Roman"/>
                <w:sz w:val="21"/>
              </w:rPr>
              <w:t>Shows whether dashboard marts can be traced back to source and transformation models</w:t>
            </w:r>
          </w:p>
        </w:tc>
      </w:tr>
    </w:tbl>
    <w:p w14:paraId="264DBEF3" w14:textId="77777777" w:rsidR="0084730D" w:rsidRPr="00335C63" w:rsidRDefault="0084730D" w:rsidP="000F4170">
      <w:pPr>
        <w:spacing w:line="360" w:lineRule="auto" w:after="120"/>
        <w:jc w:val="left"/>
        <w:rPr>
          <w:rFonts w:ascii="Times New Roman" w:hAnsi="Times New Roman" w:cs="Times New Roman"/>
          <w:sz w:val="24"/>
          <w:szCs w:val="24"/>
        </w:rPr>
      </w:pPr>
    </w:p>
    <w:p w14:paraId="0FA33152"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3.6 Analytics Methods</w:t>
      </w:r>
    </w:p>
    <w:p w14:paraId="02A7BD62" w14:textId="77777777" w:rsidR="00984EB3" w:rsidRPr="008D6A1A" w:rsidRDefault="003C0C08"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 xml:space="preserve">Following the AI/ML methodology guide, the CP2 workflow will combine data engineering and analytics. The data engineering lifecycle covers source profiling, extraction, Bronze loading, dbt </w:t>
      </w:r>
      <w:r>
        <w:rPr>
          <w:rFonts w:ascii="Times New Roman" w:hAnsi="Times New Roman" w:eastAsia="Times New Roman" w:cs="Times New Roman"/>
          <w:sz w:val="24"/>
        </w:rPr>
        <w:lastRenderedPageBreak/>
        <w:t>transformation, data testing, lineage documentation, pipeline logging, and scheduled orchestration. The analytics lifecycle then uses the trusted Gold marts for customer, area, warranty, recurrence, weather, hotspot, upsell, and recommendation outputs.</w:t>
      </w:r>
    </w:p>
    <w:tbl>
      <w:tblPr>
        <w:tblStyle w:val="TableGrid"/>
        <w:tblW w:w="5000" w:type="pct"/>
        <w:jc w:val="center"/>
        <w:tblLook w:val="04A0" w:firstRow="1" w:lastRow="0" w:firstColumn="1" w:lastColumn="0" w:noHBand="0" w:noVBand="1"/>
      </w:tblPr>
      <w:tblGrid>
        <w:gridCol w:w="2793"/>
        <w:gridCol w:w="2921"/>
        <w:gridCol w:w="3302"/>
      </w:tblGrid>
      <w:tr w:rsidR="0084730D" w:rsidRPr="00335C63" w14:paraId="2793911F" w14:textId="77777777" w:rsidTr="00997D20">
        <w:trPr>
          <w:cantSplit/>
          <w:tblHeader/>
          <w:jc w:val="center"/>
        </w:trPr>
        <w:tc>
          <w:tcPr>
            <w:tcW w:w="1549" w:type="pct"/>
            <w:shd w:val="clear" w:color="auto" w:fill="E8F1FA"/>
            <w:tcMar>
              <w:top w:w="90" w:type="dxa"/>
              <w:left w:w="90" w:type="dxa"/>
              <w:bottom w:w="90" w:type="dxa"/>
              <w:right w:w="90" w:type="dxa"/>
            </w:tcMar>
            <w:vAlign w:val="center"/>
          </w:tcPr>
          <w:p w14:paraId="7818FA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Question</w:t>
            </w:r>
          </w:p>
        </w:tc>
        <w:tc>
          <w:tcPr>
            <w:tcW w:w="1620" w:type="pct"/>
            <w:shd w:val="clear" w:color="auto" w:fill="E8F1FA"/>
            <w:tcMar>
              <w:top w:w="90" w:type="dxa"/>
              <w:left w:w="90" w:type="dxa"/>
              <w:bottom w:w="90" w:type="dxa"/>
              <w:right w:w="90" w:type="dxa"/>
            </w:tcMar>
            <w:vAlign w:val="center"/>
          </w:tcPr>
          <w:p w14:paraId="71536B1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Method</w:t>
            </w:r>
          </w:p>
        </w:tc>
        <w:tc>
          <w:tcPr>
            <w:tcW w:w="1831" w:type="pct"/>
            <w:shd w:val="clear" w:color="auto" w:fill="E8F1FA"/>
            <w:tcMar>
              <w:top w:w="90" w:type="dxa"/>
              <w:left w:w="90" w:type="dxa"/>
              <w:bottom w:w="90" w:type="dxa"/>
              <w:right w:w="90" w:type="dxa"/>
            </w:tcMar>
            <w:vAlign w:val="center"/>
          </w:tcPr>
          <w:p w14:paraId="283F83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Output</w:t>
            </w:r>
          </w:p>
        </w:tc>
      </w:tr>
      <w:tr w:rsidR="0084730D" w:rsidRPr="00335C63" w14:paraId="34B7079C" w14:textId="77777777" w:rsidTr="00997D20">
        <w:trPr>
          <w:cantSplit/>
          <w:jc w:val="center"/>
        </w:trPr>
        <w:tc>
          <w:tcPr>
            <w:tcW w:w="1549" w:type="pct"/>
            <w:tcMar>
              <w:top w:w="90" w:type="dxa"/>
              <w:left w:w="90" w:type="dxa"/>
              <w:bottom w:w="90" w:type="dxa"/>
              <w:right w:w="90" w:type="dxa"/>
            </w:tcMar>
            <w:vAlign w:val="center"/>
          </w:tcPr>
          <w:p w14:paraId="63330E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What happened?</w:t>
            </w:r>
          </w:p>
        </w:tc>
        <w:tc>
          <w:tcPr>
            <w:tcW w:w="1620" w:type="pct"/>
            <w:tcMar>
              <w:top w:w="90" w:type="dxa"/>
              <w:left w:w="90" w:type="dxa"/>
              <w:bottom w:w="90" w:type="dxa"/>
              <w:right w:w="90" w:type="dxa"/>
            </w:tcMar>
            <w:vAlign w:val="center"/>
          </w:tcPr>
          <w:p w14:paraId="38BA867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Descriptive BI by day/week/month</w:t>
            </w:r>
          </w:p>
        </w:tc>
        <w:tc>
          <w:tcPr>
            <w:tcW w:w="1831" w:type="pct"/>
            <w:tcMar>
              <w:top w:w="90" w:type="dxa"/>
              <w:left w:w="90" w:type="dxa"/>
              <w:bottom w:w="90" w:type="dxa"/>
              <w:right w:w="90" w:type="dxa"/>
            </w:tcMar>
            <w:vAlign w:val="center"/>
          </w:tcPr>
          <w:p w14:paraId="66C528B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KPIs, trends, ranking tables, distributions</w:t>
            </w:r>
          </w:p>
        </w:tc>
      </w:tr>
      <w:tr w:rsidR="0084730D" w:rsidRPr="00335C63" w14:paraId="177286F1" w14:textId="77777777" w:rsidTr="00997D20">
        <w:trPr>
          <w:cantSplit/>
          <w:jc w:val="center"/>
        </w:trPr>
        <w:tc>
          <w:tcPr>
            <w:tcW w:w="1549" w:type="pct"/>
            <w:tcMar>
              <w:top w:w="90" w:type="dxa"/>
              <w:left w:w="90" w:type="dxa"/>
              <w:bottom w:w="90" w:type="dxa"/>
              <w:right w:w="90" w:type="dxa"/>
            </w:tcMar>
            <w:vAlign w:val="center"/>
          </w:tcPr>
          <w:p w14:paraId="6CABC86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Where are repeat problems concentrated?</w:t>
            </w:r>
          </w:p>
        </w:tc>
        <w:tc>
          <w:tcPr>
            <w:tcW w:w="1620" w:type="pct"/>
            <w:tcMar>
              <w:top w:w="90" w:type="dxa"/>
              <w:left w:w="90" w:type="dxa"/>
              <w:bottom w:w="90" w:type="dxa"/>
              <w:right w:w="90" w:type="dxa"/>
            </w:tcMar>
            <w:vAlign w:val="center"/>
          </w:tcPr>
          <w:p w14:paraId="15351F3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DBSCAN-style spatial clustering plus KDE heatmap visualization</w:t>
            </w:r>
          </w:p>
        </w:tc>
        <w:tc>
          <w:tcPr>
            <w:tcW w:w="1831" w:type="pct"/>
            <w:tcMar>
              <w:top w:w="90" w:type="dxa"/>
              <w:left w:w="90" w:type="dxa"/>
              <w:bottom w:w="90" w:type="dxa"/>
              <w:right w:w="90" w:type="dxa"/>
            </w:tcMar>
            <w:vAlign w:val="center"/>
          </w:tcPr>
          <w:p w14:paraId="31FB798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clusters and density map</w:t>
            </w:r>
          </w:p>
        </w:tc>
      </w:tr>
      <w:tr w:rsidR="0084730D" w:rsidRPr="00335C63" w14:paraId="3A44690F" w14:textId="77777777" w:rsidTr="00997D20">
        <w:trPr>
          <w:cantSplit/>
          <w:jc w:val="center"/>
        </w:trPr>
        <w:tc>
          <w:tcPr>
            <w:tcW w:w="1549" w:type="pct"/>
            <w:tcMar>
              <w:top w:w="90" w:type="dxa"/>
              <w:left w:w="90" w:type="dxa"/>
              <w:bottom w:w="90" w:type="dxa"/>
              <w:right w:w="90" w:type="dxa"/>
            </w:tcMar>
            <w:vAlign w:val="center"/>
          </w:tcPr>
          <w:p w14:paraId="1FAF7C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When do </w:t>
            </w:r>
            <w:proofErr w:type="gramStart"/>
            <w:r w:rsidRPr="00335C63">
              <w:rPr>
                <w:rFonts w:ascii="Times New Roman" w:hAnsi="Times New Roman" w:cs="Times New Roman" w:eastAsia="Times New Roman"/>
                <w:sz w:val="21"/>
                <w:szCs w:val="24"/>
              </w:rPr>
              <w:t>pest</w:t>
            </w:r>
            <w:proofErr w:type="gramEnd"/>
            <w:r w:rsidRPr="00335C63">
              <w:rPr>
                <w:rFonts w:ascii="Times New Roman" w:hAnsi="Times New Roman" w:cs="Times New Roman" w:eastAsia="Times New Roman"/>
                <w:sz w:val="21"/>
                <w:szCs w:val="24"/>
              </w:rPr>
              <w:t xml:space="preserve"> issues recur?</w:t>
            </w:r>
          </w:p>
        </w:tc>
        <w:tc>
          <w:tcPr>
            <w:tcW w:w="1620" w:type="pct"/>
            <w:tcMar>
              <w:top w:w="90" w:type="dxa"/>
              <w:left w:w="90" w:type="dxa"/>
              <w:bottom w:w="90" w:type="dxa"/>
              <w:right w:w="90" w:type="dxa"/>
            </w:tcMar>
            <w:vAlign w:val="center"/>
          </w:tcPr>
          <w:p w14:paraId="2A5884D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Days-to-recurrence and interval comparison</w:t>
            </w:r>
          </w:p>
        </w:tc>
        <w:tc>
          <w:tcPr>
            <w:tcW w:w="1831" w:type="pct"/>
            <w:tcMar>
              <w:top w:w="90" w:type="dxa"/>
              <w:left w:w="90" w:type="dxa"/>
              <w:bottom w:w="90" w:type="dxa"/>
              <w:right w:w="90" w:type="dxa"/>
            </w:tcMar>
            <w:vAlign w:val="center"/>
          </w:tcPr>
          <w:p w14:paraId="20ECDF6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Average/median recurrence windows and recurrence buckets</w:t>
            </w:r>
          </w:p>
        </w:tc>
      </w:tr>
      <w:tr w:rsidR="0084730D" w:rsidRPr="00335C63" w14:paraId="085797E1" w14:textId="77777777" w:rsidTr="00997D20">
        <w:trPr>
          <w:cantSplit/>
          <w:jc w:val="center"/>
        </w:trPr>
        <w:tc>
          <w:tcPr>
            <w:tcW w:w="1549" w:type="pct"/>
            <w:tcMar>
              <w:top w:w="90" w:type="dxa"/>
              <w:left w:w="90" w:type="dxa"/>
              <w:bottom w:w="90" w:type="dxa"/>
              <w:right w:w="90" w:type="dxa"/>
            </w:tcMar>
            <w:vAlign w:val="center"/>
          </w:tcPr>
          <w:p w14:paraId="6D7F46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Is weather associated with higher warranty/repeat risk?</w:t>
            </w:r>
          </w:p>
        </w:tc>
        <w:tc>
          <w:tcPr>
            <w:tcW w:w="1620" w:type="pct"/>
            <w:tcMar>
              <w:top w:w="90" w:type="dxa"/>
              <w:left w:w="90" w:type="dxa"/>
              <w:bottom w:w="90" w:type="dxa"/>
              <w:right w:w="90" w:type="dxa"/>
            </w:tcMar>
            <w:vAlign w:val="center"/>
          </w:tcPr>
          <w:p w14:paraId="46B0611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Rainfall time-lag features, correlation review, and logistic regression if data is sufficient</w:t>
            </w:r>
          </w:p>
        </w:tc>
        <w:tc>
          <w:tcPr>
            <w:tcW w:w="1831" w:type="pct"/>
            <w:tcMar>
              <w:top w:w="90" w:type="dxa"/>
              <w:left w:w="90" w:type="dxa"/>
              <w:bottom w:w="90" w:type="dxa"/>
              <w:right w:w="90" w:type="dxa"/>
            </w:tcMar>
            <w:vAlign w:val="center"/>
          </w:tcPr>
          <w:p w14:paraId="778A1BC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Weather-associated indicators and risk probabilities</w:t>
            </w:r>
          </w:p>
        </w:tc>
      </w:tr>
      <w:tr w:rsidR="0084730D" w:rsidRPr="00335C63" w14:paraId="2E5C85B3" w14:textId="77777777" w:rsidTr="00997D20">
        <w:trPr>
          <w:cantSplit/>
          <w:jc w:val="center"/>
        </w:trPr>
        <w:tc>
          <w:tcPr>
            <w:tcW w:w="1549" w:type="pct"/>
            <w:tcMar>
              <w:top w:w="90" w:type="dxa"/>
              <w:left w:w="90" w:type="dxa"/>
              <w:bottom w:w="90" w:type="dxa"/>
              <w:right w:w="90" w:type="dxa"/>
            </w:tcMar>
            <w:vAlign w:val="center"/>
          </w:tcPr>
          <w:p w14:paraId="236A41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Which areas are harder to treat?</w:t>
            </w:r>
          </w:p>
        </w:tc>
        <w:tc>
          <w:tcPr>
            <w:tcW w:w="1620" w:type="pct"/>
            <w:tcMar>
              <w:top w:w="90" w:type="dxa"/>
              <w:left w:w="90" w:type="dxa"/>
              <w:bottom w:w="90" w:type="dxa"/>
              <w:right w:w="90" w:type="dxa"/>
            </w:tcMar>
            <w:vAlign w:val="center"/>
          </w:tcPr>
          <w:p w14:paraId="3E5C85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Weighted treatment difficulty index</w:t>
            </w:r>
          </w:p>
        </w:tc>
        <w:tc>
          <w:tcPr>
            <w:tcW w:w="1831" w:type="pct"/>
            <w:tcMar>
              <w:top w:w="90" w:type="dxa"/>
              <w:left w:w="90" w:type="dxa"/>
              <w:bottom w:w="90" w:type="dxa"/>
              <w:right w:w="90" w:type="dxa"/>
            </w:tcMar>
            <w:vAlign w:val="center"/>
          </w:tcPr>
          <w:p w14:paraId="7E8AD00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Area/pest/team difficulty level and planning action</w:t>
            </w:r>
          </w:p>
        </w:tc>
      </w:tr>
      <w:tr w:rsidR="0084730D" w:rsidRPr="00335C63" w14:paraId="33E7ADD7" w14:textId="77777777" w:rsidTr="00997D20">
        <w:trPr>
          <w:cantSplit/>
          <w:jc w:val="center"/>
        </w:trPr>
        <w:tc>
          <w:tcPr>
            <w:tcW w:w="1549" w:type="pct"/>
            <w:tcMar>
              <w:top w:w="90" w:type="dxa"/>
              <w:left w:w="90" w:type="dxa"/>
              <w:bottom w:w="90" w:type="dxa"/>
              <w:right w:w="90" w:type="dxa"/>
            </w:tcMar>
            <w:vAlign w:val="center"/>
          </w:tcPr>
          <w:p w14:paraId="2E81EAF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Which package fits which customer group?</w:t>
            </w:r>
          </w:p>
        </w:tc>
        <w:tc>
          <w:tcPr>
            <w:tcW w:w="1620" w:type="pct"/>
            <w:tcMar>
              <w:top w:w="90" w:type="dxa"/>
              <w:left w:w="90" w:type="dxa"/>
              <w:bottom w:w="90" w:type="dxa"/>
              <w:right w:w="90" w:type="dxa"/>
            </w:tcMar>
            <w:vAlign w:val="center"/>
          </w:tcPr>
          <w:p w14:paraId="49209FE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Frequency and revenue-based package-fit matrix</w:t>
            </w:r>
          </w:p>
        </w:tc>
        <w:tc>
          <w:tcPr>
            <w:tcW w:w="1831" w:type="pct"/>
            <w:tcMar>
              <w:top w:w="90" w:type="dxa"/>
              <w:left w:w="90" w:type="dxa"/>
              <w:bottom w:w="90" w:type="dxa"/>
              <w:right w:w="90" w:type="dxa"/>
            </w:tcMar>
            <w:vAlign w:val="center"/>
          </w:tcPr>
          <w:p w14:paraId="03A389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Recommended </w:t>
            </w:r>
            <w:proofErr w:type="gramStart"/>
            <w:r w:rsidRPr="00335C63">
              <w:rPr>
                <w:rFonts w:ascii="Times New Roman" w:hAnsi="Times New Roman" w:cs="Times New Roman" w:eastAsia="Times New Roman"/>
                <w:sz w:val="21"/>
                <w:szCs w:val="24"/>
              </w:rPr>
              <w:t>upsell</w:t>
            </w:r>
            <w:proofErr w:type="gramEnd"/>
            <w:r w:rsidRPr="00335C63">
              <w:rPr>
                <w:rFonts w:ascii="Times New Roman" w:hAnsi="Times New Roman" w:cs="Times New Roman" w:eastAsia="Times New Roman"/>
                <w:sz w:val="21"/>
                <w:szCs w:val="24"/>
              </w:rPr>
              <w:t xml:space="preserve"> package by customer/pest/area segment</w:t>
            </w:r>
          </w:p>
        </w:tc>
      </w:tr>
      <w:tr w:rsidR="0084730D" w:rsidRPr="00335C63" w14:paraId="618349FE" w14:textId="77777777" w:rsidTr="00997D20">
        <w:trPr>
          <w:cantSplit/>
          <w:jc w:val="center"/>
        </w:trPr>
        <w:tc>
          <w:tcPr>
            <w:tcW w:w="1549" w:type="pct"/>
            <w:tcMar>
              <w:top w:w="90" w:type="dxa"/>
              <w:left w:w="90" w:type="dxa"/>
              <w:bottom w:w="90" w:type="dxa"/>
              <w:right w:w="90" w:type="dxa"/>
            </w:tcMar>
            <w:vAlign w:val="center"/>
          </w:tcPr>
          <w:p w14:paraId="5A04E1F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What should management do?</w:t>
            </w:r>
          </w:p>
        </w:tc>
        <w:tc>
          <w:tcPr>
            <w:tcW w:w="1620" w:type="pct"/>
            <w:tcMar>
              <w:top w:w="90" w:type="dxa"/>
              <w:left w:w="90" w:type="dxa"/>
              <w:bottom w:w="90" w:type="dxa"/>
              <w:right w:w="90" w:type="dxa"/>
            </w:tcMar>
            <w:vAlign w:val="center"/>
          </w:tcPr>
          <w:p w14:paraId="085D271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Prescriptive scoring rules and optional local AI explanation</w:t>
            </w:r>
          </w:p>
        </w:tc>
        <w:tc>
          <w:tcPr>
            <w:tcW w:w="1831" w:type="pct"/>
            <w:tcMar>
              <w:top w:w="90" w:type="dxa"/>
              <w:left w:w="90" w:type="dxa"/>
              <w:bottom w:w="90" w:type="dxa"/>
              <w:right w:w="90" w:type="dxa"/>
            </w:tcMar>
            <w:vAlign w:val="center"/>
          </w:tcPr>
          <w:p w14:paraId="78B20C0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Recommended follow-up, assignment, review, or upsell action</w:t>
            </w:r>
          </w:p>
        </w:tc>
      </w:tr>
    </w:tbl>
    <w:p w14:paraId="04BA87FE" w14:textId="77777777" w:rsidR="0084730D" w:rsidRPr="00335C63" w:rsidRDefault="0084730D" w:rsidP="000F4170">
      <w:pPr>
        <w:spacing w:line="360" w:lineRule="auto" w:after="120"/>
        <w:jc w:val="left"/>
        <w:rPr>
          <w:rFonts w:ascii="Times New Roman" w:hAnsi="Times New Roman" w:cs="Times New Roman"/>
          <w:sz w:val="24"/>
          <w:szCs w:val="24"/>
        </w:rPr>
      </w:pPr>
    </w:p>
    <w:p w14:paraId="02FFD246"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3.7 Key Analytics Logic</w:t>
      </w:r>
    </w:p>
    <w:p w14:paraId="2B328758"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Treatment Difficulty Index:</w:t>
      </w:r>
    </w:p>
    <w:p w14:paraId="4C7F127D"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The treatment difficulty index will combine repeat-problem rate, warranty-claim rate, refund rate, complimentary-service rate, and extra-session rate. The initial weights will be reviewed </w:t>
      </w:r>
      <w:r w:rsidRPr="00335C63">
        <w:rPr>
          <w:rFonts w:ascii="Times New Roman" w:hAnsi="Times New Roman" w:cs="Times New Roman" w:eastAsia="Times New Roman"/>
          <w:sz w:val="24"/>
          <w:szCs w:val="24"/>
        </w:rPr>
        <w:lastRenderedPageBreak/>
        <w:t>with management because the score is intended as a planning indicator, not an absolute measurement.</w:t>
      </w:r>
    </w:p>
    <w:p w14:paraId="41F515E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Weather windows:</w:t>
      </w:r>
    </w:p>
    <w:p w14:paraId="72555C16"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For each service record, the ETL process will calculate rain_same_day_mm, rain_</w:t>
      </w:r>
      <w:proofErr w:type="gramStart"/>
      <w:r w:rsidRPr="00335C63">
        <w:rPr>
          <w:rFonts w:ascii="Times New Roman" w:hAnsi="Times New Roman" w:cs="Times New Roman" w:eastAsia="Times New Roman"/>
          <w:sz w:val="24"/>
          <w:szCs w:val="24"/>
        </w:rPr>
        <w:t>previous_1</w:t>
      </w:r>
      <w:proofErr w:type="gramEnd"/>
      <w:r w:rsidRPr="00335C63">
        <w:rPr>
          <w:rFonts w:ascii="Times New Roman" w:hAnsi="Times New Roman" w:cs="Times New Roman" w:eastAsia="Times New Roman"/>
          <w:sz w:val="24"/>
          <w:szCs w:val="24"/>
        </w:rPr>
        <w:t>_day_mm, rain_last_3_days_mm, rain_last_7_days_mm, temperature_mean, humidity_mean, and heavy_rain_flag. Warranty and repeat-problem analysis will use service-date weather windows, while area risk dashboards may also show recent/current weather indicators.</w:t>
      </w:r>
    </w:p>
    <w:p w14:paraId="4FBAA1C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Warranty factor categories:</w:t>
      </w:r>
    </w:p>
    <w:p w14:paraId="45DDAE8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Warranty claims will be grouped into review categories: Weather-associated, Technician or </w:t>
      </w:r>
      <w:proofErr w:type="gramStart"/>
      <w:r w:rsidRPr="00335C63">
        <w:rPr>
          <w:rFonts w:ascii="Times New Roman" w:hAnsi="Times New Roman" w:cs="Times New Roman" w:eastAsia="Times New Roman"/>
          <w:sz w:val="24"/>
          <w:szCs w:val="24"/>
        </w:rPr>
        <w:t>service</w:t>
      </w:r>
      <w:proofErr w:type="gramEnd"/>
      <w:r w:rsidRPr="00335C63">
        <w:rPr>
          <w:rFonts w:ascii="Times New Roman" w:hAnsi="Times New Roman" w:cs="Times New Roman" w:eastAsia="Times New Roman"/>
          <w:sz w:val="24"/>
          <w:szCs w:val="24"/>
        </w:rPr>
        <w:t xml:space="preserve"> quality review, Area/premise condition, Customer expectation, and </w:t>
      </w:r>
      <w:proofErr w:type="gramStart"/>
      <w:r w:rsidRPr="00335C63">
        <w:rPr>
          <w:rFonts w:ascii="Times New Roman" w:hAnsi="Times New Roman" w:cs="Times New Roman" w:eastAsia="Times New Roman"/>
          <w:sz w:val="24"/>
          <w:szCs w:val="24"/>
        </w:rPr>
        <w:t>Needs</w:t>
      </w:r>
      <w:proofErr w:type="gramEnd"/>
      <w:r w:rsidRPr="00335C63">
        <w:rPr>
          <w:rFonts w:ascii="Times New Roman" w:hAnsi="Times New Roman" w:cs="Times New Roman" w:eastAsia="Times New Roman"/>
          <w:sz w:val="24"/>
          <w:szCs w:val="24"/>
        </w:rPr>
        <w:t xml:space="preserve"> manual review. The wording will remain careful and non-punitive.</w:t>
      </w:r>
    </w:p>
    <w:p w14:paraId="647C68D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Recurrence buckets:</w:t>
      </w:r>
    </w:p>
    <w:p w14:paraId="13CE37F4"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Recurrence windows will be grouped into 0-7 days, 8-14 days, 15-30 days, 31-60 days, and 61+ days. These buckets help management plan follow-ups around observed recurrence patterns.</w:t>
      </w:r>
    </w:p>
    <w:p w14:paraId="69454230"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Scheduled refresh:</w:t>
      </w:r>
    </w:p>
    <w:p w14:paraId="21090E45"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system will use a near-real-time refresh design rather than streaming real-time processing. A scheduled Python ETL job or BigQuery scheduled query will refresh cleaned tables and dashboard marts daily or weekly, depending on company needs and data update frequency. This is sufficient for management reporting, warranty review, and service planning because the main business questions are based on day/week/month trends rather than second-by-second operations.</w:t>
      </w:r>
    </w:p>
    <w:p w14:paraId="737536F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b/>
          <w:sz w:val="24"/>
          <w:szCs w:val="24"/>
        </w:rPr>
        <w:t>Recommendation log:</w:t>
      </w:r>
    </w:p>
    <w:p w14:paraId="72C9BF7F"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Prescriptive outputs will be stored in a recommendation log. Each record will include recommendation type, generated date, related customer/service/area, supporting reason, confidence or review label, management action taken, and later outcome where available. This allows the company to review whether suggested actions were useful and prepares the system for a future Ollama-based AI explanation layer.</w:t>
      </w:r>
    </w:p>
    <w:p w14:paraId="40C46665" w14:textId="77777777" w:rsidR="00BB18A2" w:rsidRDefault="00000000">
      <w:pPr>
        <w:spacing w:line="360" w:lineRule="auto" w:after="120"/>
        <w:jc w:val="both"/>
      </w:pPr>
      <w:r>
        <w:rPr>
          <w:rFonts w:ascii="Times New Roman" w:hAnsi="Times New Roman" w:eastAsia="Times New Roman" w:cs="Times New Roman"/>
          <w:sz w:val="24"/>
        </w:rPr>
        <w:t>Pipeline orchestration:</w:t>
      </w:r>
    </w:p>
    <w:p w14:paraId="499902E3" w14:textId="77777777" w:rsidR="00BB18A2" w:rsidRDefault="00000000">
      <w:pPr>
        <w:spacing w:line="360" w:lineRule="auto" w:after="120"/>
        <w:jc w:val="both"/>
      </w:pPr>
      <w:r>
        <w:rPr>
          <w:rFonts w:ascii="Times New Roman" w:hAnsi="Times New Roman" w:eastAsia="Times New Roman" w:cs="Times New Roman"/>
          <w:sz w:val="24"/>
        </w:rPr>
        <w:lastRenderedPageBreak/>
        <w:t>Apache Airflow will coordinate the CP2 pipeline as a directed workflow. A planned DAG will run tasks such as extract_google_sheets, extract_google_calendar, extract_weather_data, load_bronze_bigquery, run_dbt_models, run_dbt_tests, update_data_quality_log, and update_refresh_status. This demonstrates workflow scheduling, dependency management, retry handling, and failure monitoring.</w:t>
      </w:r>
    </w:p>
    <w:p w14:paraId="0E10A246" w14:textId="77777777" w:rsidR="00BB18A2" w:rsidRDefault="00000000">
      <w:pPr>
        <w:spacing w:line="360" w:lineRule="auto" w:after="120"/>
        <w:jc w:val="both"/>
      </w:pPr>
      <w:r>
        <w:rPr>
          <w:rFonts w:ascii="Times New Roman" w:hAnsi="Times New Roman" w:eastAsia="Times New Roman" w:cs="Times New Roman"/>
          <w:sz w:val="24"/>
        </w:rPr>
        <w:t>dbt transformations and lineage:</w:t>
      </w:r>
    </w:p>
    <w:p w14:paraId="2F2E08CF" w14:textId="77777777" w:rsidR="00BB18A2" w:rsidRDefault="00000000">
      <w:pPr>
        <w:spacing w:line="360" w:lineRule="auto" w:after="120"/>
        <w:jc w:val="both"/>
      </w:pPr>
      <w:r>
        <w:rPr>
          <w:rFonts w:ascii="Times New Roman" w:hAnsi="Times New Roman" w:eastAsia="Times New Roman" w:cs="Times New Roman"/>
          <w:sz w:val="24"/>
        </w:rPr>
        <w:t>dbt Core will transform BigQuery Bronze tables into Silver cleaned tables and Gold marts using modular SQL models. dbt tests will check fields such as uniqueness, not-null requirements, accepted values, and relationship consistency where practical. dbt documentation and lineage will show how raw data flows into dashboard outputs.</w:t>
      </w:r>
    </w:p>
    <w:p w14:paraId="1414BB94" w14:textId="77777777" w:rsidR="00BB18A2" w:rsidRDefault="00000000">
      <w:pPr>
        <w:spacing w:line="360" w:lineRule="auto" w:after="120"/>
        <w:jc w:val="both"/>
      </w:pPr>
      <w:r>
        <w:rPr>
          <w:rFonts w:ascii="Times New Roman" w:hAnsi="Times New Roman" w:eastAsia="Times New Roman" w:cs="Times New Roman"/>
          <w:sz w:val="24"/>
        </w:rPr>
        <w:t>Flexible data contracts:</w:t>
      </w:r>
    </w:p>
    <w:p w14:paraId="7A6CD017" w14:textId="77777777" w:rsidR="00BB18A2" w:rsidRDefault="00000000">
      <w:pPr>
        <w:spacing w:line="360" w:lineRule="auto" w:after="120"/>
        <w:jc w:val="both"/>
      </w:pPr>
      <w:r>
        <w:rPr>
          <w:rFonts w:ascii="Times New Roman" w:hAnsi="Times New Roman" w:eastAsia="Times New Roman" w:cs="Times New Roman"/>
          <w:sz w:val="24"/>
        </w:rPr>
        <w:t>Each source will have a flexible contract defining standard fields, accepted aliases, required/important/optional levels, and validation rules. For example, Nama, Name, and Customer Name may map to customer_name, while Phone No, Contact, and Tel may map to phone_number. If a critical field cannot be mapped, the source or row is flagged for review.</w:t>
      </w:r>
    </w:p>
    <w:p w14:paraId="3B77EC74" w14:textId="77777777" w:rsidR="00BB18A2" w:rsidRDefault="00000000">
      <w:pPr>
        <w:spacing w:line="360" w:lineRule="auto" w:after="120"/>
        <w:jc w:val="both"/>
      </w:pPr>
      <w:r>
        <w:rPr>
          <w:rFonts w:ascii="Times New Roman" w:hAnsi="Times New Roman" w:eastAsia="Times New Roman" w:cs="Times New Roman"/>
          <w:sz w:val="24"/>
        </w:rPr>
        <w:t>Incremental loading:</w:t>
      </w:r>
    </w:p>
    <w:p w14:paraId="02B6FFC7" w14:textId="77777777" w:rsidR="00BB18A2" w:rsidRDefault="00000000">
      <w:pPr>
        <w:spacing w:line="360" w:lineRule="auto" w:after="120"/>
        <w:jc w:val="both"/>
      </w:pPr>
      <w:r>
        <w:rPr>
          <w:rFonts w:ascii="Times New Roman" w:hAnsi="Times New Roman" w:eastAsia="Times New Roman" w:cs="Times New Roman"/>
          <w:sz w:val="24"/>
        </w:rPr>
        <w:t>Where a source provides updated timestamps or stable row identifiers, the pipeline will load only new or changed rows. If such metadata is unavailable, the prototype will use row hashes and loaded_at timestamps to detect changes. Full refresh remains available as a fallback during prototype testing.</w:t>
      </w:r>
    </w:p>
    <w:p w14:paraId="417F1C68" w14:textId="77777777" w:rsidR="0084730D" w:rsidRPr="00335C63" w:rsidRDefault="00357319" w:rsidP="008D6A1A">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3.8 Dashboard Design</w:t>
      </w:r>
    </w:p>
    <w:p w14:paraId="44719494" w14:textId="77777777" w:rsidR="0084730D" w:rsidRPr="00335C63" w:rsidRDefault="00357319" w:rsidP="008D6A1A">
      <w:pPr>
        <w:spacing w:line="360" w:lineRule="auto" w:after="120"/>
        <w:jc w:val="both"/>
        <w:rPr>
          <w:rFonts w:ascii="Times New Roman" w:hAnsi="Times New Roman" w:cs="Times New Roman"/>
          <w:sz w:val="24"/>
          <w:szCs w:val="24"/>
        </w:rPr>
      </w:pPr>
      <w:r>
        <w:rPr>
          <w:rFonts w:ascii="Times New Roman" w:hAnsi="Times New Roman" w:eastAsia="Times New Roman" w:cs="Times New Roman"/>
          <w:sz w:val="24"/>
        </w:rPr>
        <w:t>The visualization layer will be implemented in Apache Superset to reduce custom frontend development and align the project with a data analytics capstone. Superset will connect only to curated Gold marts and anonymised reporting views in BigQuery rather than raw source tables. This ensures the dashboards are based on tested, documented, and refresh-controlled data outputs.</w:t>
      </w:r>
    </w:p>
    <w:tbl>
      <w:tblPr>
        <w:tblStyle w:val="TableGrid"/>
        <w:tblW w:w="5000" w:type="pct"/>
        <w:jc w:val="center"/>
        <w:tblLook w:val="04A0" w:firstRow="1" w:lastRow="0" w:firstColumn="1" w:lastColumn="0" w:noHBand="0" w:noVBand="1"/>
      </w:tblPr>
      <w:tblGrid>
        <w:gridCol w:w="3329"/>
        <w:gridCol w:w="5687"/>
      </w:tblGrid>
      <w:tr w:rsidR="0084730D" w:rsidRPr="00335C63" w14:paraId="2E720715" w14:textId="77777777" w:rsidTr="00997D20">
        <w:trPr>
          <w:cantSplit/>
          <w:tblHeader/>
          <w:jc w:val="center"/>
        </w:trPr>
        <w:tc>
          <w:tcPr>
            <w:tcW w:w="1846" w:type="pct"/>
            <w:shd w:val="clear" w:color="auto" w:fill="E8F1FA"/>
            <w:tcMar>
              <w:top w:w="90" w:type="dxa"/>
              <w:left w:w="90" w:type="dxa"/>
              <w:bottom w:w="90" w:type="dxa"/>
              <w:right w:w="90" w:type="dxa"/>
            </w:tcMar>
            <w:vAlign w:val="center"/>
          </w:tcPr>
          <w:p w14:paraId="545DD79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Dashboard Area</w:t>
            </w:r>
          </w:p>
        </w:tc>
        <w:tc>
          <w:tcPr>
            <w:tcW w:w="3154" w:type="pct"/>
            <w:shd w:val="clear" w:color="auto" w:fill="E8F1FA"/>
            <w:tcMar>
              <w:top w:w="90" w:type="dxa"/>
              <w:left w:w="90" w:type="dxa"/>
              <w:bottom w:w="90" w:type="dxa"/>
              <w:right w:w="90" w:type="dxa"/>
            </w:tcMar>
            <w:vAlign w:val="center"/>
          </w:tcPr>
          <w:p w14:paraId="2F24B64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Main Visuals</w:t>
            </w:r>
          </w:p>
        </w:tc>
      </w:tr>
      <w:tr w:rsidR="0084730D" w:rsidRPr="00335C63" w14:paraId="57FB1888" w14:textId="77777777" w:rsidTr="00997D20">
        <w:trPr>
          <w:cantSplit/>
          <w:jc w:val="center"/>
        </w:trPr>
        <w:tc>
          <w:tcPr>
            <w:tcW w:w="1846" w:type="pct"/>
            <w:tcMar>
              <w:top w:w="90" w:type="dxa"/>
              <w:left w:w="90" w:type="dxa"/>
              <w:bottom w:w="90" w:type="dxa"/>
              <w:right w:w="90" w:type="dxa"/>
            </w:tcMar>
            <w:vAlign w:val="center"/>
          </w:tcPr>
          <w:p w14:paraId="67866E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Executive Summary</w:t>
            </w:r>
          </w:p>
        </w:tc>
        <w:tc>
          <w:tcPr>
            <w:tcW w:w="3154" w:type="pct"/>
            <w:tcMar>
              <w:top w:w="90" w:type="dxa"/>
              <w:left w:w="90" w:type="dxa"/>
              <w:bottom w:w="90" w:type="dxa"/>
              <w:right w:w="90" w:type="dxa"/>
            </w:tcMar>
            <w:vAlign w:val="center"/>
          </w:tcPr>
          <w:p w14:paraId="2B3980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KPI cards, service/revenue/warranty trends, top areas, active risk indicators</w:t>
            </w:r>
          </w:p>
        </w:tc>
      </w:tr>
      <w:tr w:rsidR="0084730D" w:rsidRPr="00335C63" w14:paraId="68C5388E" w14:textId="77777777" w:rsidTr="00997D20">
        <w:trPr>
          <w:cantSplit/>
          <w:jc w:val="center"/>
        </w:trPr>
        <w:tc>
          <w:tcPr>
            <w:tcW w:w="1846" w:type="pct"/>
            <w:tcMar>
              <w:top w:w="90" w:type="dxa"/>
              <w:left w:w="90" w:type="dxa"/>
              <w:bottom w:w="90" w:type="dxa"/>
              <w:right w:w="90" w:type="dxa"/>
            </w:tcMar>
            <w:vAlign w:val="center"/>
          </w:tcPr>
          <w:p w14:paraId="56E8F31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Marketing and Funnel</w:t>
            </w:r>
          </w:p>
        </w:tc>
        <w:tc>
          <w:tcPr>
            <w:tcW w:w="3154" w:type="pct"/>
            <w:tcMar>
              <w:top w:w="90" w:type="dxa"/>
              <w:left w:w="90" w:type="dxa"/>
              <w:bottom w:w="90" w:type="dxa"/>
              <w:right w:w="90" w:type="dxa"/>
            </w:tcMar>
            <w:vAlign w:val="center"/>
          </w:tcPr>
          <w:p w14:paraId="41C2C9D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Lead source quality, conversion funnel, follow-up depth, PIC performance</w:t>
            </w:r>
          </w:p>
        </w:tc>
      </w:tr>
      <w:tr w:rsidR="0084730D" w:rsidRPr="00335C63" w14:paraId="28ACE498" w14:textId="77777777" w:rsidTr="00997D20">
        <w:trPr>
          <w:cantSplit/>
          <w:jc w:val="center"/>
        </w:trPr>
        <w:tc>
          <w:tcPr>
            <w:tcW w:w="1846" w:type="pct"/>
            <w:tcMar>
              <w:top w:w="90" w:type="dxa"/>
              <w:left w:w="90" w:type="dxa"/>
              <w:bottom w:w="90" w:type="dxa"/>
              <w:right w:w="90" w:type="dxa"/>
            </w:tcMar>
            <w:vAlign w:val="center"/>
          </w:tcPr>
          <w:p w14:paraId="7117936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 and Weather Risk</w:t>
            </w:r>
          </w:p>
        </w:tc>
        <w:tc>
          <w:tcPr>
            <w:tcW w:w="3154" w:type="pct"/>
            <w:tcMar>
              <w:top w:w="90" w:type="dxa"/>
              <w:left w:w="90" w:type="dxa"/>
              <w:bottom w:w="90" w:type="dxa"/>
              <w:right w:w="90" w:type="dxa"/>
            </w:tcMar>
            <w:vAlign w:val="center"/>
          </w:tcPr>
          <w:p w14:paraId="307F8F6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Map, rainfall indicators, area risk ranking, weather-associated labels</w:t>
            </w:r>
          </w:p>
        </w:tc>
      </w:tr>
      <w:tr w:rsidR="0084730D" w:rsidRPr="00335C63" w14:paraId="28426BA7" w14:textId="77777777" w:rsidTr="00997D20">
        <w:trPr>
          <w:cantSplit/>
          <w:jc w:val="center"/>
        </w:trPr>
        <w:tc>
          <w:tcPr>
            <w:tcW w:w="1846" w:type="pct"/>
            <w:tcMar>
              <w:top w:w="90" w:type="dxa"/>
              <w:left w:w="90" w:type="dxa"/>
              <w:bottom w:w="90" w:type="dxa"/>
              <w:right w:w="90" w:type="dxa"/>
            </w:tcMar>
            <w:vAlign w:val="center"/>
          </w:tcPr>
          <w:p w14:paraId="0BCA58F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Difficulty</w:t>
            </w:r>
          </w:p>
        </w:tc>
        <w:tc>
          <w:tcPr>
            <w:tcW w:w="3154" w:type="pct"/>
            <w:tcMar>
              <w:top w:w="90" w:type="dxa"/>
              <w:left w:w="90" w:type="dxa"/>
              <w:bottom w:w="90" w:type="dxa"/>
              <w:right w:w="90" w:type="dxa"/>
            </w:tcMar>
            <w:vAlign w:val="center"/>
          </w:tcPr>
          <w:p w14:paraId="6CC3A29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Difficulty ranking, area/pest/team score table, recommended planning actions</w:t>
            </w:r>
          </w:p>
        </w:tc>
      </w:tr>
      <w:tr w:rsidR="0084730D" w:rsidRPr="00335C63" w14:paraId="23B429C2" w14:textId="77777777" w:rsidTr="00997D20">
        <w:trPr>
          <w:cantSplit/>
          <w:jc w:val="center"/>
        </w:trPr>
        <w:tc>
          <w:tcPr>
            <w:tcW w:w="1846" w:type="pct"/>
            <w:tcMar>
              <w:top w:w="90" w:type="dxa"/>
              <w:left w:w="90" w:type="dxa"/>
              <w:bottom w:w="90" w:type="dxa"/>
              <w:right w:w="90" w:type="dxa"/>
            </w:tcMar>
            <w:vAlign w:val="center"/>
          </w:tcPr>
          <w:p w14:paraId="1728C10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Warranty and Repeat Analysis</w:t>
            </w:r>
          </w:p>
        </w:tc>
        <w:tc>
          <w:tcPr>
            <w:tcW w:w="3154" w:type="pct"/>
            <w:tcMar>
              <w:top w:w="90" w:type="dxa"/>
              <w:left w:w="90" w:type="dxa"/>
              <w:bottom w:w="90" w:type="dxa"/>
              <w:right w:w="90" w:type="dxa"/>
            </w:tcMar>
            <w:vAlign w:val="center"/>
          </w:tcPr>
          <w:p w14:paraId="11812D5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factors by area/pest/technician, review queue, repeat rate trends</w:t>
            </w:r>
          </w:p>
        </w:tc>
      </w:tr>
      <w:tr w:rsidR="0084730D" w:rsidRPr="00335C63" w14:paraId="0F11F27D" w14:textId="77777777" w:rsidTr="00997D20">
        <w:trPr>
          <w:cantSplit/>
          <w:jc w:val="center"/>
        </w:trPr>
        <w:tc>
          <w:tcPr>
            <w:tcW w:w="1846" w:type="pct"/>
            <w:tcMar>
              <w:top w:w="90" w:type="dxa"/>
              <w:left w:w="90" w:type="dxa"/>
              <w:bottom w:w="90" w:type="dxa"/>
              <w:right w:w="90" w:type="dxa"/>
            </w:tcMar>
            <w:vAlign w:val="center"/>
          </w:tcPr>
          <w:p w14:paraId="51B2CD3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Recurrence and Hotspots</w:t>
            </w:r>
          </w:p>
        </w:tc>
        <w:tc>
          <w:tcPr>
            <w:tcW w:w="3154" w:type="pct"/>
            <w:tcMar>
              <w:top w:w="90" w:type="dxa"/>
              <w:left w:w="90" w:type="dxa"/>
              <w:bottom w:w="90" w:type="dxa"/>
              <w:right w:w="90" w:type="dxa"/>
            </w:tcMar>
            <w:vAlign w:val="center"/>
          </w:tcPr>
          <w:p w14:paraId="5376C9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Recurrence buckets, DBSCAN clusters, KDE map layer, cluster movement by period</w:t>
            </w:r>
          </w:p>
        </w:tc>
      </w:tr>
      <w:tr w:rsidR="0084730D" w:rsidRPr="00335C63" w14:paraId="19B4D924" w14:textId="77777777" w:rsidTr="00997D20">
        <w:trPr>
          <w:cantSplit/>
          <w:jc w:val="center"/>
        </w:trPr>
        <w:tc>
          <w:tcPr>
            <w:tcW w:w="1846" w:type="pct"/>
            <w:tcMar>
              <w:top w:w="90" w:type="dxa"/>
              <w:left w:w="90" w:type="dxa"/>
              <w:bottom w:w="90" w:type="dxa"/>
              <w:right w:w="90" w:type="dxa"/>
            </w:tcMar>
            <w:vAlign w:val="center"/>
          </w:tcPr>
          <w:p w14:paraId="3E905F0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Intelligence</w:t>
            </w:r>
          </w:p>
        </w:tc>
        <w:tc>
          <w:tcPr>
            <w:tcW w:w="3154" w:type="pct"/>
            <w:tcMar>
              <w:top w:w="90" w:type="dxa"/>
              <w:left w:w="90" w:type="dxa"/>
              <w:bottom w:w="90" w:type="dxa"/>
              <w:right w:w="90" w:type="dxa"/>
            </w:tcMar>
            <w:vAlign w:val="center"/>
          </w:tcPr>
          <w:p w14:paraId="439A838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Package effectiveness, package-fit matrix, window performance</w:t>
            </w:r>
          </w:p>
        </w:tc>
      </w:tr>
      <w:tr w:rsidR="0084730D" w:rsidRPr="00335C63" w14:paraId="0850617D" w14:textId="77777777" w:rsidTr="00997D20">
        <w:trPr>
          <w:cantSplit/>
          <w:jc w:val="center"/>
        </w:trPr>
        <w:tc>
          <w:tcPr>
            <w:tcW w:w="1846" w:type="pct"/>
            <w:tcMar>
              <w:top w:w="90" w:type="dxa"/>
              <w:left w:w="90" w:type="dxa"/>
              <w:bottom w:w="90" w:type="dxa"/>
              <w:right w:w="90" w:type="dxa"/>
            </w:tcMar>
            <w:vAlign w:val="center"/>
          </w:tcPr>
          <w:p w14:paraId="49FB00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Scheduling Capacity</w:t>
            </w:r>
          </w:p>
        </w:tc>
        <w:tc>
          <w:tcPr>
            <w:tcW w:w="3154" w:type="pct"/>
            <w:tcMar>
              <w:top w:w="90" w:type="dxa"/>
              <w:left w:w="90" w:type="dxa"/>
              <w:bottom w:w="90" w:type="dxa"/>
              <w:right w:w="90" w:type="dxa"/>
            </w:tcMar>
            <w:vAlign w:val="center"/>
          </w:tcPr>
          <w:p w14:paraId="3D5531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Slots used, new/warranty/extra split, peak days/times, area density</w:t>
            </w:r>
          </w:p>
        </w:tc>
      </w:tr>
      <w:tr w:rsidR="0084730D" w:rsidRPr="00335C63" w14:paraId="437ECE9C" w14:textId="77777777" w:rsidTr="00997D20">
        <w:trPr>
          <w:cantSplit/>
          <w:jc w:val="center"/>
        </w:trPr>
        <w:tc>
          <w:tcPr>
            <w:tcW w:w="1846" w:type="pct"/>
            <w:tcMar>
              <w:top w:w="90" w:type="dxa"/>
              <w:left w:w="90" w:type="dxa"/>
              <w:bottom w:w="90" w:type="dxa"/>
              <w:right w:w="90" w:type="dxa"/>
            </w:tcMar>
            <w:vAlign w:val="center"/>
          </w:tcPr>
          <w:p w14:paraId="0EB8B3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Root Cause</w:t>
            </w:r>
          </w:p>
        </w:tc>
        <w:tc>
          <w:tcPr>
            <w:tcW w:w="3154" w:type="pct"/>
            <w:tcMar>
              <w:top w:w="90" w:type="dxa"/>
              <w:left w:w="90" w:type="dxa"/>
              <w:bottom w:w="90" w:type="dxa"/>
              <w:right w:w="90" w:type="dxa"/>
            </w:tcMar>
            <w:vAlign w:val="center"/>
          </w:tcPr>
          <w:p w14:paraId="5EBAE8B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categories, amount/rate by area, pest, technician, and source</w:t>
            </w:r>
          </w:p>
        </w:tc>
      </w:tr>
      <w:tr w:rsidR="0084730D" w:rsidRPr="00335C63" w14:paraId="3A30E140" w14:textId="77777777" w:rsidTr="00997D20">
        <w:trPr>
          <w:cantSplit/>
          <w:jc w:val="center"/>
        </w:trPr>
        <w:tc>
          <w:tcPr>
            <w:tcW w:w="1846" w:type="pct"/>
            <w:tcMar>
              <w:top w:w="90" w:type="dxa"/>
              <w:left w:w="90" w:type="dxa"/>
              <w:bottom w:w="90" w:type="dxa"/>
              <w:right w:w="90" w:type="dxa"/>
            </w:tcMar>
            <w:vAlign w:val="center"/>
          </w:tcPr>
          <w:p w14:paraId="72C9027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and Refresh</w:t>
            </w:r>
          </w:p>
        </w:tc>
        <w:tc>
          <w:tcPr>
            <w:tcW w:w="3154" w:type="pct"/>
            <w:tcMar>
              <w:top w:w="90" w:type="dxa"/>
              <w:left w:w="90" w:type="dxa"/>
              <w:bottom w:w="90" w:type="dxa"/>
              <w:right w:w="90" w:type="dxa"/>
            </w:tcMar>
            <w:vAlign w:val="center"/>
          </w:tcPr>
          <w:p w14:paraId="2471BB7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Missing values, duplicates, invalid dates, match confidence, weather coverage, refresh status</w:t>
            </w:r>
          </w:p>
        </w:tc>
      </w:tr>
      <w:tr w:rsidR="0084730D" w:rsidRPr="00335C63" w14:paraId="6643E2FB" w14:textId="77777777" w:rsidTr="00997D20">
        <w:trPr>
          <w:cantSplit/>
          <w:jc w:val="center"/>
        </w:trPr>
        <w:tc>
          <w:tcPr>
            <w:tcW w:w="1846" w:type="pct"/>
            <w:tcMar>
              <w:top w:w="90" w:type="dxa"/>
              <w:left w:w="90" w:type="dxa"/>
              <w:bottom w:w="90" w:type="dxa"/>
              <w:right w:w="90" w:type="dxa"/>
            </w:tcMar>
            <w:vAlign w:val="center"/>
          </w:tcPr>
          <w:p w14:paraId="003E30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Recommendation Log</w:t>
            </w:r>
          </w:p>
        </w:tc>
        <w:tc>
          <w:tcPr>
            <w:tcW w:w="3154" w:type="pct"/>
            <w:tcMar>
              <w:top w:w="90" w:type="dxa"/>
              <w:left w:w="90" w:type="dxa"/>
              <w:bottom w:w="90" w:type="dxa"/>
              <w:right w:w="90" w:type="dxa"/>
            </w:tcMar>
            <w:vAlign w:val="center"/>
          </w:tcPr>
          <w:p w14:paraId="6CC8968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Suggested action, reason, review label, management response, and outcome tracking</w:t>
            </w:r>
          </w:p>
        </w:tc>
      </w:tr>
    </w:tbl>
    <w:p w14:paraId="55679DE9" w14:textId="77777777" w:rsidR="0084730D" w:rsidRPr="00335C63" w:rsidRDefault="0084730D" w:rsidP="000F4170">
      <w:pPr>
        <w:spacing w:line="360" w:lineRule="auto" w:after="120"/>
        <w:jc w:val="left"/>
        <w:rPr>
          <w:rFonts w:ascii="Times New Roman" w:hAnsi="Times New Roman" w:cs="Times New Roman"/>
          <w:sz w:val="24"/>
          <w:szCs w:val="24"/>
        </w:rPr>
      </w:pPr>
    </w:p>
    <w:p w14:paraId="0321CE9D"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3.9 Data Governance and Privacy</w:t>
      </w:r>
    </w:p>
    <w:p w14:paraId="42FFFDC7"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dashboard will separate internal operational data from academic/reporting views. Sensitive fields such as customer names, phone numbers, and full addresses will be available only where needed for internal matching. Management dashboards and academic outputs will use customer IDs, general area/postcode, pest type, service type, and aggregated metrics. Technician-related analytics will be framed as review indicators for quality improvement rather than blame or direct causation.</w:t>
      </w:r>
    </w:p>
    <w:p w14:paraId="71B7A398" w14:textId="77777777" w:rsidR="008D6A1A" w:rsidRPr="00335C63" w:rsidRDefault="008D6A1A" w:rsidP="008D6A1A">
      <w:pPr>
        <w:spacing w:line="360" w:lineRule="auto" w:after="120"/>
        <w:jc w:val="left"/>
        <w:rPr>
          <w:rFonts w:ascii="Times New Roman" w:hAnsi="Times New Roman" w:cs="Times New Roman"/>
          <w:sz w:val="24"/>
          <w:szCs w:val="24"/>
        </w:rPr>
      </w:pPr>
    </w:p>
    <w:p w14:paraId="2D0BE911"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BigQuery model will support anonymised views for reporting. These views will remove or mask personally identifiable information while preserving the fields needed for analysis, such as service date, area, pest type, package type, claim status, refund category, and difficulty level. This supports privacy, ethics, and company confidence in using the system.</w:t>
      </w:r>
    </w:p>
    <w:p w14:paraId="3CF90BE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lastRenderedPageBreak/>
        <w:t>3.10 AI Recommendation Extension</w:t>
      </w:r>
    </w:p>
    <w:p w14:paraId="394AE893" w14:textId="77777777" w:rsidR="0084730D"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 future enhancement will connect a local Ollama model to the analytics system. The recommended design is to keep the AI outside BigQuery and Superset as a local service. The Python backend or worker will retrieve relevant scores from BigQuery, pass structured context to Ollama, and store the generated recommendation text back into the recommendation log for dashboard display.</w:t>
      </w:r>
    </w:p>
    <w:p w14:paraId="09C91DB5" w14:textId="77777777" w:rsidR="008D6A1A" w:rsidRPr="00335C63" w:rsidRDefault="008D6A1A" w:rsidP="008D6A1A">
      <w:pPr>
        <w:spacing w:line="360" w:lineRule="auto" w:after="120"/>
        <w:jc w:val="left"/>
        <w:rPr>
          <w:rFonts w:ascii="Times New Roman" w:hAnsi="Times New Roman" w:cs="Times New Roman"/>
          <w:sz w:val="24"/>
          <w:szCs w:val="24"/>
        </w:rPr>
      </w:pPr>
    </w:p>
    <w:p w14:paraId="0385551E"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This design avoids external AI API cost and protects company data. The AI will explain analytics-backed recommendations such as assigning an experienced technician, scheduling a follow-up within a specific window, reviewing an area/premise condition, or recommending a package-fit upsell. It will not make final decisions or invent unsupported claims.</w:t>
      </w:r>
    </w:p>
    <w:p w14:paraId="2D1F0165"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3.11 Computing Factors and Constraints</w:t>
      </w:r>
    </w:p>
    <w:tbl>
      <w:tblPr>
        <w:tblStyle w:val="TableGrid"/>
        <w:tblW w:w="5000" w:type="pct"/>
        <w:jc w:val="center"/>
        <w:tblLook w:val="04A0" w:firstRow="1" w:lastRow="0" w:firstColumn="1" w:lastColumn="0" w:noHBand="0" w:noVBand="1"/>
      </w:tblPr>
      <w:tblGrid>
        <w:gridCol w:w="2396"/>
        <w:gridCol w:w="2916"/>
        <w:gridCol w:w="3704"/>
      </w:tblGrid>
      <w:tr w:rsidR="0084730D" w:rsidRPr="00335C63" w14:paraId="5CB4D783" w14:textId="77777777" w:rsidTr="00997D20">
        <w:trPr>
          <w:cantSplit/>
          <w:tblHeader/>
          <w:jc w:val="center"/>
        </w:trPr>
        <w:tc>
          <w:tcPr>
            <w:tcW w:w="1329" w:type="pct"/>
            <w:shd w:val="clear" w:color="auto" w:fill="E8F1FA"/>
            <w:tcMar>
              <w:top w:w="90" w:type="dxa"/>
              <w:left w:w="90" w:type="dxa"/>
              <w:bottom w:w="90" w:type="dxa"/>
              <w:right w:w="90" w:type="dxa"/>
            </w:tcMar>
            <w:vAlign w:val="center"/>
          </w:tcPr>
          <w:p w14:paraId="19853A9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Factor</w:t>
            </w:r>
          </w:p>
        </w:tc>
        <w:tc>
          <w:tcPr>
            <w:tcW w:w="1617" w:type="pct"/>
            <w:shd w:val="clear" w:color="auto" w:fill="E8F1FA"/>
            <w:tcMar>
              <w:top w:w="90" w:type="dxa"/>
              <w:left w:w="90" w:type="dxa"/>
              <w:bottom w:w="90" w:type="dxa"/>
              <w:right w:w="90" w:type="dxa"/>
            </w:tcMar>
            <w:vAlign w:val="center"/>
          </w:tcPr>
          <w:p w14:paraId="27255D7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Consideration</w:t>
            </w:r>
          </w:p>
        </w:tc>
        <w:tc>
          <w:tcPr>
            <w:tcW w:w="2054" w:type="pct"/>
            <w:shd w:val="clear" w:color="auto" w:fill="E8F1FA"/>
            <w:tcMar>
              <w:top w:w="90" w:type="dxa"/>
              <w:left w:w="90" w:type="dxa"/>
              <w:bottom w:w="90" w:type="dxa"/>
              <w:right w:w="90" w:type="dxa"/>
            </w:tcMar>
            <w:vAlign w:val="center"/>
          </w:tcPr>
          <w:p w14:paraId="5F806BC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Proposed Handling</w:t>
            </w:r>
          </w:p>
        </w:tc>
      </w:tr>
      <w:tr w:rsidR="0084730D" w:rsidRPr="00335C63" w14:paraId="0C378453" w14:textId="77777777" w:rsidTr="00997D20">
        <w:trPr>
          <w:cantSplit/>
          <w:jc w:val="center"/>
        </w:trPr>
        <w:tc>
          <w:tcPr>
            <w:tcW w:w="1329" w:type="pct"/>
            <w:tcMar>
              <w:top w:w="90" w:type="dxa"/>
              <w:left w:w="90" w:type="dxa"/>
              <w:bottom w:w="90" w:type="dxa"/>
              <w:right w:w="90" w:type="dxa"/>
            </w:tcMar>
            <w:vAlign w:val="center"/>
          </w:tcPr>
          <w:p w14:paraId="20BCAB5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Performance</w:t>
            </w:r>
          </w:p>
        </w:tc>
        <w:tc>
          <w:tcPr>
            <w:tcW w:w="1617" w:type="pct"/>
            <w:tcMar>
              <w:top w:w="90" w:type="dxa"/>
              <w:left w:w="90" w:type="dxa"/>
              <w:bottom w:w="90" w:type="dxa"/>
              <w:right w:w="90" w:type="dxa"/>
            </w:tcMar>
            <w:vAlign w:val="center"/>
          </w:tcPr>
          <w:p w14:paraId="0105C78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Dashboard queries should remain responsive</w:t>
            </w:r>
          </w:p>
        </w:tc>
        <w:tc>
          <w:tcPr>
            <w:tcW w:w="2054" w:type="pct"/>
            <w:tcMar>
              <w:top w:w="90" w:type="dxa"/>
              <w:left w:w="90" w:type="dxa"/>
              <w:bottom w:w="90" w:type="dxa"/>
              <w:right w:w="90" w:type="dxa"/>
            </w:tcMar>
            <w:vAlign w:val="center"/>
          </w:tcPr>
          <w:p w14:paraId="55C546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BigQuery marts and scheduled transformations rather than recalculating every chart live</w:t>
            </w:r>
          </w:p>
        </w:tc>
      </w:tr>
      <w:tr w:rsidR="0084730D" w:rsidRPr="00335C63" w14:paraId="5785DAFF" w14:textId="77777777" w:rsidTr="00997D20">
        <w:trPr>
          <w:cantSplit/>
          <w:jc w:val="center"/>
        </w:trPr>
        <w:tc>
          <w:tcPr>
            <w:tcW w:w="1329" w:type="pct"/>
            <w:tcMar>
              <w:top w:w="90" w:type="dxa"/>
              <w:left w:w="90" w:type="dxa"/>
              <w:bottom w:w="90" w:type="dxa"/>
              <w:right w:w="90" w:type="dxa"/>
            </w:tcMar>
            <w:vAlign w:val="center"/>
          </w:tcPr>
          <w:p w14:paraId="48DC23E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Security and privacy</w:t>
            </w:r>
          </w:p>
        </w:tc>
        <w:tc>
          <w:tcPr>
            <w:tcW w:w="1617" w:type="pct"/>
            <w:tcMar>
              <w:top w:w="90" w:type="dxa"/>
              <w:left w:w="90" w:type="dxa"/>
              <w:bottom w:w="90" w:type="dxa"/>
              <w:right w:w="90" w:type="dxa"/>
            </w:tcMar>
            <w:vAlign w:val="center"/>
          </w:tcPr>
          <w:p w14:paraId="405AB7F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names, phone numbers, and locations are sensitive</w:t>
            </w:r>
          </w:p>
        </w:tc>
        <w:tc>
          <w:tcPr>
            <w:tcW w:w="2054" w:type="pct"/>
            <w:tcMar>
              <w:top w:w="90" w:type="dxa"/>
              <w:left w:w="90" w:type="dxa"/>
              <w:bottom w:w="90" w:type="dxa"/>
              <w:right w:w="90" w:type="dxa"/>
            </w:tcMar>
            <w:vAlign w:val="center"/>
          </w:tcPr>
          <w:p w14:paraId="734FCD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access control, anonymised reports, customer IDs, and area/postcode-level coordinates</w:t>
            </w:r>
          </w:p>
        </w:tc>
      </w:tr>
      <w:tr w:rsidR="0084730D" w:rsidRPr="00335C63" w14:paraId="6ED39400" w14:textId="77777777" w:rsidTr="00997D20">
        <w:trPr>
          <w:cantSplit/>
          <w:jc w:val="center"/>
        </w:trPr>
        <w:tc>
          <w:tcPr>
            <w:tcW w:w="1329" w:type="pct"/>
            <w:tcMar>
              <w:top w:w="90" w:type="dxa"/>
              <w:left w:w="90" w:type="dxa"/>
              <w:bottom w:w="90" w:type="dxa"/>
              <w:right w:w="90" w:type="dxa"/>
            </w:tcMar>
            <w:vAlign w:val="center"/>
          </w:tcPr>
          <w:p w14:paraId="452F58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Ethics</w:t>
            </w:r>
          </w:p>
        </w:tc>
        <w:tc>
          <w:tcPr>
            <w:tcW w:w="1617" w:type="pct"/>
            <w:tcMar>
              <w:top w:w="90" w:type="dxa"/>
              <w:left w:w="90" w:type="dxa"/>
              <w:bottom w:w="90" w:type="dxa"/>
              <w:right w:w="90" w:type="dxa"/>
            </w:tcMar>
            <w:vAlign w:val="center"/>
          </w:tcPr>
          <w:p w14:paraId="4468EDB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Technician and weather analysis can be misread as blame or causation</w:t>
            </w:r>
          </w:p>
        </w:tc>
        <w:tc>
          <w:tcPr>
            <w:tcW w:w="2054" w:type="pct"/>
            <w:tcMar>
              <w:top w:w="90" w:type="dxa"/>
              <w:left w:w="90" w:type="dxa"/>
              <w:bottom w:w="90" w:type="dxa"/>
              <w:right w:w="90" w:type="dxa"/>
            </w:tcMar>
            <w:vAlign w:val="center"/>
          </w:tcPr>
          <w:p w14:paraId="0874404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wording such as review indicator, associated factor, and requires manual review</w:t>
            </w:r>
          </w:p>
        </w:tc>
      </w:tr>
      <w:tr w:rsidR="0084730D" w:rsidRPr="00335C63" w14:paraId="1BBAA2B2" w14:textId="77777777" w:rsidTr="00997D20">
        <w:trPr>
          <w:cantSplit/>
          <w:jc w:val="center"/>
        </w:trPr>
        <w:tc>
          <w:tcPr>
            <w:tcW w:w="1329" w:type="pct"/>
            <w:tcMar>
              <w:top w:w="90" w:type="dxa"/>
              <w:left w:w="90" w:type="dxa"/>
              <w:bottom w:w="90" w:type="dxa"/>
              <w:right w:w="90" w:type="dxa"/>
            </w:tcMar>
            <w:vAlign w:val="center"/>
          </w:tcPr>
          <w:p w14:paraId="45E1AF8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Usability</w:t>
            </w:r>
          </w:p>
        </w:tc>
        <w:tc>
          <w:tcPr>
            <w:tcW w:w="1617" w:type="pct"/>
            <w:tcMar>
              <w:top w:w="90" w:type="dxa"/>
              <w:left w:w="90" w:type="dxa"/>
              <w:bottom w:w="90" w:type="dxa"/>
              <w:right w:w="90" w:type="dxa"/>
            </w:tcMar>
            <w:vAlign w:val="center"/>
          </w:tcPr>
          <w:p w14:paraId="7E17745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Management needs quick insights, not technical complexity</w:t>
            </w:r>
          </w:p>
        </w:tc>
        <w:tc>
          <w:tcPr>
            <w:tcW w:w="2054" w:type="pct"/>
            <w:tcMar>
              <w:top w:w="90" w:type="dxa"/>
              <w:left w:w="90" w:type="dxa"/>
              <w:bottom w:w="90" w:type="dxa"/>
              <w:right w:w="90" w:type="dxa"/>
            </w:tcMar>
            <w:vAlign w:val="center"/>
          </w:tcPr>
          <w:p w14:paraId="64D6B3B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KPI cards, maps, filters, ranking tables, and short recommendations</w:t>
            </w:r>
          </w:p>
        </w:tc>
      </w:tr>
      <w:tr w:rsidR="0084730D" w:rsidRPr="00335C63" w14:paraId="4A7151C9" w14:textId="77777777" w:rsidTr="00997D20">
        <w:trPr>
          <w:cantSplit/>
          <w:jc w:val="center"/>
        </w:trPr>
        <w:tc>
          <w:tcPr>
            <w:tcW w:w="1329" w:type="pct"/>
            <w:tcMar>
              <w:top w:w="90" w:type="dxa"/>
              <w:left w:w="90" w:type="dxa"/>
              <w:bottom w:w="90" w:type="dxa"/>
              <w:right w:w="90" w:type="dxa"/>
            </w:tcMar>
            <w:vAlign w:val="center"/>
          </w:tcPr>
          <w:p w14:paraId="620047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w:t>
            </w:r>
          </w:p>
        </w:tc>
        <w:tc>
          <w:tcPr>
            <w:tcW w:w="1617" w:type="pct"/>
            <w:tcMar>
              <w:top w:w="90" w:type="dxa"/>
              <w:left w:w="90" w:type="dxa"/>
              <w:bottom w:w="90" w:type="dxa"/>
              <w:right w:w="90" w:type="dxa"/>
            </w:tcMar>
            <w:vAlign w:val="center"/>
          </w:tcPr>
          <w:p w14:paraId="3FBA521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Sheets may contain duplicates, missing fields, inconsistent labels</w:t>
            </w:r>
          </w:p>
        </w:tc>
        <w:tc>
          <w:tcPr>
            <w:tcW w:w="2054" w:type="pct"/>
            <w:tcMar>
              <w:top w:w="90" w:type="dxa"/>
              <w:left w:w="90" w:type="dxa"/>
              <w:bottom w:w="90" w:type="dxa"/>
              <w:right w:w="90" w:type="dxa"/>
            </w:tcMar>
            <w:vAlign w:val="center"/>
          </w:tcPr>
          <w:p w14:paraId="69ED2A0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Create cleaning rules, validation reports, unmatched-record logs, and data quality dashboard</w:t>
            </w:r>
          </w:p>
        </w:tc>
      </w:tr>
      <w:tr w:rsidR="0084730D" w:rsidRPr="00335C63" w14:paraId="1BA023C6" w14:textId="77777777" w:rsidTr="00997D20">
        <w:trPr>
          <w:cantSplit/>
          <w:jc w:val="center"/>
        </w:trPr>
        <w:tc>
          <w:tcPr>
            <w:tcW w:w="1329" w:type="pct"/>
            <w:tcMar>
              <w:top w:w="90" w:type="dxa"/>
              <w:left w:w="90" w:type="dxa"/>
              <w:bottom w:w="90" w:type="dxa"/>
              <w:right w:w="90" w:type="dxa"/>
            </w:tcMar>
            <w:vAlign w:val="center"/>
          </w:tcPr>
          <w:p w14:paraId="785B7BA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Refresh reliability</w:t>
            </w:r>
          </w:p>
        </w:tc>
        <w:tc>
          <w:tcPr>
            <w:tcW w:w="1617" w:type="pct"/>
            <w:tcMar>
              <w:top w:w="90" w:type="dxa"/>
              <w:left w:w="90" w:type="dxa"/>
              <w:bottom w:w="90" w:type="dxa"/>
              <w:right w:w="90" w:type="dxa"/>
            </w:tcMar>
            <w:vAlign w:val="center"/>
          </w:tcPr>
          <w:p w14:paraId="68A3F4F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data changes over time</w:t>
            </w:r>
          </w:p>
        </w:tc>
        <w:tc>
          <w:tcPr>
            <w:tcW w:w="2054" w:type="pct"/>
            <w:tcMar>
              <w:top w:w="90" w:type="dxa"/>
              <w:left w:w="90" w:type="dxa"/>
              <w:bottom w:w="90" w:type="dxa"/>
              <w:right w:w="90" w:type="dxa"/>
            </w:tcMar>
            <w:vAlign w:val="center"/>
          </w:tcPr>
          <w:p w14:paraId="74F950D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scheduled ETL/queries and show last refresh time and failed refresh status</w:t>
            </w:r>
          </w:p>
        </w:tc>
      </w:tr>
      <w:tr w:rsidR="0084730D" w:rsidRPr="00335C63" w14:paraId="33163FFC" w14:textId="77777777" w:rsidTr="00997D20">
        <w:trPr>
          <w:cantSplit/>
          <w:jc w:val="center"/>
        </w:trPr>
        <w:tc>
          <w:tcPr>
            <w:tcW w:w="1329" w:type="pct"/>
            <w:tcMar>
              <w:top w:w="90" w:type="dxa"/>
              <w:left w:w="90" w:type="dxa"/>
              <w:bottom w:w="90" w:type="dxa"/>
              <w:right w:w="90" w:type="dxa"/>
            </w:tcMar>
            <w:vAlign w:val="center"/>
          </w:tcPr>
          <w:p w14:paraId="6989359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Cost</w:t>
            </w:r>
          </w:p>
        </w:tc>
        <w:tc>
          <w:tcPr>
            <w:tcW w:w="1617" w:type="pct"/>
            <w:tcMar>
              <w:top w:w="90" w:type="dxa"/>
              <w:left w:w="90" w:type="dxa"/>
              <w:bottom w:w="90" w:type="dxa"/>
              <w:right w:w="90" w:type="dxa"/>
            </w:tcMar>
            <w:vAlign w:val="center"/>
          </w:tcPr>
          <w:p w14:paraId="4FD92FA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prefers low-cost tools</w:t>
            </w:r>
          </w:p>
        </w:tc>
        <w:tc>
          <w:tcPr>
            <w:tcW w:w="2054" w:type="pct"/>
            <w:tcMar>
              <w:top w:w="90" w:type="dxa"/>
              <w:left w:w="90" w:type="dxa"/>
              <w:bottom w:w="90" w:type="dxa"/>
              <w:right w:w="90" w:type="dxa"/>
            </w:tcMar>
            <w:vAlign w:val="center"/>
          </w:tcPr>
          <w:p w14:paraId="5A05FF0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BigQuery within free/low usage limits, Superset open source, Open-Meteo, and local Ollama later</w:t>
            </w:r>
          </w:p>
        </w:tc>
      </w:tr>
      <w:tr w:rsidR="0084730D" w:rsidRPr="00335C63" w14:paraId="2597DBB1" w14:textId="77777777" w:rsidTr="00997D20">
        <w:trPr>
          <w:cantSplit/>
          <w:jc w:val="center"/>
        </w:trPr>
        <w:tc>
          <w:tcPr>
            <w:tcW w:w="1329" w:type="pct"/>
            <w:tcMar>
              <w:top w:w="90" w:type="dxa"/>
              <w:left w:w="90" w:type="dxa"/>
              <w:bottom w:w="90" w:type="dxa"/>
              <w:right w:w="90" w:type="dxa"/>
            </w:tcMar>
            <w:vAlign w:val="center"/>
          </w:tcPr>
          <w:p w14:paraId="77A16B1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Model reliability</w:t>
            </w:r>
          </w:p>
        </w:tc>
        <w:tc>
          <w:tcPr>
            <w:tcW w:w="1617" w:type="pct"/>
            <w:tcMar>
              <w:top w:w="90" w:type="dxa"/>
              <w:left w:w="90" w:type="dxa"/>
              <w:bottom w:w="90" w:type="dxa"/>
              <w:right w:w="90" w:type="dxa"/>
            </w:tcMar>
            <w:vAlign w:val="center"/>
          </w:tcPr>
          <w:p w14:paraId="0696CC5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dataset is limited</w:t>
            </w:r>
          </w:p>
        </w:tc>
        <w:tc>
          <w:tcPr>
            <w:tcW w:w="2054" w:type="pct"/>
            <w:tcMar>
              <w:top w:w="90" w:type="dxa"/>
              <w:left w:w="90" w:type="dxa"/>
              <w:bottom w:w="90" w:type="dxa"/>
              <w:right w:w="90" w:type="dxa"/>
            </w:tcMar>
            <w:vAlign w:val="center"/>
          </w:tcPr>
          <w:p w14:paraId="622AF8C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Prefer explainable scoring and simple statistical methods before complex ML</w:t>
            </w:r>
          </w:p>
        </w:tc>
      </w:tr>
      <w:tr w:rsidR="00BB18A2" w14:paraId="58B6F22D" w14:textId="77777777">
        <w:trPr>
          <w:jc w:val="center"/>
        </w:trPr>
        <w:tc>
          <w:tcPr>
            <w:tcW w:w="2396" w:type="dxa"/>
            <w:vAlign w:val="center"/>
          </w:tcPr>
          <w:p w14:paraId="4DD3DB82" w14:textId="77777777" w:rsidR="00BB18A2" w:rsidRDefault="00000000">
            <w:pPr>
              <w:spacing w:line="276" w:lineRule="auto" w:after="60"/>
              <w:jc w:val="left"/>
            </w:pPr>
            <w:r>
              <w:rPr>
                <w:rFonts w:ascii="Times New Roman" w:hAnsi="Times New Roman" w:eastAsia="Times New Roman" w:cs="Times New Roman"/>
                <w:sz w:val="21"/>
              </w:rPr>
              <w:t>Pipeline complexity</w:t>
            </w:r>
          </w:p>
        </w:tc>
        <w:tc>
          <w:tcPr>
            <w:tcW w:w="2916" w:type="dxa"/>
            <w:vAlign w:val="center"/>
          </w:tcPr>
          <w:p w14:paraId="5398EBA2" w14:textId="77777777" w:rsidR="00BB18A2" w:rsidRDefault="00000000">
            <w:pPr>
              <w:spacing w:line="276" w:lineRule="auto" w:after="60"/>
              <w:jc w:val="left"/>
            </w:pPr>
            <w:r>
              <w:rPr>
                <w:rFonts w:ascii="Times New Roman" w:hAnsi="Times New Roman" w:eastAsia="Times New Roman" w:cs="Times New Roman"/>
                <w:sz w:val="21"/>
              </w:rPr>
              <w:t>Airflow and dbt add setup effort compared with a simple script</w:t>
            </w:r>
          </w:p>
        </w:tc>
        <w:tc>
          <w:tcPr>
            <w:tcW w:w="3704" w:type="dxa"/>
            <w:vAlign w:val="center"/>
          </w:tcPr>
          <w:p w14:paraId="2C9484CA" w14:textId="77777777" w:rsidR="00BB18A2" w:rsidRDefault="00000000">
            <w:pPr>
              <w:spacing w:line="276" w:lineRule="auto" w:after="60"/>
              <w:jc w:val="left"/>
            </w:pPr>
            <w:r>
              <w:rPr>
                <w:rFonts w:ascii="Times New Roman" w:hAnsi="Times New Roman" w:eastAsia="Times New Roman" w:cs="Times New Roman"/>
                <w:sz w:val="21"/>
              </w:rPr>
              <w:t>Keep the DAG small, use batch refresh, document fallback manual runs, and prioritise core tables first</w:t>
            </w:r>
          </w:p>
        </w:tc>
      </w:tr>
      <w:tr w:rsidR="00BB18A2" w14:paraId="2713ED82" w14:textId="77777777">
        <w:trPr>
          <w:jc w:val="center"/>
        </w:trPr>
        <w:tc>
          <w:tcPr>
            <w:tcW w:w="2396" w:type="dxa"/>
            <w:vAlign w:val="center"/>
          </w:tcPr>
          <w:p w14:paraId="7D759C68" w14:textId="77777777" w:rsidR="00BB18A2" w:rsidRDefault="00000000">
            <w:pPr>
              <w:spacing w:line="276" w:lineRule="auto" w:after="60"/>
              <w:jc w:val="left"/>
            </w:pPr>
            <w:r>
              <w:rPr>
                <w:rFonts w:ascii="Times New Roman" w:hAnsi="Times New Roman" w:eastAsia="Times New Roman" w:cs="Times New Roman"/>
                <w:sz w:val="21"/>
              </w:rPr>
              <w:t>Schema flexibility</w:t>
            </w:r>
          </w:p>
        </w:tc>
        <w:tc>
          <w:tcPr>
            <w:tcW w:w="2916" w:type="dxa"/>
            <w:vAlign w:val="center"/>
          </w:tcPr>
          <w:p w14:paraId="23FE4FD9" w14:textId="77777777" w:rsidR="00BB18A2" w:rsidRDefault="00000000">
            <w:pPr>
              <w:spacing w:line="276" w:lineRule="auto" w:after="60"/>
              <w:jc w:val="left"/>
            </w:pPr>
            <w:r>
              <w:rPr>
                <w:rFonts w:ascii="Times New Roman" w:hAnsi="Times New Roman" w:eastAsia="Times New Roman" w:cs="Times New Roman"/>
                <w:sz w:val="21"/>
              </w:rPr>
              <w:t>Company sheets may change column names or contain messy formats</w:t>
            </w:r>
          </w:p>
        </w:tc>
        <w:tc>
          <w:tcPr>
            <w:tcW w:w="3704" w:type="dxa"/>
            <w:vAlign w:val="center"/>
          </w:tcPr>
          <w:p w14:paraId="6E49FA4A" w14:textId="77777777" w:rsidR="00BB18A2" w:rsidRDefault="00000000">
            <w:pPr>
              <w:spacing w:line="276" w:lineRule="auto" w:after="60"/>
              <w:jc w:val="left"/>
            </w:pPr>
            <w:r>
              <w:rPr>
                <w:rFonts w:ascii="Times New Roman" w:hAnsi="Times New Roman" w:eastAsia="Times New Roman" w:cs="Times New Roman"/>
                <w:sz w:val="21"/>
              </w:rPr>
              <w:t>Use flexible data contracts, alias mapping, validation flags, and source-level quality status</w:t>
            </w:r>
          </w:p>
        </w:tc>
      </w:tr>
    </w:tbl>
    <w:p w14:paraId="428B5B2F" w14:textId="77777777" w:rsidR="0084730D" w:rsidRPr="00335C63" w:rsidRDefault="0084730D" w:rsidP="000F4170">
      <w:pPr>
        <w:spacing w:line="360" w:lineRule="auto" w:after="120"/>
        <w:jc w:val="left"/>
        <w:rPr>
          <w:rFonts w:ascii="Times New Roman" w:hAnsi="Times New Roman" w:cs="Times New Roman"/>
          <w:sz w:val="24"/>
          <w:szCs w:val="24"/>
        </w:rPr>
      </w:pPr>
    </w:p>
    <w:p w14:paraId="7735F46F"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3.12 Evaluation Plan</w:t>
      </w:r>
    </w:p>
    <w:p w14:paraId="6BEF48C6"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Functional testing: verify data upload/sync, cleaning outputs, BigQuery table creation, and dashboard refresh.</w:t>
      </w:r>
    </w:p>
    <w:p w14:paraId="55C7B6E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Data quality testing: verify missing-value summaries, duplicate counts, invalid-date flags, unmatched-customer logs, coordinate match confidence, weather coverage, and calendar matching confidence.</w:t>
      </w:r>
    </w:p>
    <w:p w14:paraId="69C0E088"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Refresh testing: confirm scheduled ETL or BigQuery scheduled queries update marts and show last refresh status.</w:t>
      </w:r>
    </w:p>
    <w:p w14:paraId="2772C415"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Analytics validation: compare selected dashboard metrics against manual spreadsheet calculations.</w:t>
      </w:r>
    </w:p>
    <w:p w14:paraId="78D92B13"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Usability testing: ask management or operations users to complete business questions using the dashboard.</w:t>
      </w:r>
    </w:p>
    <w:p w14:paraId="3E5662C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Privacy testing: confirm anonymised views remove customer names, phone numbers, and full address fields from academic/reporting outputs.</w:t>
      </w:r>
    </w:p>
    <w:p w14:paraId="13173A7E"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lastRenderedPageBreak/>
        <w:t>Recommendation testing: verify recommendation log fields are generated and that management response/outcome can be tracked.</w:t>
      </w:r>
    </w:p>
    <w:p w14:paraId="7D2BA5F9"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Insight usefulness: collect feedback on whether area risk, recurrence, treatment difficulty, and upsell outputs are actionable.</w:t>
      </w:r>
    </w:p>
    <w:p w14:paraId="0E8B3620" w14:textId="77777777" w:rsidR="0084730D" w:rsidRPr="00335C63" w:rsidRDefault="00357319" w:rsidP="008D6A1A">
      <w:pPr>
        <w:pStyle w:val="ListBullet"/>
        <w:spacing w:after="120" w:line="360" w:lineRule="auto"/>
        <w:jc w:val="both"/>
        <w:rPr>
          <w:rFonts w:ascii="Times New Roman" w:hAnsi="Times New Roman" w:cs="Times New Roman"/>
          <w:sz w:val="24"/>
          <w:szCs w:val="24"/>
        </w:rPr>
      </w:pPr>
      <w:r w:rsidRPr="00335C63">
        <w:rPr>
          <w:rFonts w:ascii="Times New Roman" w:hAnsi="Times New Roman" w:cs="Times New Roman" w:eastAsia="Times New Roman"/>
          <w:sz w:val="24"/>
          <w:szCs w:val="24"/>
        </w:rPr>
        <w:t>Method review: confirm that weather and technician analysis is framed as association/review indicator, not direct blame or causation.</w:t>
      </w:r>
    </w:p>
    <w:p w14:paraId="0DA81610"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Chapter 4: Work Plan and Timeline</w:t>
      </w:r>
    </w:p>
    <w:p w14:paraId="04630C47" w14:textId="77777777" w:rsidR="0084730D" w:rsidRPr="00335C63" w:rsidRDefault="00357319" w:rsidP="008D6A1A">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The project will be completed in iterative stages. The timeline below assumes a 14-week capstone implementation period after proposal approval. Activities are arranged to reduce risk: data understanding and warehouse design come first, then analytics logic, then dashboards, then evaluation.</w:t>
      </w:r>
    </w:p>
    <w:p w14:paraId="66DAB690" w14:textId="77777777" w:rsidR="00984EB3" w:rsidRDefault="003C0C08">
      <w:pPr>
        <w:pStyle w:val="Heading2"/>
        <w:spacing w:line="360" w:lineRule="auto" w:after="120" w:before="160"/>
        <w:jc w:val="left"/>
      </w:pPr>
      <w:r>
        <w:rPr>
          <w:rFonts w:ascii="Times New Roman" w:hAnsi="Times New Roman" w:eastAsia="Times New Roman" w:cs="Times New Roman"/>
          <w:b/>
          <w:color w:val="000000"/>
          <w:sz w:val="24"/>
        </w:rPr>
        <w:t>4.1 Proposed CP1 Gantt Chart</w:t>
      </w:r>
    </w:p>
    <w:p w14:paraId="6F9AAA0C" w14:textId="77777777" w:rsidR="00984EB3" w:rsidRPr="008D6A1A" w:rsidRDefault="003C0C08" w:rsidP="008D6A1A">
      <w:pPr>
        <w:spacing w:line="360" w:lineRule="auto" w:after="120"/>
        <w:jc w:val="both"/>
        <w:rPr>
          <w:rFonts w:ascii="Times New Roman" w:hAnsi="Times New Roman" w:cs="Times New Roman"/>
          <w:sz w:val="24"/>
          <w:szCs w:val="24"/>
        </w:rPr>
      </w:pPr>
      <w:r w:rsidRPr="008D6A1A">
        <w:rPr>
          <w:rFonts w:ascii="Times New Roman" w:hAnsi="Times New Roman" w:cs="Times New Roman" w:eastAsia="Times New Roman"/>
          <w:sz w:val="24"/>
          <w:szCs w:val="24"/>
        </w:rPr>
        <w:t>The Gantt chart below summarises the proposed CP1 planning timeline. It focuses on proposal preparation, literature review, methodology design, data understanding, architecture planning, and report finalisation. System implementation, dashboard development, and company evaluation will continue in CP2.</w:t>
      </w:r>
    </w:p>
    <w:p w14:paraId="1B7A723E" w14:textId="77777777" w:rsidR="00984EB3" w:rsidRDefault="00984EB3">
      <w:pPr>
        <w:spacing w:line="360" w:lineRule="auto" w:after="120"/>
        <w:jc w:val="left"/>
      </w:pPr>
    </w:p>
    <w:p w14:paraId="437D6CF2" w14:textId="77777777" w:rsidR="00984EB3" w:rsidRDefault="003C0C08">
      <w:pPr>
        <w:spacing w:line="360" w:lineRule="auto" w:after="120"/>
        <w:jc w:val="center"/>
      </w:pPr>
      <w:r>
        <w:rPr>
          <w:rFonts w:ascii="Times New Roman" w:hAnsi="Times New Roman" w:eastAsia="Times New Roman" w:cs="Times New Roman"/>
          <w:i/>
          <w:sz w:val="24"/>
        </w:rPr>
        <w:t>Figure 4.1: Proposed Gantt chart for Capstone Project 1 planning activities.</w:t>
      </w:r>
    </w:p>
    <w:p>
      <w:pPr>
        <w:pStyle w:val="Heading2"/>
        <w:spacing w:line="360" w:lineRule="auto" w:after="120" w:before="160"/>
        <w:jc w:val="left"/>
      </w:pPr>
      <w:r>
        <w:rPr>
          <w:rFonts w:ascii="Times New Roman" w:hAnsi="Times New Roman" w:eastAsia="Times New Roman"/>
          <w:b/>
          <w:color w:val="000000"/>
          <w:sz w:val="24"/>
        </w:rPr>
        <w:t>4.2 Proposed CP2 Gantt Chart</w:t>
      </w:r>
    </w:p>
    <w:p>
      <w:pPr>
        <w:spacing w:line="360" w:lineRule="auto" w:after="120"/>
        <w:jc w:val="both"/>
      </w:pPr>
      <w:r>
        <w:rPr>
          <w:rFonts w:ascii="Times New Roman" w:hAnsi="Times New Roman" w:eastAsia="Times New Roman"/>
          <w:sz w:val="24"/>
        </w:rPr>
        <w:t>The CP2 Gantt chart will guide the implementation semester. It covers source profiling, Python extraction, BigQuery loading, dbt transformations, weather enrichment, analytics mart development, Apache Superset dashboard creation, recommendation logging, testing, user feedback, and final presentation preparation. The editable Gantt workbook is saved separately so the timeline can be refined after supervisor approval.</w:t>
      </w:r>
    </w:p>
    <w:tbl>
      <w:tblPr>
        <w:tblW w:type="auto" w:w="0"/>
        <w:tblLook w:firstColumn="1" w:firstRow="1" w:lastColumn="0" w:lastRow="0" w:noHBand="0" w:noVBand="1" w:val="04A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6"/>
        <w:gridCol w:w="2256"/>
        <w:gridCol w:w="2256"/>
        <w:gridCol w:w="2256"/>
      </w:tblGrid>
      <w:tr>
        <w:tc>
          <w:tcPr>
            <w:tcW w:type="dxa" w:w="2256"/>
            <w:shd w:fill="1F2937"/>
            <w:vAlign w:val="center"/>
          </w:tcPr>
          <w:p>
            <w:pPr>
              <w:spacing w:line="276" w:lineRule="auto" w:after="60"/>
              <w:jc w:val="left"/>
            </w:pPr>
            <w:r>
              <w:rPr>
                <w:rFonts w:ascii="Times New Roman" w:hAnsi="Times New Roman" w:eastAsia="Times New Roman"/>
                <w:b/>
                <w:color w:val="FFFFFF"/>
                <w:sz w:val="21"/>
              </w:rPr>
              <w:t>CP2 Phase</w:t>
            </w:r>
          </w:p>
        </w:tc>
        <w:tc>
          <w:tcPr>
            <w:tcW w:type="dxa" w:w="2256"/>
            <w:shd w:fill="1F2937"/>
            <w:vAlign w:val="center"/>
          </w:tcPr>
          <w:p>
            <w:pPr>
              <w:spacing w:line="276" w:lineRule="auto" w:after="60"/>
              <w:jc w:val="left"/>
            </w:pPr>
            <w:r>
              <w:rPr>
                <w:rFonts w:ascii="Times New Roman" w:hAnsi="Times New Roman" w:eastAsia="Times New Roman"/>
                <w:b/>
                <w:color w:val="FFFFFF"/>
                <w:sz w:val="21"/>
              </w:rPr>
              <w:t>Main Work</w:t>
            </w:r>
          </w:p>
        </w:tc>
        <w:tc>
          <w:tcPr>
            <w:tcW w:type="dxa" w:w="2256"/>
            <w:shd w:fill="1F2937"/>
            <w:vAlign w:val="center"/>
          </w:tcPr>
          <w:p>
            <w:pPr>
              <w:spacing w:line="276" w:lineRule="auto" w:after="60"/>
              <w:jc w:val="left"/>
            </w:pPr>
            <w:r>
              <w:rPr>
                <w:rFonts w:ascii="Times New Roman" w:hAnsi="Times New Roman" w:eastAsia="Times New Roman"/>
                <w:b/>
                <w:color w:val="FFFFFF"/>
                <w:sz w:val="21"/>
              </w:rPr>
              <w:t>Planned Weeks</w:t>
            </w:r>
          </w:p>
        </w:tc>
        <w:tc>
          <w:tcPr>
            <w:tcW w:type="dxa" w:w="2256"/>
            <w:shd w:fill="1F2937"/>
            <w:vAlign w:val="center"/>
          </w:tcPr>
          <w:p>
            <w:pPr>
              <w:spacing w:line="276" w:lineRule="auto" w:after="60"/>
              <w:jc w:val="left"/>
            </w:pPr>
            <w:r>
              <w:rPr>
                <w:rFonts w:ascii="Times New Roman" w:hAnsi="Times New Roman" w:eastAsia="Times New Roman"/>
                <w:b/>
                <w:color w:val="FFFFFF"/>
                <w:sz w:val="21"/>
              </w:rPr>
              <w:t>Expected Output</w:t>
            </w:r>
          </w:p>
        </w:tc>
      </w:tr>
      <w:tr>
        <w:tc>
          <w:tcPr>
            <w:tcW w:type="dxa" w:w="2256"/>
            <w:vAlign w:val="center"/>
          </w:tcPr>
          <w:p>
            <w:pPr>
              <w:spacing w:line="276" w:lineRule="auto" w:after="60"/>
              <w:jc w:val="left"/>
            </w:pPr>
            <w:r>
              <w:rPr>
                <w:rFonts w:ascii="Times New Roman" w:hAnsi="Times New Roman" w:eastAsia="Times New Roman"/>
                <w:sz w:val="21"/>
              </w:rPr>
              <w:t>Setup and profiling</w:t>
            </w:r>
          </w:p>
        </w:tc>
        <w:tc>
          <w:tcPr>
            <w:tcW w:type="dxa" w:w="2256"/>
            <w:vAlign w:val="center"/>
          </w:tcPr>
          <w:p>
            <w:pPr>
              <w:spacing w:line="276" w:lineRule="auto" w:after="60"/>
              <w:jc w:val="left"/>
            </w:pPr>
            <w:r>
              <w:rPr>
                <w:rFonts w:ascii="Times New Roman" w:hAnsi="Times New Roman" w:eastAsia="Times New Roman"/>
                <w:sz w:val="21"/>
              </w:rPr>
              <w:t>Configure repository, environments, source access and data profiling scripts.</w:t>
            </w:r>
          </w:p>
        </w:tc>
        <w:tc>
          <w:tcPr>
            <w:tcW w:type="dxa" w:w="2256"/>
            <w:vAlign w:val="center"/>
          </w:tcPr>
          <w:p>
            <w:pPr>
              <w:spacing w:line="276" w:lineRule="auto" w:after="60"/>
              <w:jc w:val="left"/>
            </w:pPr>
            <w:r>
              <w:rPr>
                <w:rFonts w:ascii="Times New Roman" w:hAnsi="Times New Roman" w:eastAsia="Times New Roman"/>
                <w:sz w:val="21"/>
              </w:rPr>
              <w:t>Weeks 1-3</w:t>
            </w:r>
          </w:p>
        </w:tc>
        <w:tc>
          <w:tcPr>
            <w:tcW w:type="dxa" w:w="2256"/>
            <w:vAlign w:val="center"/>
          </w:tcPr>
          <w:p>
            <w:pPr>
              <w:spacing w:line="276" w:lineRule="auto" w:after="60"/>
              <w:jc w:val="left"/>
            </w:pPr>
            <w:r>
              <w:rPr>
                <w:rFonts w:ascii="Times New Roman" w:hAnsi="Times New Roman" w:eastAsia="Times New Roman"/>
                <w:sz w:val="21"/>
              </w:rPr>
              <w:t>Confirmed source inventory and project setup</w:t>
            </w:r>
          </w:p>
        </w:tc>
      </w:tr>
      <w:tr>
        <w:tc>
          <w:tcPr>
            <w:tcW w:type="dxa" w:w="2256"/>
            <w:vAlign w:val="center"/>
          </w:tcPr>
          <w:p>
            <w:pPr>
              <w:spacing w:line="276" w:lineRule="auto" w:after="60"/>
              <w:jc w:val="left"/>
            </w:pPr>
            <w:r>
              <w:rPr>
                <w:rFonts w:ascii="Times New Roman" w:hAnsi="Times New Roman" w:eastAsia="Times New Roman"/>
                <w:sz w:val="21"/>
              </w:rPr>
              <w:t>ETL and warehouse</w:t>
            </w:r>
          </w:p>
        </w:tc>
        <w:tc>
          <w:tcPr>
            <w:tcW w:type="dxa" w:w="2256"/>
            <w:vAlign w:val="center"/>
          </w:tcPr>
          <w:p>
            <w:pPr>
              <w:spacing w:line="276" w:lineRule="auto" w:after="60"/>
              <w:jc w:val="left"/>
            </w:pPr>
            <w:r>
              <w:rPr>
                <w:rFonts w:ascii="Times New Roman" w:hAnsi="Times New Roman" w:eastAsia="Times New Roman"/>
                <w:sz w:val="21"/>
              </w:rPr>
              <w:t>Build Python extraction, BigQuery bronze loading, data quality checks and dbt silver models.</w:t>
            </w:r>
          </w:p>
        </w:tc>
        <w:tc>
          <w:tcPr>
            <w:tcW w:type="dxa" w:w="2256"/>
            <w:vAlign w:val="center"/>
          </w:tcPr>
          <w:p>
            <w:pPr>
              <w:spacing w:line="276" w:lineRule="auto" w:after="60"/>
              <w:jc w:val="left"/>
            </w:pPr>
            <w:r>
              <w:rPr>
                <w:rFonts w:ascii="Times New Roman" w:hAnsi="Times New Roman" w:eastAsia="Times New Roman"/>
                <w:sz w:val="21"/>
              </w:rPr>
              <w:t>Weeks 4-9</w:t>
            </w:r>
          </w:p>
        </w:tc>
        <w:tc>
          <w:tcPr>
            <w:tcW w:type="dxa" w:w="2256"/>
            <w:vAlign w:val="center"/>
          </w:tcPr>
          <w:p>
            <w:pPr>
              <w:spacing w:line="276" w:lineRule="auto" w:after="60"/>
              <w:jc w:val="left"/>
            </w:pPr>
            <w:r>
              <w:rPr>
                <w:rFonts w:ascii="Times New Roman" w:hAnsi="Times New Roman" w:eastAsia="Times New Roman"/>
                <w:sz w:val="21"/>
              </w:rPr>
              <w:t>Validated warehouse tables and data quality outputs</w:t>
            </w:r>
          </w:p>
        </w:tc>
      </w:tr>
      <w:tr>
        <w:tc>
          <w:tcPr>
            <w:tcW w:type="dxa" w:w="2256"/>
            <w:vAlign w:val="center"/>
          </w:tcPr>
          <w:p>
            <w:pPr>
              <w:spacing w:line="276" w:lineRule="auto" w:after="60"/>
              <w:jc w:val="left"/>
            </w:pPr>
            <w:r>
              <w:rPr>
                <w:rFonts w:ascii="Times New Roman" w:hAnsi="Times New Roman" w:eastAsia="Times New Roman"/>
                <w:sz w:val="21"/>
              </w:rPr>
              <w:t>Analytics marts</w:t>
            </w:r>
          </w:p>
        </w:tc>
        <w:tc>
          <w:tcPr>
            <w:tcW w:type="dxa" w:w="2256"/>
            <w:vAlign w:val="center"/>
          </w:tcPr>
          <w:p>
            <w:pPr>
              <w:spacing w:line="276" w:lineRule="auto" w:after="60"/>
              <w:jc w:val="left"/>
            </w:pPr>
            <w:r>
              <w:rPr>
                <w:rFonts w:ascii="Times New Roman" w:hAnsi="Times New Roman" w:eastAsia="Times New Roman"/>
                <w:sz w:val="21"/>
              </w:rPr>
              <w:t>Create weather, recurrence, hotspot, treatment difficulty, warranty and upsell mart tables.</w:t>
            </w:r>
          </w:p>
        </w:tc>
        <w:tc>
          <w:tcPr>
            <w:tcW w:type="dxa" w:w="2256"/>
            <w:vAlign w:val="center"/>
          </w:tcPr>
          <w:p>
            <w:pPr>
              <w:spacing w:line="276" w:lineRule="auto" w:after="60"/>
              <w:jc w:val="left"/>
            </w:pPr>
            <w:r>
              <w:rPr>
                <w:rFonts w:ascii="Times New Roman" w:hAnsi="Times New Roman" w:eastAsia="Times New Roman"/>
                <w:sz w:val="21"/>
              </w:rPr>
              <w:t>Weeks 8-13</w:t>
            </w:r>
          </w:p>
        </w:tc>
        <w:tc>
          <w:tcPr>
            <w:tcW w:type="dxa" w:w="2256"/>
            <w:vAlign w:val="center"/>
          </w:tcPr>
          <w:p>
            <w:pPr>
              <w:spacing w:line="276" w:lineRule="auto" w:after="60"/>
              <w:jc w:val="left"/>
            </w:pPr>
            <w:r>
              <w:rPr>
                <w:rFonts w:ascii="Times New Roman" w:hAnsi="Times New Roman" w:eastAsia="Times New Roman"/>
                <w:sz w:val="21"/>
              </w:rPr>
              <w:t>Dashboard-ready gold-layer marts</w:t>
            </w:r>
          </w:p>
        </w:tc>
      </w:tr>
      <w:tr>
        <w:tc>
          <w:tcPr>
            <w:tcW w:type="dxa" w:w="2256"/>
            <w:vAlign w:val="center"/>
          </w:tcPr>
          <w:p>
            <w:pPr>
              <w:spacing w:line="276" w:lineRule="auto" w:after="60"/>
              <w:jc w:val="left"/>
            </w:pPr>
            <w:r>
              <w:rPr>
                <w:rFonts w:ascii="Times New Roman" w:hAnsi="Times New Roman" w:eastAsia="Times New Roman"/>
                <w:sz w:val="21"/>
              </w:rPr>
              <w:t>Dashboard and decision support</w:t>
            </w:r>
          </w:p>
        </w:tc>
        <w:tc>
          <w:tcPr>
            <w:tcW w:type="dxa" w:w="2256"/>
            <w:vAlign w:val="center"/>
          </w:tcPr>
          <w:p>
            <w:pPr>
              <w:spacing w:line="276" w:lineRule="auto" w:after="60"/>
              <w:jc w:val="left"/>
            </w:pPr>
            <w:r>
              <w:rPr>
                <w:rFonts w:ascii="Times New Roman" w:hAnsi="Times New Roman" w:eastAsia="Times New Roman"/>
                <w:sz w:val="21"/>
              </w:rPr>
              <w:t>Build Superset dashboards and recommendation log outputs.</w:t>
            </w:r>
          </w:p>
        </w:tc>
        <w:tc>
          <w:tcPr>
            <w:tcW w:type="dxa" w:w="2256"/>
            <w:vAlign w:val="center"/>
          </w:tcPr>
          <w:p>
            <w:pPr>
              <w:spacing w:line="276" w:lineRule="auto" w:after="60"/>
              <w:jc w:val="left"/>
            </w:pPr>
            <w:r>
              <w:rPr>
                <w:rFonts w:ascii="Times New Roman" w:hAnsi="Times New Roman" w:eastAsia="Times New Roman"/>
                <w:sz w:val="21"/>
              </w:rPr>
              <w:t>Weeks 12-15</w:t>
            </w:r>
          </w:p>
        </w:tc>
        <w:tc>
          <w:tcPr>
            <w:tcW w:type="dxa" w:w="2256"/>
            <w:vAlign w:val="center"/>
          </w:tcPr>
          <w:p>
            <w:pPr>
              <w:spacing w:line="276" w:lineRule="auto" w:after="60"/>
              <w:jc w:val="left"/>
            </w:pPr>
            <w:r>
              <w:rPr>
                <w:rFonts w:ascii="Times New Roman" w:hAnsi="Times New Roman" w:eastAsia="Times New Roman"/>
                <w:sz w:val="21"/>
              </w:rPr>
              <w:t>Management dashboard prototype</w:t>
            </w:r>
          </w:p>
        </w:tc>
      </w:tr>
      <w:tr>
        <w:tc>
          <w:tcPr>
            <w:tcW w:type="dxa" w:w="2256"/>
            <w:vAlign w:val="center"/>
          </w:tcPr>
          <w:p>
            <w:pPr>
              <w:spacing w:line="276" w:lineRule="auto" w:after="60"/>
              <w:jc w:val="left"/>
            </w:pPr>
            <w:r>
              <w:rPr>
                <w:rFonts w:ascii="Times New Roman" w:hAnsi="Times New Roman" w:eastAsia="Times New Roman"/>
                <w:sz w:val="21"/>
              </w:rPr>
              <w:t>Testing and evaluation</w:t>
            </w:r>
          </w:p>
        </w:tc>
        <w:tc>
          <w:tcPr>
            <w:tcW w:type="dxa" w:w="2256"/>
            <w:vAlign w:val="center"/>
          </w:tcPr>
          <w:p>
            <w:pPr>
              <w:spacing w:line="276" w:lineRule="auto" w:after="60"/>
              <w:jc w:val="left"/>
            </w:pPr>
            <w:r>
              <w:rPr>
                <w:rFonts w:ascii="Times New Roman" w:hAnsi="Times New Roman" w:eastAsia="Times New Roman"/>
                <w:sz w:val="21"/>
              </w:rPr>
              <w:t>Run pipeline checks, dashboard verification, sample validation and company feedback.</w:t>
            </w:r>
          </w:p>
        </w:tc>
        <w:tc>
          <w:tcPr>
            <w:tcW w:type="dxa" w:w="2256"/>
            <w:vAlign w:val="center"/>
          </w:tcPr>
          <w:p>
            <w:pPr>
              <w:spacing w:line="276" w:lineRule="auto" w:after="60"/>
              <w:jc w:val="left"/>
            </w:pPr>
            <w:r>
              <w:rPr>
                <w:rFonts w:ascii="Times New Roman" w:hAnsi="Times New Roman" w:eastAsia="Times New Roman"/>
                <w:sz w:val="21"/>
              </w:rPr>
              <w:t>Weeks 15-17</w:t>
            </w:r>
          </w:p>
        </w:tc>
        <w:tc>
          <w:tcPr>
            <w:tcW w:type="dxa" w:w="2256"/>
            <w:vAlign w:val="center"/>
          </w:tcPr>
          <w:p>
            <w:pPr>
              <w:spacing w:line="276" w:lineRule="auto" w:after="60"/>
              <w:jc w:val="left"/>
            </w:pPr>
            <w:r>
              <w:rPr>
                <w:rFonts w:ascii="Times New Roman" w:hAnsi="Times New Roman" w:eastAsia="Times New Roman"/>
                <w:sz w:val="21"/>
              </w:rPr>
              <w:t>Evaluation results and improvement notes</w:t>
            </w:r>
          </w:p>
        </w:tc>
      </w:tr>
      <w:tr>
        <w:tc>
          <w:tcPr>
            <w:tcW w:type="dxa" w:w="2256"/>
            <w:vAlign w:val="center"/>
          </w:tcPr>
          <w:p>
            <w:pPr>
              <w:spacing w:line="276" w:lineRule="auto" w:after="60"/>
              <w:jc w:val="left"/>
            </w:pPr>
            <w:r>
              <w:rPr>
                <w:rFonts w:ascii="Times New Roman" w:hAnsi="Times New Roman" w:eastAsia="Times New Roman"/>
                <w:sz w:val="21"/>
              </w:rPr>
              <w:t>Final reporting</w:t>
            </w:r>
          </w:p>
        </w:tc>
        <w:tc>
          <w:tcPr>
            <w:tcW w:type="dxa" w:w="2256"/>
            <w:vAlign w:val="center"/>
          </w:tcPr>
          <w:p>
            <w:pPr>
              <w:spacing w:line="276" w:lineRule="auto" w:after="60"/>
              <w:jc w:val="left"/>
            </w:pPr>
            <w:r>
              <w:rPr>
                <w:rFonts w:ascii="Times New Roman" w:hAnsi="Times New Roman" w:eastAsia="Times New Roman"/>
                <w:sz w:val="21"/>
              </w:rPr>
              <w:t>Prepare CP2 report, presentation, demo flow, limitations and future work.</w:t>
            </w:r>
          </w:p>
        </w:tc>
        <w:tc>
          <w:tcPr>
            <w:tcW w:type="dxa" w:w="2256"/>
            <w:vAlign w:val="center"/>
          </w:tcPr>
          <w:p>
            <w:pPr>
              <w:spacing w:line="276" w:lineRule="auto" w:after="60"/>
              <w:jc w:val="left"/>
            </w:pPr>
            <w:r>
              <w:rPr>
                <w:rFonts w:ascii="Times New Roman" w:hAnsi="Times New Roman" w:eastAsia="Times New Roman"/>
                <w:sz w:val="21"/>
              </w:rPr>
              <w:t>Weeks 17-20</w:t>
            </w:r>
          </w:p>
        </w:tc>
        <w:tc>
          <w:tcPr>
            <w:tcW w:type="dxa" w:w="2256"/>
            <w:vAlign w:val="center"/>
          </w:tcPr>
          <w:p>
            <w:pPr>
              <w:spacing w:line="276" w:lineRule="auto" w:after="60"/>
              <w:jc w:val="left"/>
            </w:pPr>
            <w:r>
              <w:rPr>
                <w:rFonts w:ascii="Times New Roman" w:hAnsi="Times New Roman" w:eastAsia="Times New Roman"/>
                <w:sz w:val="21"/>
              </w:rPr>
              <w:t>Final capstone submission</w:t>
            </w:r>
          </w:p>
        </w:tc>
      </w:tr>
    </w:tbl>
    <w:p>
      <w:pPr>
        <w:spacing w:line="360" w:lineRule="auto" w:after="120"/>
        <w:jc w:val="center"/>
      </w:pPr>
      <w:r>
        <w:rPr>
          <w:rFonts w:ascii="Times New Roman" w:hAnsi="Times New Roman" w:eastAsia="Times New Roman"/>
          <w:i/>
          <w:sz w:val="24"/>
        </w:rPr>
        <w:t>Table 4.1: Summary of the proposed CP2 implementation timeline. The detailed editable chart is provided in Nomobug_CP1_CP2_Gantt_Chart.xlsx.</w:t>
      </w:r>
    </w:p>
    <w:tbl>
      <w:tblPr>
        <w:tblStyle w:val="TableGrid"/>
        <w:tblW w:w="5000" w:type="pct"/>
        <w:jc w:val="center"/>
        <w:tblLook w:val="04A0" w:firstRow="1" w:lastRow="0" w:firstColumn="1" w:lastColumn="0" w:noHBand="0" w:noVBand="1"/>
      </w:tblPr>
      <w:tblGrid>
        <w:gridCol w:w="1272"/>
        <w:gridCol w:w="4320"/>
        <w:gridCol w:w="3424"/>
      </w:tblGrid>
      <w:tr w:rsidR="0084730D" w:rsidRPr="00335C63" w14:paraId="6405BD33" w14:textId="77777777" w:rsidTr="00997D20">
        <w:trPr>
          <w:cantSplit/>
          <w:tblHeader/>
          <w:jc w:val="center"/>
        </w:trPr>
        <w:tc>
          <w:tcPr>
            <w:tcW w:w="705" w:type="pct"/>
            <w:shd w:val="clear" w:color="auto" w:fill="E8F1FA"/>
            <w:tcMar>
              <w:top w:w="90" w:type="dxa"/>
              <w:left w:w="90" w:type="dxa"/>
              <w:bottom w:w="90" w:type="dxa"/>
              <w:right w:w="90" w:type="dxa"/>
            </w:tcMar>
            <w:vAlign w:val="center"/>
          </w:tcPr>
          <w:p w14:paraId="3DC9512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Week</w:t>
            </w:r>
          </w:p>
        </w:tc>
        <w:tc>
          <w:tcPr>
            <w:tcW w:w="2396" w:type="pct"/>
            <w:shd w:val="clear" w:color="auto" w:fill="E8F1FA"/>
            <w:tcMar>
              <w:top w:w="90" w:type="dxa"/>
              <w:left w:w="90" w:type="dxa"/>
              <w:bottom w:w="90" w:type="dxa"/>
              <w:right w:w="90" w:type="dxa"/>
            </w:tcMar>
            <w:vAlign w:val="center"/>
          </w:tcPr>
          <w:p w14:paraId="6F3A81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Work Package</w:t>
            </w:r>
          </w:p>
        </w:tc>
        <w:tc>
          <w:tcPr>
            <w:tcW w:w="1899" w:type="pct"/>
            <w:shd w:val="clear" w:color="auto" w:fill="E8F1FA"/>
            <w:tcMar>
              <w:top w:w="90" w:type="dxa"/>
              <w:left w:w="90" w:type="dxa"/>
              <w:bottom w:w="90" w:type="dxa"/>
              <w:right w:w="90" w:type="dxa"/>
            </w:tcMar>
            <w:vAlign w:val="center"/>
          </w:tcPr>
          <w:p w14:paraId="328CF0F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Deliverable</w:t>
            </w:r>
          </w:p>
        </w:tc>
      </w:tr>
      <w:tr w:rsidR="0084730D" w:rsidRPr="00335C63" w14:paraId="2CDE19D2" w14:textId="77777777" w:rsidTr="00997D20">
        <w:trPr>
          <w:cantSplit/>
          <w:jc w:val="center"/>
        </w:trPr>
        <w:tc>
          <w:tcPr>
            <w:tcW w:w="705" w:type="pct"/>
            <w:tcMar>
              <w:top w:w="90" w:type="dxa"/>
              <w:left w:w="90" w:type="dxa"/>
              <w:bottom w:w="90" w:type="dxa"/>
              <w:right w:w="90" w:type="dxa"/>
            </w:tcMar>
            <w:vAlign w:val="center"/>
          </w:tcPr>
          <w:p w14:paraId="4B383C9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1</w:t>
            </w:r>
          </w:p>
        </w:tc>
        <w:tc>
          <w:tcPr>
            <w:tcW w:w="2396" w:type="pct"/>
            <w:tcMar>
              <w:top w:w="90" w:type="dxa"/>
              <w:left w:w="90" w:type="dxa"/>
              <w:bottom w:w="90" w:type="dxa"/>
              <w:right w:w="90" w:type="dxa"/>
            </w:tcMar>
            <w:vAlign w:val="center"/>
          </w:tcPr>
          <w:p w14:paraId="47788E3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Confirm scope, finalise data sources, review rubric and supervisor feedback</w:t>
            </w:r>
          </w:p>
        </w:tc>
        <w:tc>
          <w:tcPr>
            <w:tcW w:w="1899" w:type="pct"/>
            <w:tcMar>
              <w:top w:w="90" w:type="dxa"/>
              <w:left w:w="90" w:type="dxa"/>
              <w:bottom w:w="90" w:type="dxa"/>
              <w:right w:w="90" w:type="dxa"/>
            </w:tcMar>
            <w:vAlign w:val="center"/>
          </w:tcPr>
          <w:p w14:paraId="76F4EAB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Approved project scope and data access checklist</w:t>
            </w:r>
          </w:p>
        </w:tc>
      </w:tr>
      <w:tr w:rsidR="0084730D" w:rsidRPr="00335C63" w14:paraId="1451E390" w14:textId="77777777" w:rsidTr="00997D20">
        <w:trPr>
          <w:cantSplit/>
          <w:jc w:val="center"/>
        </w:trPr>
        <w:tc>
          <w:tcPr>
            <w:tcW w:w="705" w:type="pct"/>
            <w:tcMar>
              <w:top w:w="90" w:type="dxa"/>
              <w:left w:w="90" w:type="dxa"/>
              <w:bottom w:w="90" w:type="dxa"/>
              <w:right w:w="90" w:type="dxa"/>
            </w:tcMar>
            <w:vAlign w:val="center"/>
          </w:tcPr>
          <w:p w14:paraId="5F9159F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2</w:t>
            </w:r>
          </w:p>
        </w:tc>
        <w:tc>
          <w:tcPr>
            <w:tcW w:w="2396" w:type="pct"/>
            <w:tcMar>
              <w:top w:w="90" w:type="dxa"/>
              <w:left w:w="90" w:type="dxa"/>
              <w:bottom w:w="90" w:type="dxa"/>
              <w:right w:w="90" w:type="dxa"/>
            </w:tcMar>
            <w:vAlign w:val="center"/>
          </w:tcPr>
          <w:p w14:paraId="663445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profiling for Google Sheets, warranty records, refunds, services, payments, and calendar exports</w:t>
            </w:r>
          </w:p>
        </w:tc>
        <w:tc>
          <w:tcPr>
            <w:tcW w:w="1899" w:type="pct"/>
            <w:tcMar>
              <w:top w:w="90" w:type="dxa"/>
              <w:left w:w="90" w:type="dxa"/>
              <w:bottom w:w="90" w:type="dxa"/>
              <w:right w:w="90" w:type="dxa"/>
            </w:tcMar>
            <w:vAlign w:val="center"/>
          </w:tcPr>
          <w:p w14:paraId="7E58160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Data quality report</w:t>
            </w:r>
          </w:p>
        </w:tc>
      </w:tr>
      <w:tr w:rsidR="0084730D" w:rsidRPr="00335C63" w14:paraId="4E69EFA5" w14:textId="77777777" w:rsidTr="00997D20">
        <w:trPr>
          <w:cantSplit/>
          <w:jc w:val="center"/>
        </w:trPr>
        <w:tc>
          <w:tcPr>
            <w:tcW w:w="705" w:type="pct"/>
            <w:tcMar>
              <w:top w:w="90" w:type="dxa"/>
              <w:left w:w="90" w:type="dxa"/>
              <w:bottom w:w="90" w:type="dxa"/>
              <w:right w:w="90" w:type="dxa"/>
            </w:tcMar>
            <w:vAlign w:val="center"/>
          </w:tcPr>
          <w:p w14:paraId="2493B6B3" w14:textId="77777777" w:rsidR="00BB18A2" w:rsidRDefault="00000000">
            <w:pPr>
              <w:spacing w:line="276" w:lineRule="auto" w:after="60"/>
              <w:jc w:val="left"/>
            </w:pPr>
            <w:r>
              <w:rPr>
                <w:rFonts w:ascii="Times New Roman" w:hAnsi="Times New Roman" w:eastAsia="Times New Roman" w:cs="Times New Roman"/>
                <w:sz w:val="21"/>
              </w:rPr>
              <w:t>3</w:t>
            </w:r>
          </w:p>
        </w:tc>
        <w:tc>
          <w:tcPr>
            <w:tcW w:w="2396" w:type="pct"/>
            <w:tcMar>
              <w:top w:w="90" w:type="dxa"/>
              <w:left w:w="90" w:type="dxa"/>
              <w:bottom w:w="90" w:type="dxa"/>
              <w:right w:w="90" w:type="dxa"/>
            </w:tcMar>
            <w:vAlign w:val="center"/>
          </w:tcPr>
          <w:p w14:paraId="51D4AB05" w14:textId="77777777" w:rsidR="00BB18A2" w:rsidRDefault="00000000">
            <w:pPr>
              <w:spacing w:line="276" w:lineRule="auto" w:after="60"/>
              <w:jc w:val="left"/>
            </w:pPr>
            <w:r>
              <w:rPr>
                <w:rFonts w:ascii="Times New Roman" w:hAnsi="Times New Roman" w:eastAsia="Times New Roman" w:cs="Times New Roman"/>
                <w:sz w:val="21"/>
              </w:rPr>
              <w:t>Design Bronze/Silver/Gold BigQuery warehouse, dbt model layers, table relationships, matching keys, anonymised views, and recommendation log</w:t>
            </w:r>
          </w:p>
        </w:tc>
        <w:tc>
          <w:tcPr>
            <w:tcW w:w="1899" w:type="pct"/>
            <w:tcMar>
              <w:top w:w="90" w:type="dxa"/>
              <w:left w:w="90" w:type="dxa"/>
              <w:bottom w:w="90" w:type="dxa"/>
              <w:right w:w="90" w:type="dxa"/>
            </w:tcMar>
            <w:vAlign w:val="center"/>
          </w:tcPr>
          <w:p w14:paraId="66B1CF48" w14:textId="77777777" w:rsidR="00BB18A2" w:rsidRDefault="00000000">
            <w:pPr>
              <w:spacing w:line="276" w:lineRule="auto" w:after="60"/>
              <w:jc w:val="left"/>
            </w:pPr>
            <w:r>
              <w:rPr>
                <w:rFonts w:ascii="Times New Roman" w:hAnsi="Times New Roman" w:eastAsia="Times New Roman" w:cs="Times New Roman"/>
                <w:sz w:val="21"/>
              </w:rPr>
              <w:t>Warehouse and dbt design document</w:t>
            </w:r>
          </w:p>
        </w:tc>
      </w:tr>
      <w:tr w:rsidR="0084730D" w:rsidRPr="00335C63" w14:paraId="06523649" w14:textId="77777777" w:rsidTr="00997D20">
        <w:trPr>
          <w:cantSplit/>
          <w:jc w:val="center"/>
        </w:trPr>
        <w:tc>
          <w:tcPr>
            <w:tcW w:w="705" w:type="pct"/>
            <w:tcMar>
              <w:top w:w="90" w:type="dxa"/>
              <w:left w:w="90" w:type="dxa"/>
              <w:bottom w:w="90" w:type="dxa"/>
              <w:right w:w="90" w:type="dxa"/>
            </w:tcMar>
            <w:vAlign w:val="center"/>
          </w:tcPr>
          <w:p w14:paraId="511B7BC2" w14:textId="77777777" w:rsidR="00BB18A2" w:rsidRDefault="00000000">
            <w:pPr>
              <w:spacing w:line="276" w:lineRule="auto" w:after="60"/>
              <w:jc w:val="left"/>
            </w:pPr>
            <w:r>
              <w:rPr>
                <w:rFonts w:ascii="Times New Roman" w:hAnsi="Times New Roman" w:eastAsia="Times New Roman" w:cs="Times New Roman"/>
                <w:sz w:val="21"/>
              </w:rPr>
              <w:lastRenderedPageBreak/>
              <w:t>4</w:t>
            </w:r>
          </w:p>
        </w:tc>
        <w:tc>
          <w:tcPr>
            <w:tcW w:w="2396" w:type="pct"/>
            <w:tcMar>
              <w:top w:w="90" w:type="dxa"/>
              <w:left w:w="90" w:type="dxa"/>
              <w:bottom w:w="90" w:type="dxa"/>
              <w:right w:w="90" w:type="dxa"/>
            </w:tcMar>
            <w:vAlign w:val="center"/>
          </w:tcPr>
          <w:p w14:paraId="2667B41E" w14:textId="77777777" w:rsidR="00BB18A2" w:rsidRDefault="00000000">
            <w:pPr>
              <w:spacing w:line="276" w:lineRule="auto" w:after="60"/>
              <w:jc w:val="left"/>
            </w:pPr>
            <w:r>
              <w:rPr>
                <w:rFonts w:ascii="Times New Roman" w:hAnsi="Times New Roman" w:eastAsia="Times New Roman" w:cs="Times New Roman"/>
                <w:sz w:val="21"/>
              </w:rPr>
              <w:t>Build Python extraction/load scripts, flexible data contracts, validation flags, and Bronze raw loading</w:t>
            </w:r>
          </w:p>
        </w:tc>
        <w:tc>
          <w:tcPr>
            <w:tcW w:w="1899" w:type="pct"/>
            <w:tcMar>
              <w:top w:w="90" w:type="dxa"/>
              <w:left w:w="90" w:type="dxa"/>
              <w:bottom w:w="90" w:type="dxa"/>
              <w:right w:w="90" w:type="dxa"/>
            </w:tcMar>
            <w:vAlign w:val="center"/>
          </w:tcPr>
          <w:p w14:paraId="7375B94A" w14:textId="77777777" w:rsidR="00BB18A2" w:rsidRDefault="00000000">
            <w:pPr>
              <w:spacing w:line="276" w:lineRule="auto" w:after="60"/>
              <w:jc w:val="left"/>
            </w:pPr>
            <w:r>
              <w:rPr>
                <w:rFonts w:ascii="Times New Roman" w:hAnsi="Times New Roman" w:eastAsia="Times New Roman" w:cs="Times New Roman"/>
                <w:sz w:val="21"/>
              </w:rPr>
              <w:t>Bronze loading pipeline and source quality report</w:t>
            </w:r>
          </w:p>
        </w:tc>
      </w:tr>
      <w:tr w:rsidR="0084730D" w:rsidRPr="00335C63" w14:paraId="7B0C7647" w14:textId="77777777" w:rsidTr="00997D20">
        <w:trPr>
          <w:cantSplit/>
          <w:jc w:val="center"/>
        </w:trPr>
        <w:tc>
          <w:tcPr>
            <w:tcW w:w="705" w:type="pct"/>
            <w:tcMar>
              <w:top w:w="90" w:type="dxa"/>
              <w:left w:w="90" w:type="dxa"/>
              <w:bottom w:w="90" w:type="dxa"/>
              <w:right w:w="90" w:type="dxa"/>
            </w:tcMar>
            <w:vAlign w:val="center"/>
          </w:tcPr>
          <w:p w14:paraId="1AF93F4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5</w:t>
            </w:r>
          </w:p>
        </w:tc>
        <w:tc>
          <w:tcPr>
            <w:tcW w:w="2396" w:type="pct"/>
            <w:tcMar>
              <w:top w:w="90" w:type="dxa"/>
              <w:left w:w="90" w:type="dxa"/>
              <w:bottom w:w="90" w:type="dxa"/>
              <w:right w:w="90" w:type="dxa"/>
            </w:tcMar>
            <w:vAlign w:val="center"/>
          </w:tcPr>
          <w:p w14:paraId="66FE29F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Implement area/postcode lookup, weather enrichment features, and weather coverage reporting</w:t>
            </w:r>
          </w:p>
        </w:tc>
        <w:tc>
          <w:tcPr>
            <w:tcW w:w="1899" w:type="pct"/>
            <w:tcMar>
              <w:top w:w="90" w:type="dxa"/>
              <w:left w:w="90" w:type="dxa"/>
              <w:bottom w:w="90" w:type="dxa"/>
              <w:right w:w="90" w:type="dxa"/>
            </w:tcMar>
            <w:vAlign w:val="center"/>
          </w:tcPr>
          <w:p w14:paraId="3F9CBD0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Weather-enriched service table</w:t>
            </w:r>
          </w:p>
        </w:tc>
      </w:tr>
      <w:tr w:rsidR="0084730D" w:rsidRPr="00335C63" w14:paraId="325260FC" w14:textId="77777777" w:rsidTr="00997D20">
        <w:trPr>
          <w:cantSplit/>
          <w:jc w:val="center"/>
        </w:trPr>
        <w:tc>
          <w:tcPr>
            <w:tcW w:w="705" w:type="pct"/>
            <w:tcMar>
              <w:top w:w="90" w:type="dxa"/>
              <w:left w:w="90" w:type="dxa"/>
              <w:bottom w:w="90" w:type="dxa"/>
              <w:right w:w="90" w:type="dxa"/>
            </w:tcMar>
            <w:vAlign w:val="center"/>
          </w:tcPr>
          <w:p w14:paraId="28227F99" w14:textId="77777777" w:rsidR="00BB18A2" w:rsidRDefault="00000000">
            <w:pPr>
              <w:spacing w:line="276" w:lineRule="auto" w:after="60"/>
              <w:jc w:val="left"/>
            </w:pPr>
            <w:r>
              <w:rPr>
                <w:rFonts w:ascii="Times New Roman" w:hAnsi="Times New Roman" w:eastAsia="Times New Roman" w:cs="Times New Roman"/>
                <w:sz w:val="21"/>
              </w:rPr>
              <w:t>6</w:t>
            </w:r>
          </w:p>
        </w:tc>
        <w:tc>
          <w:tcPr>
            <w:tcW w:w="2396" w:type="pct"/>
            <w:tcMar>
              <w:top w:w="90" w:type="dxa"/>
              <w:left w:w="90" w:type="dxa"/>
              <w:bottom w:w="90" w:type="dxa"/>
              <w:right w:w="90" w:type="dxa"/>
            </w:tcMar>
            <w:vAlign w:val="center"/>
          </w:tcPr>
          <w:p w14:paraId="4E85E985" w14:textId="77777777" w:rsidR="00BB18A2" w:rsidRDefault="00000000">
            <w:pPr>
              <w:spacing w:line="276" w:lineRule="auto" w:after="60"/>
              <w:jc w:val="left"/>
            </w:pPr>
            <w:r>
              <w:rPr>
                <w:rFonts w:ascii="Times New Roman" w:hAnsi="Times New Roman" w:eastAsia="Times New Roman" w:cs="Times New Roman"/>
                <w:sz w:val="21"/>
              </w:rPr>
              <w:t>Build dbt staging, fact, dimension, and core descriptive marts for service, sales, warranty, refund, and scheduling</w:t>
            </w:r>
          </w:p>
        </w:tc>
        <w:tc>
          <w:tcPr>
            <w:tcW w:w="1899" w:type="pct"/>
            <w:tcMar>
              <w:top w:w="90" w:type="dxa"/>
              <w:left w:w="90" w:type="dxa"/>
              <w:bottom w:w="90" w:type="dxa"/>
              <w:right w:w="90" w:type="dxa"/>
            </w:tcMar>
            <w:vAlign w:val="center"/>
          </w:tcPr>
          <w:p w14:paraId="025C8476" w14:textId="77777777" w:rsidR="00BB18A2" w:rsidRDefault="00000000">
            <w:pPr>
              <w:spacing w:line="276" w:lineRule="auto" w:after="60"/>
              <w:jc w:val="left"/>
            </w:pPr>
            <w:r>
              <w:rPr>
                <w:rFonts w:ascii="Times New Roman" w:hAnsi="Times New Roman" w:eastAsia="Times New Roman" w:cs="Times New Roman"/>
                <w:sz w:val="21"/>
              </w:rPr>
              <w:t>Silver tables and core Gold marts</w:t>
            </w:r>
          </w:p>
        </w:tc>
      </w:tr>
      <w:tr w:rsidR="0084730D" w:rsidRPr="00335C63" w14:paraId="78F2A772" w14:textId="77777777" w:rsidTr="00997D20">
        <w:trPr>
          <w:cantSplit/>
          <w:jc w:val="center"/>
        </w:trPr>
        <w:tc>
          <w:tcPr>
            <w:tcW w:w="705" w:type="pct"/>
            <w:tcMar>
              <w:top w:w="90" w:type="dxa"/>
              <w:left w:w="90" w:type="dxa"/>
              <w:bottom w:w="90" w:type="dxa"/>
              <w:right w:w="90" w:type="dxa"/>
            </w:tcMar>
            <w:vAlign w:val="center"/>
          </w:tcPr>
          <w:p w14:paraId="1D5F6D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7</w:t>
            </w:r>
          </w:p>
        </w:tc>
        <w:tc>
          <w:tcPr>
            <w:tcW w:w="2396" w:type="pct"/>
            <w:tcMar>
              <w:top w:w="90" w:type="dxa"/>
              <w:left w:w="90" w:type="dxa"/>
              <w:bottom w:w="90" w:type="dxa"/>
              <w:right w:w="90" w:type="dxa"/>
            </w:tcMar>
            <w:vAlign w:val="center"/>
          </w:tcPr>
          <w:p w14:paraId="70F0237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treatment difficulty, recurrence window, and warranty factor analytics</w:t>
            </w:r>
          </w:p>
        </w:tc>
        <w:tc>
          <w:tcPr>
            <w:tcW w:w="1899" w:type="pct"/>
            <w:tcMar>
              <w:top w:w="90" w:type="dxa"/>
              <w:left w:w="90" w:type="dxa"/>
              <w:bottom w:w="90" w:type="dxa"/>
              <w:right w:w="90" w:type="dxa"/>
            </w:tcMar>
            <w:vAlign w:val="center"/>
          </w:tcPr>
          <w:p w14:paraId="478CA06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Quality and recurrence marts</w:t>
            </w:r>
          </w:p>
        </w:tc>
      </w:tr>
      <w:tr w:rsidR="0084730D" w:rsidRPr="00335C63" w14:paraId="5D500FD8" w14:textId="77777777" w:rsidTr="00997D20">
        <w:trPr>
          <w:cantSplit/>
          <w:jc w:val="center"/>
        </w:trPr>
        <w:tc>
          <w:tcPr>
            <w:tcW w:w="705" w:type="pct"/>
            <w:tcMar>
              <w:top w:w="90" w:type="dxa"/>
              <w:left w:w="90" w:type="dxa"/>
              <w:bottom w:w="90" w:type="dxa"/>
              <w:right w:w="90" w:type="dxa"/>
            </w:tcMar>
            <w:vAlign w:val="center"/>
          </w:tcPr>
          <w:p w14:paraId="100EAF5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8</w:t>
            </w:r>
          </w:p>
        </w:tc>
        <w:tc>
          <w:tcPr>
            <w:tcW w:w="2396" w:type="pct"/>
            <w:tcMar>
              <w:top w:w="90" w:type="dxa"/>
              <w:left w:w="90" w:type="dxa"/>
              <w:bottom w:w="90" w:type="dxa"/>
              <w:right w:w="90" w:type="dxa"/>
            </w:tcMar>
            <w:vAlign w:val="center"/>
          </w:tcPr>
          <w:p w14:paraId="1E683CF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DBSCAN hotspot detection and KDE map-ready outputs</w:t>
            </w:r>
          </w:p>
        </w:tc>
        <w:tc>
          <w:tcPr>
            <w:tcW w:w="1899" w:type="pct"/>
            <w:tcMar>
              <w:top w:w="90" w:type="dxa"/>
              <w:left w:w="90" w:type="dxa"/>
              <w:bottom w:w="90" w:type="dxa"/>
              <w:right w:w="90" w:type="dxa"/>
            </w:tcMar>
            <w:vAlign w:val="center"/>
          </w:tcPr>
          <w:p w14:paraId="1FF6E23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output table</w:t>
            </w:r>
          </w:p>
        </w:tc>
      </w:tr>
      <w:tr w:rsidR="0084730D" w:rsidRPr="00335C63" w14:paraId="1A71B322" w14:textId="77777777" w:rsidTr="00997D20">
        <w:trPr>
          <w:cantSplit/>
          <w:jc w:val="center"/>
        </w:trPr>
        <w:tc>
          <w:tcPr>
            <w:tcW w:w="705" w:type="pct"/>
            <w:tcMar>
              <w:top w:w="90" w:type="dxa"/>
              <w:left w:w="90" w:type="dxa"/>
              <w:bottom w:w="90" w:type="dxa"/>
              <w:right w:w="90" w:type="dxa"/>
            </w:tcMar>
            <w:vAlign w:val="center"/>
          </w:tcPr>
          <w:p w14:paraId="637CCB7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9</w:t>
            </w:r>
          </w:p>
        </w:tc>
        <w:tc>
          <w:tcPr>
            <w:tcW w:w="2396" w:type="pct"/>
            <w:tcMar>
              <w:top w:w="90" w:type="dxa"/>
              <w:left w:w="90" w:type="dxa"/>
              <w:bottom w:w="90" w:type="dxa"/>
              <w:right w:w="90" w:type="dxa"/>
            </w:tcMar>
            <w:vAlign w:val="center"/>
          </w:tcPr>
          <w:p w14:paraId="4595EFE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Develop upsell package effectiveness, package-fit, window performance analytics, and recommendation log outputs</w:t>
            </w:r>
          </w:p>
        </w:tc>
        <w:tc>
          <w:tcPr>
            <w:tcW w:w="1899" w:type="pct"/>
            <w:tcMar>
              <w:top w:w="90" w:type="dxa"/>
              <w:left w:w="90" w:type="dxa"/>
              <w:bottom w:w="90" w:type="dxa"/>
              <w:right w:w="90" w:type="dxa"/>
            </w:tcMar>
            <w:vAlign w:val="center"/>
          </w:tcPr>
          <w:p w14:paraId="2420D3F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intelligence and recommendation marts</w:t>
            </w:r>
          </w:p>
        </w:tc>
      </w:tr>
      <w:tr w:rsidR="0084730D" w:rsidRPr="00335C63" w14:paraId="13CC63E7" w14:textId="77777777" w:rsidTr="00997D20">
        <w:trPr>
          <w:cantSplit/>
          <w:jc w:val="center"/>
        </w:trPr>
        <w:tc>
          <w:tcPr>
            <w:tcW w:w="705" w:type="pct"/>
            <w:tcMar>
              <w:top w:w="90" w:type="dxa"/>
              <w:left w:w="90" w:type="dxa"/>
              <w:bottom w:w="90" w:type="dxa"/>
              <w:right w:w="90" w:type="dxa"/>
            </w:tcMar>
            <w:vAlign w:val="center"/>
          </w:tcPr>
          <w:p w14:paraId="16F1DC7F" w14:textId="77777777" w:rsidR="00BB18A2" w:rsidRDefault="00000000">
            <w:pPr>
              <w:spacing w:line="276" w:lineRule="auto" w:after="60"/>
              <w:jc w:val="left"/>
            </w:pPr>
            <w:r>
              <w:rPr>
                <w:rFonts w:ascii="Times New Roman" w:hAnsi="Times New Roman" w:eastAsia="Times New Roman" w:cs="Times New Roman"/>
                <w:sz w:val="21"/>
              </w:rPr>
              <w:t>10</w:t>
            </w:r>
          </w:p>
        </w:tc>
        <w:tc>
          <w:tcPr>
            <w:tcW w:w="2396" w:type="pct"/>
            <w:tcMar>
              <w:top w:w="90" w:type="dxa"/>
              <w:left w:w="90" w:type="dxa"/>
              <w:bottom w:w="90" w:type="dxa"/>
              <w:right w:w="90" w:type="dxa"/>
            </w:tcMar>
            <w:vAlign w:val="center"/>
          </w:tcPr>
          <w:p w14:paraId="57A4B001" w14:textId="77777777" w:rsidR="00BB18A2" w:rsidRDefault="00000000">
            <w:pPr>
              <w:spacing w:line="276" w:lineRule="auto" w:after="60"/>
              <w:jc w:val="left"/>
            </w:pPr>
            <w:r>
              <w:rPr>
                <w:rFonts w:ascii="Times New Roman" w:hAnsi="Times New Roman" w:eastAsia="Times New Roman" w:cs="Times New Roman"/>
                <w:sz w:val="21"/>
              </w:rPr>
              <w:t>Create Airflow DAG to orchestrate extraction, BigQuery loading, dbt models/tests, weather enrichment, and refresh logging</w:t>
            </w:r>
          </w:p>
        </w:tc>
        <w:tc>
          <w:tcPr>
            <w:tcW w:w="1899" w:type="pct"/>
            <w:tcMar>
              <w:top w:w="90" w:type="dxa"/>
              <w:left w:w="90" w:type="dxa"/>
              <w:bottom w:w="90" w:type="dxa"/>
              <w:right w:w="90" w:type="dxa"/>
            </w:tcMar>
            <w:vAlign w:val="center"/>
          </w:tcPr>
          <w:p w14:paraId="6400F538" w14:textId="77777777" w:rsidR="00BB18A2" w:rsidRDefault="00000000">
            <w:pPr>
              <w:spacing w:line="276" w:lineRule="auto" w:after="60"/>
              <w:jc w:val="left"/>
            </w:pPr>
            <w:r>
              <w:rPr>
                <w:rFonts w:ascii="Times New Roman" w:hAnsi="Times New Roman" w:eastAsia="Times New Roman" w:cs="Times New Roman"/>
                <w:sz w:val="21"/>
              </w:rPr>
              <w:t>Airflow-orchestrated ELT prototype</w:t>
            </w:r>
          </w:p>
        </w:tc>
      </w:tr>
      <w:tr w:rsidR="0084730D" w:rsidRPr="00335C63" w14:paraId="0CBC07E1" w14:textId="77777777" w:rsidTr="00997D20">
        <w:trPr>
          <w:cantSplit/>
          <w:jc w:val="center"/>
        </w:trPr>
        <w:tc>
          <w:tcPr>
            <w:tcW w:w="705" w:type="pct"/>
            <w:tcMar>
              <w:top w:w="90" w:type="dxa"/>
              <w:left w:w="90" w:type="dxa"/>
              <w:bottom w:w="90" w:type="dxa"/>
              <w:right w:w="90" w:type="dxa"/>
            </w:tcMar>
            <w:vAlign w:val="center"/>
          </w:tcPr>
          <w:p w14:paraId="23214061" w14:textId="77777777" w:rsidR="00BB18A2" w:rsidRDefault="00000000">
            <w:pPr>
              <w:spacing w:line="276" w:lineRule="auto" w:after="60"/>
              <w:jc w:val="left"/>
            </w:pPr>
            <w:r>
              <w:rPr>
                <w:rFonts w:ascii="Times New Roman" w:hAnsi="Times New Roman" w:eastAsia="Times New Roman" w:cs="Times New Roman"/>
                <w:sz w:val="21"/>
              </w:rPr>
              <w:t>11</w:t>
            </w:r>
          </w:p>
        </w:tc>
        <w:tc>
          <w:tcPr>
            <w:tcW w:w="2396" w:type="pct"/>
            <w:tcMar>
              <w:top w:w="90" w:type="dxa"/>
              <w:left w:w="90" w:type="dxa"/>
              <w:bottom w:w="90" w:type="dxa"/>
              <w:right w:w="90" w:type="dxa"/>
            </w:tcMar>
            <w:vAlign w:val="center"/>
          </w:tcPr>
          <w:p w14:paraId="4DAF8A33" w14:textId="77777777" w:rsidR="00BB18A2" w:rsidRDefault="00000000">
            <w:pPr>
              <w:spacing w:line="276" w:lineRule="auto" w:after="60"/>
              <w:jc w:val="left"/>
            </w:pPr>
            <w:r>
              <w:rPr>
                <w:rFonts w:ascii="Times New Roman" w:hAnsi="Times New Roman" w:eastAsia="Times New Roman" w:cs="Times New Roman"/>
                <w:sz w:val="21"/>
              </w:rPr>
              <w:t>Connect Apache Superset to BigQuery Gold marts and build first dashboard pages</w:t>
            </w:r>
          </w:p>
        </w:tc>
        <w:tc>
          <w:tcPr>
            <w:tcW w:w="1899" w:type="pct"/>
            <w:tcMar>
              <w:top w:w="90" w:type="dxa"/>
              <w:left w:w="90" w:type="dxa"/>
              <w:bottom w:w="90" w:type="dxa"/>
              <w:right w:w="90" w:type="dxa"/>
            </w:tcMar>
            <w:vAlign w:val="center"/>
          </w:tcPr>
          <w:p w14:paraId="6255B2DF" w14:textId="77777777" w:rsidR="00BB18A2" w:rsidRDefault="00000000">
            <w:pPr>
              <w:spacing w:line="276" w:lineRule="auto" w:after="60"/>
              <w:jc w:val="left"/>
            </w:pPr>
            <w:r>
              <w:rPr>
                <w:rFonts w:ascii="Times New Roman" w:hAnsi="Times New Roman" w:eastAsia="Times New Roman" w:cs="Times New Roman"/>
                <w:sz w:val="21"/>
              </w:rPr>
              <w:t>Dashboard prototype v1</w:t>
            </w:r>
          </w:p>
        </w:tc>
      </w:tr>
      <w:tr w:rsidR="0084730D" w:rsidRPr="00335C63" w14:paraId="00F50213" w14:textId="77777777" w:rsidTr="00997D20">
        <w:trPr>
          <w:cantSplit/>
          <w:jc w:val="center"/>
        </w:trPr>
        <w:tc>
          <w:tcPr>
            <w:tcW w:w="705" w:type="pct"/>
            <w:tcMar>
              <w:top w:w="90" w:type="dxa"/>
              <w:left w:w="90" w:type="dxa"/>
              <w:bottom w:w="90" w:type="dxa"/>
              <w:right w:w="90" w:type="dxa"/>
            </w:tcMar>
            <w:vAlign w:val="center"/>
          </w:tcPr>
          <w:p w14:paraId="248707AD" w14:textId="77777777" w:rsidR="00BB18A2" w:rsidRDefault="00000000">
            <w:pPr>
              <w:spacing w:line="276" w:lineRule="auto" w:after="60"/>
              <w:jc w:val="left"/>
            </w:pPr>
            <w:r>
              <w:rPr>
                <w:rFonts w:ascii="Times New Roman" w:hAnsi="Times New Roman" w:eastAsia="Times New Roman" w:cs="Times New Roman"/>
                <w:sz w:val="21"/>
              </w:rPr>
              <w:t>12</w:t>
            </w:r>
          </w:p>
        </w:tc>
        <w:tc>
          <w:tcPr>
            <w:tcW w:w="2396" w:type="pct"/>
            <w:tcMar>
              <w:top w:w="90" w:type="dxa"/>
              <w:left w:w="90" w:type="dxa"/>
              <w:bottom w:w="90" w:type="dxa"/>
              <w:right w:w="90" w:type="dxa"/>
            </w:tcMar>
            <w:vAlign w:val="center"/>
          </w:tcPr>
          <w:p w14:paraId="6B3E2F84" w14:textId="77777777" w:rsidR="00BB18A2" w:rsidRDefault="00000000">
            <w:pPr>
              <w:spacing w:line="276" w:lineRule="auto" w:after="60"/>
              <w:jc w:val="left"/>
            </w:pPr>
            <w:r>
              <w:rPr>
                <w:rFonts w:ascii="Times New Roman" w:hAnsi="Times New Roman" w:eastAsia="Times New Roman" w:cs="Times New Roman"/>
                <w:sz w:val="21"/>
              </w:rPr>
              <w:t>Refine filters, maps, data quality views, pipeline status, rankings, and recommendations with company feedback</w:t>
            </w:r>
          </w:p>
        </w:tc>
        <w:tc>
          <w:tcPr>
            <w:tcW w:w="1899" w:type="pct"/>
            <w:tcMar>
              <w:top w:w="90" w:type="dxa"/>
              <w:left w:w="90" w:type="dxa"/>
              <w:bottom w:w="90" w:type="dxa"/>
              <w:right w:w="90" w:type="dxa"/>
            </w:tcMar>
            <w:vAlign w:val="center"/>
          </w:tcPr>
          <w:p w14:paraId="4BB1D995" w14:textId="77777777" w:rsidR="00BB18A2" w:rsidRDefault="00000000">
            <w:pPr>
              <w:spacing w:line="276" w:lineRule="auto" w:after="60"/>
              <w:jc w:val="left"/>
            </w:pPr>
            <w:r>
              <w:rPr>
                <w:rFonts w:ascii="Times New Roman" w:hAnsi="Times New Roman" w:eastAsia="Times New Roman" w:cs="Times New Roman"/>
                <w:sz w:val="21"/>
              </w:rPr>
              <w:t>Dashboard prototype v2 and pipeline status view</w:t>
            </w:r>
          </w:p>
        </w:tc>
      </w:tr>
      <w:tr w:rsidR="0084730D" w:rsidRPr="00335C63" w14:paraId="49BB36F4" w14:textId="77777777" w:rsidTr="00997D20">
        <w:trPr>
          <w:cantSplit/>
          <w:jc w:val="center"/>
        </w:trPr>
        <w:tc>
          <w:tcPr>
            <w:tcW w:w="705" w:type="pct"/>
            <w:tcMar>
              <w:top w:w="90" w:type="dxa"/>
              <w:left w:w="90" w:type="dxa"/>
              <w:bottom w:w="90" w:type="dxa"/>
              <w:right w:w="90" w:type="dxa"/>
            </w:tcMar>
            <w:vAlign w:val="center"/>
          </w:tcPr>
          <w:p w14:paraId="525D3751" w14:textId="77777777" w:rsidR="00BB18A2" w:rsidRDefault="00000000">
            <w:pPr>
              <w:spacing w:line="276" w:lineRule="auto" w:after="60"/>
              <w:jc w:val="left"/>
            </w:pPr>
            <w:r>
              <w:rPr>
                <w:rFonts w:ascii="Times New Roman" w:hAnsi="Times New Roman" w:eastAsia="Times New Roman" w:cs="Times New Roman"/>
                <w:sz w:val="21"/>
              </w:rPr>
              <w:t>13</w:t>
            </w:r>
          </w:p>
        </w:tc>
        <w:tc>
          <w:tcPr>
            <w:tcW w:w="2396" w:type="pct"/>
            <w:tcMar>
              <w:top w:w="90" w:type="dxa"/>
              <w:left w:w="90" w:type="dxa"/>
              <w:bottom w:w="90" w:type="dxa"/>
              <w:right w:w="90" w:type="dxa"/>
            </w:tcMar>
            <w:vAlign w:val="center"/>
          </w:tcPr>
          <w:p w14:paraId="5D2002E8" w14:textId="77777777" w:rsidR="00BB18A2" w:rsidRDefault="00000000">
            <w:pPr>
              <w:spacing w:line="276" w:lineRule="auto" w:after="60"/>
              <w:jc w:val="left"/>
            </w:pPr>
            <w:r>
              <w:rPr>
                <w:rFonts w:ascii="Times New Roman" w:hAnsi="Times New Roman" w:eastAsia="Times New Roman" w:cs="Times New Roman"/>
                <w:sz w:val="21"/>
              </w:rPr>
              <w:t>Evaluate dashboard and pipeline against manual spreadsheet answers, dbt test results, and refresh logs</w:t>
            </w:r>
          </w:p>
        </w:tc>
        <w:tc>
          <w:tcPr>
            <w:tcW w:w="1899" w:type="pct"/>
            <w:tcMar>
              <w:top w:w="90" w:type="dxa"/>
              <w:left w:w="90" w:type="dxa"/>
              <w:bottom w:w="90" w:type="dxa"/>
              <w:right w:w="90" w:type="dxa"/>
            </w:tcMar>
            <w:vAlign w:val="center"/>
          </w:tcPr>
          <w:p w14:paraId="301C537A" w14:textId="77777777" w:rsidR="00BB18A2" w:rsidRDefault="00000000">
            <w:pPr>
              <w:spacing w:line="276" w:lineRule="auto" w:after="60"/>
              <w:jc w:val="left"/>
            </w:pPr>
            <w:r>
              <w:rPr>
                <w:rFonts w:ascii="Times New Roman" w:hAnsi="Times New Roman" w:eastAsia="Times New Roman" w:cs="Times New Roman"/>
                <w:sz w:val="21"/>
              </w:rPr>
              <w:t>Evaluation report draft</w:t>
            </w:r>
          </w:p>
        </w:tc>
      </w:tr>
      <w:tr w:rsidR="0084730D" w:rsidRPr="00335C63" w14:paraId="739E1980" w14:textId="77777777" w:rsidTr="00997D20">
        <w:trPr>
          <w:cantSplit/>
          <w:jc w:val="center"/>
        </w:trPr>
        <w:tc>
          <w:tcPr>
            <w:tcW w:w="705" w:type="pct"/>
            <w:tcMar>
              <w:top w:w="90" w:type="dxa"/>
              <w:left w:w="90" w:type="dxa"/>
              <w:bottom w:w="90" w:type="dxa"/>
              <w:right w:w="90" w:type="dxa"/>
            </w:tcMar>
            <w:vAlign w:val="center"/>
          </w:tcPr>
          <w:p w14:paraId="2E37FAFE" w14:textId="77777777" w:rsidR="00BB18A2" w:rsidRDefault="00000000">
            <w:pPr>
              <w:spacing w:line="276" w:lineRule="auto" w:after="60"/>
              <w:jc w:val="left"/>
            </w:pPr>
            <w:r>
              <w:rPr>
                <w:rFonts w:ascii="Times New Roman" w:hAnsi="Times New Roman" w:eastAsia="Times New Roman" w:cs="Times New Roman"/>
                <w:sz w:val="21"/>
              </w:rPr>
              <w:t>14</w:t>
            </w:r>
          </w:p>
        </w:tc>
        <w:tc>
          <w:tcPr>
            <w:tcW w:w="2396" w:type="pct"/>
            <w:tcMar>
              <w:top w:w="90" w:type="dxa"/>
              <w:left w:w="90" w:type="dxa"/>
              <w:bottom w:w="90" w:type="dxa"/>
              <w:right w:w="90" w:type="dxa"/>
            </w:tcMar>
            <w:vAlign w:val="center"/>
          </w:tcPr>
          <w:p w14:paraId="34A4BFA3" w14:textId="77777777" w:rsidR="00BB18A2" w:rsidRDefault="00000000">
            <w:pPr>
              <w:spacing w:line="276" w:lineRule="auto" w:after="60"/>
              <w:jc w:val="left"/>
            </w:pPr>
            <w:r>
              <w:rPr>
                <w:rFonts w:ascii="Times New Roman" w:hAnsi="Times New Roman" w:eastAsia="Times New Roman" w:cs="Times New Roman"/>
                <w:sz w:val="21"/>
              </w:rPr>
              <w:t>Prepare final report, screenshots, architecture diagram, Airflow DAG view, dbt lineage graph, and viva explanation</w:t>
            </w:r>
          </w:p>
        </w:tc>
        <w:tc>
          <w:tcPr>
            <w:tcW w:w="1899" w:type="pct"/>
            <w:tcMar>
              <w:top w:w="90" w:type="dxa"/>
              <w:left w:w="90" w:type="dxa"/>
              <w:bottom w:w="90" w:type="dxa"/>
              <w:right w:w="90" w:type="dxa"/>
            </w:tcMar>
            <w:vAlign w:val="center"/>
          </w:tcPr>
          <w:p w14:paraId="2F589021" w14:textId="77777777" w:rsidR="00BB18A2" w:rsidRDefault="00000000">
            <w:pPr>
              <w:spacing w:line="276" w:lineRule="auto" w:after="60"/>
              <w:jc w:val="left"/>
            </w:pPr>
            <w:r>
              <w:rPr>
                <w:rFonts w:ascii="Times New Roman" w:hAnsi="Times New Roman" w:eastAsia="Times New Roman" w:cs="Times New Roman"/>
                <w:sz w:val="21"/>
              </w:rPr>
              <w:t>Final project submission</w:t>
            </w:r>
          </w:p>
        </w:tc>
      </w:tr>
    </w:tbl>
    <w:p w14:paraId="134549B3" w14:textId="77777777" w:rsidR="0084730D" w:rsidRPr="00335C63" w:rsidRDefault="0084730D" w:rsidP="000F4170">
      <w:pPr>
        <w:spacing w:line="360" w:lineRule="auto" w:after="120"/>
        <w:jc w:val="left"/>
        <w:rPr>
          <w:rFonts w:ascii="Times New Roman" w:hAnsi="Times New Roman" w:cs="Times New Roman"/>
          <w:sz w:val="24"/>
          <w:szCs w:val="24"/>
        </w:rPr>
      </w:pPr>
    </w:p>
    <w:p w14:paraId="642917CA"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4.3 Milestones</w:t>
      </w:r>
    </w:p>
    <w:tbl>
      <w:tblPr>
        <w:tblStyle w:val="TableGrid"/>
        <w:tblW w:w="5000" w:type="pct"/>
        <w:jc w:val="center"/>
        <w:tblLook w:val="04A0" w:firstRow="1" w:lastRow="0" w:firstColumn="1" w:lastColumn="0" w:noHBand="0" w:noVBand="1"/>
      </w:tblPr>
      <w:tblGrid>
        <w:gridCol w:w="2857"/>
        <w:gridCol w:w="1518"/>
        <w:gridCol w:w="4641"/>
      </w:tblGrid>
      <w:tr w:rsidR="0084730D" w:rsidRPr="00335C63" w14:paraId="71219287" w14:textId="77777777" w:rsidTr="00997D20">
        <w:trPr>
          <w:cantSplit/>
          <w:tblHeader/>
          <w:jc w:val="center"/>
        </w:trPr>
        <w:tc>
          <w:tcPr>
            <w:tcW w:w="1584" w:type="pct"/>
            <w:shd w:val="clear" w:color="auto" w:fill="E8F1FA"/>
            <w:tcMar>
              <w:top w:w="90" w:type="dxa"/>
              <w:left w:w="90" w:type="dxa"/>
              <w:bottom w:w="90" w:type="dxa"/>
              <w:right w:w="90" w:type="dxa"/>
            </w:tcMar>
            <w:vAlign w:val="center"/>
          </w:tcPr>
          <w:p w14:paraId="1782905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Milestone</w:t>
            </w:r>
          </w:p>
        </w:tc>
        <w:tc>
          <w:tcPr>
            <w:tcW w:w="842" w:type="pct"/>
            <w:shd w:val="clear" w:color="auto" w:fill="E8F1FA"/>
            <w:tcMar>
              <w:top w:w="90" w:type="dxa"/>
              <w:left w:w="90" w:type="dxa"/>
              <w:bottom w:w="90" w:type="dxa"/>
              <w:right w:w="90" w:type="dxa"/>
            </w:tcMar>
            <w:vAlign w:val="center"/>
          </w:tcPr>
          <w:p w14:paraId="06E7A83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Target Week</w:t>
            </w:r>
          </w:p>
        </w:tc>
        <w:tc>
          <w:tcPr>
            <w:tcW w:w="2573" w:type="pct"/>
            <w:shd w:val="clear" w:color="auto" w:fill="E8F1FA"/>
            <w:tcMar>
              <w:top w:w="90" w:type="dxa"/>
              <w:left w:w="90" w:type="dxa"/>
              <w:bottom w:w="90" w:type="dxa"/>
              <w:right w:w="90" w:type="dxa"/>
            </w:tcMar>
            <w:vAlign w:val="center"/>
          </w:tcPr>
          <w:p w14:paraId="002D9E6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Success Criteria</w:t>
            </w:r>
          </w:p>
        </w:tc>
      </w:tr>
      <w:tr w:rsidR="0084730D" w:rsidRPr="00335C63" w14:paraId="7CBB7A67" w14:textId="77777777" w:rsidTr="00997D20">
        <w:trPr>
          <w:cantSplit/>
          <w:jc w:val="center"/>
        </w:trPr>
        <w:tc>
          <w:tcPr>
            <w:tcW w:w="1584" w:type="pct"/>
            <w:tcMar>
              <w:top w:w="90" w:type="dxa"/>
              <w:left w:w="90" w:type="dxa"/>
              <w:bottom w:w="90" w:type="dxa"/>
              <w:right w:w="90" w:type="dxa"/>
            </w:tcMar>
            <w:vAlign w:val="center"/>
          </w:tcPr>
          <w:p w14:paraId="2FFF341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M1: Data source confirmation</w:t>
            </w:r>
          </w:p>
        </w:tc>
        <w:tc>
          <w:tcPr>
            <w:tcW w:w="842" w:type="pct"/>
            <w:tcMar>
              <w:top w:w="90" w:type="dxa"/>
              <w:left w:w="90" w:type="dxa"/>
              <w:bottom w:w="90" w:type="dxa"/>
              <w:right w:w="90" w:type="dxa"/>
            </w:tcMar>
            <w:vAlign w:val="center"/>
          </w:tcPr>
          <w:p w14:paraId="6C7E1F8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w:t>
            </w:r>
          </w:p>
        </w:tc>
        <w:tc>
          <w:tcPr>
            <w:tcW w:w="2573" w:type="pct"/>
            <w:tcMar>
              <w:top w:w="90" w:type="dxa"/>
              <w:left w:w="90" w:type="dxa"/>
              <w:bottom w:w="90" w:type="dxa"/>
              <w:right w:w="90" w:type="dxa"/>
            </w:tcMar>
            <w:vAlign w:val="center"/>
          </w:tcPr>
          <w:p w14:paraId="3D8D9C8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Required sheets/calendar exports identified and accessible</w:t>
            </w:r>
          </w:p>
        </w:tc>
      </w:tr>
      <w:tr w:rsidR="0084730D" w:rsidRPr="00335C63" w14:paraId="4DD68E9F" w14:textId="77777777" w:rsidTr="00997D20">
        <w:trPr>
          <w:cantSplit/>
          <w:jc w:val="center"/>
        </w:trPr>
        <w:tc>
          <w:tcPr>
            <w:tcW w:w="1584" w:type="pct"/>
            <w:tcMar>
              <w:top w:w="90" w:type="dxa"/>
              <w:left w:w="90" w:type="dxa"/>
              <w:bottom w:w="90" w:type="dxa"/>
              <w:right w:w="90" w:type="dxa"/>
            </w:tcMar>
            <w:vAlign w:val="center"/>
          </w:tcPr>
          <w:p w14:paraId="3F53AF9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M2: Clean analytics dataset</w:t>
            </w:r>
          </w:p>
        </w:tc>
        <w:tc>
          <w:tcPr>
            <w:tcW w:w="842" w:type="pct"/>
            <w:tcMar>
              <w:top w:w="90" w:type="dxa"/>
              <w:left w:w="90" w:type="dxa"/>
              <w:bottom w:w="90" w:type="dxa"/>
              <w:right w:w="90" w:type="dxa"/>
            </w:tcMar>
            <w:vAlign w:val="center"/>
          </w:tcPr>
          <w:p w14:paraId="088301C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4</w:t>
            </w:r>
          </w:p>
        </w:tc>
        <w:tc>
          <w:tcPr>
            <w:tcW w:w="2573" w:type="pct"/>
            <w:tcMar>
              <w:top w:w="90" w:type="dxa"/>
              <w:left w:w="90" w:type="dxa"/>
              <w:bottom w:w="90" w:type="dxa"/>
              <w:right w:w="90" w:type="dxa"/>
            </w:tcMar>
            <w:vAlign w:val="center"/>
          </w:tcPr>
          <w:p w14:paraId="24E705C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 xml:space="preserve">Cleaning rules run </w:t>
            </w:r>
            <w:proofErr w:type="gramStart"/>
            <w:r w:rsidRPr="00335C63">
              <w:rPr>
                <w:rFonts w:ascii="Times New Roman" w:hAnsi="Times New Roman" w:cs="Times New Roman" w:eastAsia="Times New Roman"/>
                <w:sz w:val="21"/>
                <w:szCs w:val="24"/>
              </w:rPr>
              <w:t>successfully</w:t>
            </w:r>
            <w:proofErr w:type="gramEnd"/>
            <w:r w:rsidRPr="00335C63">
              <w:rPr>
                <w:rFonts w:ascii="Times New Roman" w:hAnsi="Times New Roman" w:cs="Times New Roman" w:eastAsia="Times New Roman"/>
                <w:sz w:val="21"/>
                <w:szCs w:val="24"/>
              </w:rPr>
              <w:t xml:space="preserve"> and data quality issues are documented</w:t>
            </w:r>
          </w:p>
        </w:tc>
      </w:tr>
      <w:tr w:rsidR="0084730D" w:rsidRPr="00335C63" w14:paraId="7776D649" w14:textId="77777777" w:rsidTr="00997D20">
        <w:trPr>
          <w:cantSplit/>
          <w:jc w:val="center"/>
        </w:trPr>
        <w:tc>
          <w:tcPr>
            <w:tcW w:w="1584" w:type="pct"/>
            <w:tcMar>
              <w:top w:w="90" w:type="dxa"/>
              <w:left w:w="90" w:type="dxa"/>
              <w:bottom w:w="90" w:type="dxa"/>
              <w:right w:w="90" w:type="dxa"/>
            </w:tcMar>
            <w:vAlign w:val="center"/>
          </w:tcPr>
          <w:p w14:paraId="3B2A3AFC" w14:textId="77777777" w:rsidR="00BB18A2" w:rsidRDefault="00000000">
            <w:pPr>
              <w:spacing w:line="276" w:lineRule="auto" w:after="60"/>
              <w:jc w:val="left"/>
            </w:pPr>
            <w:r>
              <w:rPr>
                <w:rFonts w:ascii="Times New Roman" w:hAnsi="Times New Roman" w:eastAsia="Times New Roman" w:cs="Times New Roman"/>
                <w:sz w:val="21"/>
              </w:rPr>
              <w:t>M3: BigQuery and dbt warehouse ready</w:t>
            </w:r>
          </w:p>
        </w:tc>
        <w:tc>
          <w:tcPr>
            <w:tcW w:w="842" w:type="pct"/>
            <w:tcMar>
              <w:top w:w="90" w:type="dxa"/>
              <w:left w:w="90" w:type="dxa"/>
              <w:bottom w:w="90" w:type="dxa"/>
              <w:right w:w="90" w:type="dxa"/>
            </w:tcMar>
            <w:vAlign w:val="center"/>
          </w:tcPr>
          <w:p w14:paraId="5E25AB7D" w14:textId="77777777" w:rsidR="00BB18A2" w:rsidRDefault="00000000">
            <w:pPr>
              <w:spacing w:line="276" w:lineRule="auto" w:after="60"/>
              <w:jc w:val="left"/>
            </w:pPr>
            <w:r>
              <w:rPr>
                <w:rFonts w:ascii="Times New Roman" w:hAnsi="Times New Roman" w:eastAsia="Times New Roman" w:cs="Times New Roman"/>
                <w:sz w:val="21"/>
              </w:rPr>
              <w:t>Week 6</w:t>
            </w:r>
          </w:p>
        </w:tc>
        <w:tc>
          <w:tcPr>
            <w:tcW w:w="2573" w:type="pct"/>
            <w:tcMar>
              <w:top w:w="90" w:type="dxa"/>
              <w:left w:w="90" w:type="dxa"/>
              <w:bottom w:w="90" w:type="dxa"/>
              <w:right w:w="90" w:type="dxa"/>
            </w:tcMar>
            <w:vAlign w:val="center"/>
          </w:tcPr>
          <w:p w14:paraId="6630C15C" w14:textId="77777777" w:rsidR="00BB18A2" w:rsidRDefault="00000000">
            <w:pPr>
              <w:spacing w:line="276" w:lineRule="auto" w:after="60"/>
              <w:jc w:val="left"/>
            </w:pPr>
            <w:r>
              <w:rPr>
                <w:rFonts w:ascii="Times New Roman" w:hAnsi="Times New Roman" w:eastAsia="Times New Roman" w:cs="Times New Roman"/>
                <w:sz w:val="21"/>
              </w:rPr>
              <w:t>Bronze, Silver, and Gold tables created with dbt models and initial tests</w:t>
            </w:r>
          </w:p>
        </w:tc>
      </w:tr>
      <w:tr w:rsidR="0084730D" w:rsidRPr="00335C63" w14:paraId="7E3990E1" w14:textId="77777777" w:rsidTr="00997D20">
        <w:trPr>
          <w:cantSplit/>
          <w:jc w:val="center"/>
        </w:trPr>
        <w:tc>
          <w:tcPr>
            <w:tcW w:w="1584" w:type="pct"/>
            <w:tcMar>
              <w:top w:w="90" w:type="dxa"/>
              <w:left w:w="90" w:type="dxa"/>
              <w:bottom w:w="90" w:type="dxa"/>
              <w:right w:w="90" w:type="dxa"/>
            </w:tcMar>
            <w:vAlign w:val="center"/>
          </w:tcPr>
          <w:p w14:paraId="2507B5F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M4: Core analytics complete</w:t>
            </w:r>
          </w:p>
        </w:tc>
        <w:tc>
          <w:tcPr>
            <w:tcW w:w="842" w:type="pct"/>
            <w:tcMar>
              <w:top w:w="90" w:type="dxa"/>
              <w:left w:w="90" w:type="dxa"/>
              <w:bottom w:w="90" w:type="dxa"/>
              <w:right w:w="90" w:type="dxa"/>
            </w:tcMar>
            <w:vAlign w:val="center"/>
          </w:tcPr>
          <w:p w14:paraId="33DD945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9</w:t>
            </w:r>
          </w:p>
        </w:tc>
        <w:tc>
          <w:tcPr>
            <w:tcW w:w="2573" w:type="pct"/>
            <w:tcMar>
              <w:top w:w="90" w:type="dxa"/>
              <w:left w:w="90" w:type="dxa"/>
              <w:bottom w:w="90" w:type="dxa"/>
              <w:right w:w="90" w:type="dxa"/>
            </w:tcMar>
            <w:vAlign w:val="center"/>
          </w:tcPr>
          <w:p w14:paraId="5690708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Treatment, recurrence, hotspot, weather, and upsell analytics produce outputs</w:t>
            </w:r>
          </w:p>
        </w:tc>
      </w:tr>
      <w:tr w:rsidR="0084730D" w:rsidRPr="00335C63" w14:paraId="30ED2AAA" w14:textId="77777777" w:rsidTr="00997D20">
        <w:trPr>
          <w:cantSplit/>
          <w:jc w:val="center"/>
        </w:trPr>
        <w:tc>
          <w:tcPr>
            <w:tcW w:w="1584" w:type="pct"/>
            <w:tcMar>
              <w:top w:w="90" w:type="dxa"/>
              <w:left w:w="90" w:type="dxa"/>
              <w:bottom w:w="90" w:type="dxa"/>
              <w:right w:w="90" w:type="dxa"/>
            </w:tcMar>
            <w:vAlign w:val="center"/>
          </w:tcPr>
          <w:p w14:paraId="0177FD88" w14:textId="77777777" w:rsidR="00BB18A2" w:rsidRDefault="00000000">
            <w:pPr>
              <w:spacing w:line="276" w:lineRule="auto" w:after="60"/>
              <w:jc w:val="left"/>
            </w:pPr>
            <w:r>
              <w:rPr>
                <w:rFonts w:ascii="Times New Roman" w:hAnsi="Times New Roman" w:eastAsia="Times New Roman" w:cs="Times New Roman"/>
                <w:sz w:val="21"/>
              </w:rPr>
              <w:t>M5: Airflow and dashboard prototype complete</w:t>
            </w:r>
          </w:p>
        </w:tc>
        <w:tc>
          <w:tcPr>
            <w:tcW w:w="842" w:type="pct"/>
            <w:tcMar>
              <w:top w:w="90" w:type="dxa"/>
              <w:left w:w="90" w:type="dxa"/>
              <w:bottom w:w="90" w:type="dxa"/>
              <w:right w:w="90" w:type="dxa"/>
            </w:tcMar>
            <w:vAlign w:val="center"/>
          </w:tcPr>
          <w:p w14:paraId="7345EC32" w14:textId="77777777" w:rsidR="00BB18A2" w:rsidRDefault="00000000">
            <w:pPr>
              <w:spacing w:line="276" w:lineRule="auto" w:after="60"/>
              <w:jc w:val="left"/>
            </w:pPr>
            <w:r>
              <w:rPr>
                <w:rFonts w:ascii="Times New Roman" w:hAnsi="Times New Roman" w:eastAsia="Times New Roman" w:cs="Times New Roman"/>
                <w:sz w:val="21"/>
              </w:rPr>
              <w:t>Week 11</w:t>
            </w:r>
          </w:p>
        </w:tc>
        <w:tc>
          <w:tcPr>
            <w:tcW w:w="2573" w:type="pct"/>
            <w:tcMar>
              <w:top w:w="90" w:type="dxa"/>
              <w:left w:w="90" w:type="dxa"/>
              <w:bottom w:w="90" w:type="dxa"/>
              <w:right w:w="90" w:type="dxa"/>
            </w:tcMar>
            <w:vAlign w:val="center"/>
          </w:tcPr>
          <w:p w14:paraId="5C83374B" w14:textId="77777777" w:rsidR="00BB18A2" w:rsidRDefault="00000000">
            <w:pPr>
              <w:spacing w:line="276" w:lineRule="auto" w:after="60"/>
              <w:jc w:val="left"/>
            </w:pPr>
            <w:r>
              <w:rPr>
                <w:rFonts w:ascii="Times New Roman" w:hAnsi="Times New Roman" w:eastAsia="Times New Roman" w:cs="Times New Roman"/>
                <w:sz w:val="21"/>
              </w:rPr>
              <w:t>Airflow DAG runs core pipeline and Superset dashboards answer key management questions</w:t>
            </w:r>
          </w:p>
        </w:tc>
      </w:tr>
      <w:tr w:rsidR="0084730D" w:rsidRPr="00335C63" w14:paraId="4FFADDB0" w14:textId="77777777" w:rsidTr="00997D20">
        <w:trPr>
          <w:cantSplit/>
          <w:jc w:val="center"/>
        </w:trPr>
        <w:tc>
          <w:tcPr>
            <w:tcW w:w="1584" w:type="pct"/>
            <w:tcMar>
              <w:top w:w="90" w:type="dxa"/>
              <w:left w:w="90" w:type="dxa"/>
              <w:bottom w:w="90" w:type="dxa"/>
              <w:right w:w="90" w:type="dxa"/>
            </w:tcMar>
            <w:vAlign w:val="center"/>
          </w:tcPr>
          <w:p w14:paraId="158A7D4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M6: Evaluation complete</w:t>
            </w:r>
          </w:p>
        </w:tc>
        <w:tc>
          <w:tcPr>
            <w:tcW w:w="842" w:type="pct"/>
            <w:tcMar>
              <w:top w:w="90" w:type="dxa"/>
              <w:left w:w="90" w:type="dxa"/>
              <w:bottom w:w="90" w:type="dxa"/>
              <w:right w:w="90" w:type="dxa"/>
            </w:tcMar>
            <w:vAlign w:val="center"/>
          </w:tcPr>
          <w:p w14:paraId="7CF3AA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12</w:t>
            </w:r>
          </w:p>
        </w:tc>
        <w:tc>
          <w:tcPr>
            <w:tcW w:w="2573" w:type="pct"/>
            <w:tcMar>
              <w:top w:w="90" w:type="dxa"/>
              <w:left w:w="90" w:type="dxa"/>
              <w:bottom w:w="90" w:type="dxa"/>
              <w:right w:w="90" w:type="dxa"/>
            </w:tcMar>
            <w:vAlign w:val="center"/>
          </w:tcPr>
          <w:p w14:paraId="2AD8888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Management feedback and manual-check comparison documented</w:t>
            </w:r>
          </w:p>
        </w:tc>
      </w:tr>
      <w:tr w:rsidR="0084730D" w:rsidRPr="00335C63" w14:paraId="651221F2" w14:textId="77777777" w:rsidTr="00997D20">
        <w:trPr>
          <w:cantSplit/>
          <w:jc w:val="center"/>
        </w:trPr>
        <w:tc>
          <w:tcPr>
            <w:tcW w:w="1584" w:type="pct"/>
            <w:tcMar>
              <w:top w:w="90" w:type="dxa"/>
              <w:left w:w="90" w:type="dxa"/>
              <w:bottom w:w="90" w:type="dxa"/>
              <w:right w:w="90" w:type="dxa"/>
            </w:tcMar>
            <w:vAlign w:val="center"/>
          </w:tcPr>
          <w:p w14:paraId="661794A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M7: Final submission ready</w:t>
            </w:r>
          </w:p>
        </w:tc>
        <w:tc>
          <w:tcPr>
            <w:tcW w:w="842" w:type="pct"/>
            <w:tcMar>
              <w:top w:w="90" w:type="dxa"/>
              <w:left w:w="90" w:type="dxa"/>
              <w:bottom w:w="90" w:type="dxa"/>
              <w:right w:w="90" w:type="dxa"/>
            </w:tcMar>
            <w:vAlign w:val="center"/>
          </w:tcPr>
          <w:p w14:paraId="31AFDF0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Week 14</w:t>
            </w:r>
          </w:p>
        </w:tc>
        <w:tc>
          <w:tcPr>
            <w:tcW w:w="2573" w:type="pct"/>
            <w:tcMar>
              <w:top w:w="90" w:type="dxa"/>
              <w:left w:w="90" w:type="dxa"/>
              <w:bottom w:w="90" w:type="dxa"/>
              <w:right w:w="90" w:type="dxa"/>
            </w:tcMar>
            <w:vAlign w:val="center"/>
          </w:tcPr>
          <w:p w14:paraId="430D01F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Report, dashboard screenshots, and demonstration environment prepared</w:t>
            </w:r>
          </w:p>
        </w:tc>
      </w:tr>
    </w:tbl>
    <w:p w14:paraId="03AD355B" w14:textId="77777777" w:rsidR="0084730D" w:rsidRPr="00335C63" w:rsidRDefault="0084730D" w:rsidP="000F4170">
      <w:pPr>
        <w:spacing w:line="360" w:lineRule="auto" w:after="120"/>
        <w:jc w:val="left"/>
        <w:rPr>
          <w:rFonts w:ascii="Times New Roman" w:hAnsi="Times New Roman" w:cs="Times New Roman"/>
          <w:sz w:val="24"/>
          <w:szCs w:val="24"/>
        </w:rPr>
      </w:pPr>
    </w:p>
    <w:p w14:paraId="26E4A1E0" w14:textId="77777777" w:rsidR="0084730D" w:rsidRPr="00335C63" w:rsidRDefault="00357319" w:rsidP="000F4170">
      <w:pPr>
        <w:pStyle w:val="Heading2"/>
        <w:spacing w:line="360" w:lineRule="auto" w:after="120" w:before="160"/>
        <w:jc w:val="left"/>
        <w:rPr>
          <w:rFonts w:ascii="Times New Roman" w:hAnsi="Times New Roman" w:cs="Times New Roman"/>
          <w:sz w:val="24"/>
          <w:szCs w:val="24"/>
        </w:rPr>
      </w:pPr>
      <w:r>
        <w:rPr>
          <w:rFonts w:ascii="Times New Roman" w:hAnsi="Times New Roman" w:eastAsia="Times New Roman"/>
          <w:b/>
          <w:color w:val="000000"/>
          <w:sz w:val="24"/>
        </w:rPr>
        <w:t>4.4 Risks and Mitigation</w:t>
      </w:r>
    </w:p>
    <w:tbl>
      <w:tblPr>
        <w:tblStyle w:val="TableGrid"/>
        <w:tblW w:w="5000" w:type="pct"/>
        <w:jc w:val="center"/>
        <w:tblLook w:val="04A0" w:firstRow="1" w:lastRow="0" w:firstColumn="1" w:lastColumn="0" w:noHBand="0" w:noVBand="1"/>
      </w:tblPr>
      <w:tblGrid>
        <w:gridCol w:w="3394"/>
        <w:gridCol w:w="2416"/>
        <w:gridCol w:w="3206"/>
      </w:tblGrid>
      <w:tr w:rsidR="0084730D" w:rsidRPr="00335C63" w14:paraId="7A403D77" w14:textId="77777777" w:rsidTr="00997D20">
        <w:trPr>
          <w:cantSplit/>
          <w:tblHeader/>
          <w:jc w:val="center"/>
        </w:trPr>
        <w:tc>
          <w:tcPr>
            <w:tcW w:w="1882" w:type="pct"/>
            <w:shd w:val="clear" w:color="auto" w:fill="E8F1FA"/>
            <w:tcMar>
              <w:top w:w="90" w:type="dxa"/>
              <w:left w:w="90" w:type="dxa"/>
              <w:bottom w:w="90" w:type="dxa"/>
              <w:right w:w="90" w:type="dxa"/>
            </w:tcMar>
            <w:vAlign w:val="center"/>
          </w:tcPr>
          <w:p w14:paraId="2C22E29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Risk</w:t>
            </w:r>
          </w:p>
        </w:tc>
        <w:tc>
          <w:tcPr>
            <w:tcW w:w="1340" w:type="pct"/>
            <w:shd w:val="clear" w:color="auto" w:fill="E8F1FA"/>
            <w:tcMar>
              <w:top w:w="90" w:type="dxa"/>
              <w:left w:w="90" w:type="dxa"/>
              <w:bottom w:w="90" w:type="dxa"/>
              <w:right w:w="90" w:type="dxa"/>
            </w:tcMar>
            <w:vAlign w:val="center"/>
          </w:tcPr>
          <w:p w14:paraId="515BC15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Impact</w:t>
            </w:r>
          </w:p>
        </w:tc>
        <w:tc>
          <w:tcPr>
            <w:tcW w:w="1778" w:type="pct"/>
            <w:shd w:val="clear" w:color="auto" w:fill="E8F1FA"/>
            <w:tcMar>
              <w:top w:w="90" w:type="dxa"/>
              <w:left w:w="90" w:type="dxa"/>
              <w:bottom w:w="90" w:type="dxa"/>
              <w:right w:w="90" w:type="dxa"/>
            </w:tcMar>
            <w:vAlign w:val="center"/>
          </w:tcPr>
          <w:p w14:paraId="4815754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Mitigation</w:t>
            </w:r>
          </w:p>
        </w:tc>
      </w:tr>
      <w:tr w:rsidR="0084730D" w:rsidRPr="00335C63" w14:paraId="2B5E89D6" w14:textId="77777777" w:rsidTr="00997D20">
        <w:trPr>
          <w:cantSplit/>
          <w:jc w:val="center"/>
        </w:trPr>
        <w:tc>
          <w:tcPr>
            <w:tcW w:w="1882" w:type="pct"/>
            <w:tcMar>
              <w:top w:w="90" w:type="dxa"/>
              <w:left w:w="90" w:type="dxa"/>
              <w:bottom w:w="90" w:type="dxa"/>
              <w:right w:w="90" w:type="dxa"/>
            </w:tcMar>
            <w:vAlign w:val="center"/>
          </w:tcPr>
          <w:p w14:paraId="0D82EB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data has only around 200+ records</w:t>
            </w:r>
          </w:p>
        </w:tc>
        <w:tc>
          <w:tcPr>
            <w:tcW w:w="1340" w:type="pct"/>
            <w:tcMar>
              <w:top w:w="90" w:type="dxa"/>
              <w:left w:w="90" w:type="dxa"/>
              <w:bottom w:w="90" w:type="dxa"/>
              <w:right w:w="90" w:type="dxa"/>
            </w:tcMar>
            <w:vAlign w:val="center"/>
          </w:tcPr>
          <w:p w14:paraId="72A1B9F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Complex ML may overfit</w:t>
            </w:r>
          </w:p>
        </w:tc>
        <w:tc>
          <w:tcPr>
            <w:tcW w:w="1778" w:type="pct"/>
            <w:tcMar>
              <w:top w:w="90" w:type="dxa"/>
              <w:left w:w="90" w:type="dxa"/>
              <w:bottom w:w="90" w:type="dxa"/>
              <w:right w:w="90" w:type="dxa"/>
            </w:tcMar>
            <w:vAlign w:val="center"/>
          </w:tcPr>
          <w:p w14:paraId="41671A0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explainable scoring, lag analysis, and logistic regression only if stable</w:t>
            </w:r>
          </w:p>
        </w:tc>
      </w:tr>
      <w:tr w:rsidR="0084730D" w:rsidRPr="00335C63" w14:paraId="01D5243F" w14:textId="77777777" w:rsidTr="00997D20">
        <w:trPr>
          <w:cantSplit/>
          <w:jc w:val="center"/>
        </w:trPr>
        <w:tc>
          <w:tcPr>
            <w:tcW w:w="1882" w:type="pct"/>
            <w:tcMar>
              <w:top w:w="90" w:type="dxa"/>
              <w:left w:w="90" w:type="dxa"/>
              <w:bottom w:w="90" w:type="dxa"/>
              <w:right w:w="90" w:type="dxa"/>
            </w:tcMar>
            <w:vAlign w:val="center"/>
          </w:tcPr>
          <w:p w14:paraId="64DAA3E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Google Sheets columns change</w:t>
            </w:r>
          </w:p>
        </w:tc>
        <w:tc>
          <w:tcPr>
            <w:tcW w:w="1340" w:type="pct"/>
            <w:tcMar>
              <w:top w:w="90" w:type="dxa"/>
              <w:left w:w="90" w:type="dxa"/>
              <w:bottom w:w="90" w:type="dxa"/>
              <w:right w:w="90" w:type="dxa"/>
            </w:tcMar>
            <w:vAlign w:val="center"/>
          </w:tcPr>
          <w:p w14:paraId="32CF4BA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ETL can break</w:t>
            </w:r>
          </w:p>
        </w:tc>
        <w:tc>
          <w:tcPr>
            <w:tcW w:w="1778" w:type="pct"/>
            <w:tcMar>
              <w:top w:w="90" w:type="dxa"/>
              <w:left w:w="90" w:type="dxa"/>
              <w:bottom w:w="90" w:type="dxa"/>
              <w:right w:w="90" w:type="dxa"/>
            </w:tcMar>
            <w:vAlign w:val="center"/>
          </w:tcPr>
          <w:p w14:paraId="55964B5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canonical column mapping and alias handling</w:t>
            </w:r>
          </w:p>
        </w:tc>
      </w:tr>
      <w:tr w:rsidR="0084730D" w:rsidRPr="00335C63" w14:paraId="39F7F4EC" w14:textId="77777777" w:rsidTr="00997D20">
        <w:trPr>
          <w:cantSplit/>
          <w:jc w:val="center"/>
        </w:trPr>
        <w:tc>
          <w:tcPr>
            <w:tcW w:w="1882" w:type="pct"/>
            <w:tcMar>
              <w:top w:w="90" w:type="dxa"/>
              <w:left w:w="90" w:type="dxa"/>
              <w:bottom w:w="90" w:type="dxa"/>
              <w:right w:w="90" w:type="dxa"/>
            </w:tcMar>
            <w:vAlign w:val="center"/>
          </w:tcPr>
          <w:p w14:paraId="68DC3D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Calendar event names are inconsistent</w:t>
            </w:r>
          </w:p>
        </w:tc>
        <w:tc>
          <w:tcPr>
            <w:tcW w:w="1340" w:type="pct"/>
            <w:tcMar>
              <w:top w:w="90" w:type="dxa"/>
              <w:left w:w="90" w:type="dxa"/>
              <w:bottom w:w="90" w:type="dxa"/>
              <w:right w:w="90" w:type="dxa"/>
            </w:tcMar>
            <w:vAlign w:val="center"/>
          </w:tcPr>
          <w:p w14:paraId="6442AFC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Session classification errors</w:t>
            </w:r>
          </w:p>
        </w:tc>
        <w:tc>
          <w:tcPr>
            <w:tcW w:w="1778" w:type="pct"/>
            <w:tcMar>
              <w:top w:w="90" w:type="dxa"/>
              <w:left w:w="90" w:type="dxa"/>
              <w:bottom w:w="90" w:type="dxa"/>
              <w:right w:w="90" w:type="dxa"/>
            </w:tcMar>
            <w:vAlign w:val="center"/>
          </w:tcPr>
          <w:p w14:paraId="6D5D93B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keyword rules and manual review list</w:t>
            </w:r>
          </w:p>
        </w:tc>
      </w:tr>
      <w:tr w:rsidR="0084730D" w:rsidRPr="00335C63" w14:paraId="53BDC5B1" w14:textId="77777777" w:rsidTr="00997D20">
        <w:trPr>
          <w:cantSplit/>
          <w:jc w:val="center"/>
        </w:trPr>
        <w:tc>
          <w:tcPr>
            <w:tcW w:w="1882" w:type="pct"/>
            <w:tcMar>
              <w:top w:w="90" w:type="dxa"/>
              <w:left w:w="90" w:type="dxa"/>
              <w:bottom w:w="90" w:type="dxa"/>
              <w:right w:w="90" w:type="dxa"/>
            </w:tcMar>
            <w:vAlign w:val="center"/>
          </w:tcPr>
          <w:p w14:paraId="787BD2E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Coordinates are incomplete</w:t>
            </w:r>
          </w:p>
        </w:tc>
        <w:tc>
          <w:tcPr>
            <w:tcW w:w="1340" w:type="pct"/>
            <w:tcMar>
              <w:top w:w="90" w:type="dxa"/>
              <w:left w:w="90" w:type="dxa"/>
              <w:bottom w:w="90" w:type="dxa"/>
              <w:right w:w="90" w:type="dxa"/>
            </w:tcMar>
            <w:vAlign w:val="center"/>
          </w:tcPr>
          <w:p w14:paraId="4155F71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Hotspot analysis becomes less precise</w:t>
            </w:r>
          </w:p>
        </w:tc>
        <w:tc>
          <w:tcPr>
            <w:tcW w:w="1778" w:type="pct"/>
            <w:tcMar>
              <w:top w:w="90" w:type="dxa"/>
              <w:left w:w="90" w:type="dxa"/>
              <w:bottom w:w="90" w:type="dxa"/>
              <w:right w:w="90" w:type="dxa"/>
            </w:tcMar>
            <w:vAlign w:val="center"/>
          </w:tcPr>
          <w:p w14:paraId="19F47F2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postcode/area centroid fallback and document confidence</w:t>
            </w:r>
          </w:p>
        </w:tc>
      </w:tr>
      <w:tr w:rsidR="0084730D" w:rsidRPr="00335C63" w14:paraId="570DB832" w14:textId="77777777" w:rsidTr="00997D20">
        <w:trPr>
          <w:cantSplit/>
          <w:jc w:val="center"/>
        </w:trPr>
        <w:tc>
          <w:tcPr>
            <w:tcW w:w="1882" w:type="pct"/>
            <w:tcMar>
              <w:top w:w="90" w:type="dxa"/>
              <w:left w:w="90" w:type="dxa"/>
              <w:bottom w:w="90" w:type="dxa"/>
              <w:right w:w="90" w:type="dxa"/>
            </w:tcMar>
            <w:vAlign w:val="center"/>
          </w:tcPr>
          <w:p w14:paraId="3255F3B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Weather data does not match micro-location conditions</w:t>
            </w:r>
          </w:p>
        </w:tc>
        <w:tc>
          <w:tcPr>
            <w:tcW w:w="1340" w:type="pct"/>
            <w:tcMar>
              <w:top w:w="90" w:type="dxa"/>
              <w:left w:w="90" w:type="dxa"/>
              <w:bottom w:w="90" w:type="dxa"/>
              <w:right w:w="90" w:type="dxa"/>
            </w:tcMar>
            <w:vAlign w:val="center"/>
          </w:tcPr>
          <w:p w14:paraId="26727F5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Risk of overclaiming weather effect</w:t>
            </w:r>
          </w:p>
        </w:tc>
        <w:tc>
          <w:tcPr>
            <w:tcW w:w="1778" w:type="pct"/>
            <w:tcMar>
              <w:top w:w="90" w:type="dxa"/>
              <w:left w:w="90" w:type="dxa"/>
              <w:bottom w:w="90" w:type="dxa"/>
              <w:right w:w="90" w:type="dxa"/>
            </w:tcMar>
            <w:vAlign w:val="center"/>
          </w:tcPr>
          <w:p w14:paraId="118C866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association wording and service-date weather windows</w:t>
            </w:r>
          </w:p>
        </w:tc>
      </w:tr>
      <w:tr w:rsidR="0084730D" w:rsidRPr="00335C63" w14:paraId="4E7C08BE" w14:textId="77777777" w:rsidTr="00997D20">
        <w:trPr>
          <w:cantSplit/>
          <w:jc w:val="center"/>
        </w:trPr>
        <w:tc>
          <w:tcPr>
            <w:tcW w:w="1882" w:type="pct"/>
            <w:tcMar>
              <w:top w:w="90" w:type="dxa"/>
              <w:left w:w="90" w:type="dxa"/>
              <w:bottom w:w="90" w:type="dxa"/>
              <w:right w:w="90" w:type="dxa"/>
            </w:tcMar>
            <w:vAlign w:val="center"/>
          </w:tcPr>
          <w:p w14:paraId="446043A2" w14:textId="77777777" w:rsidR="00BB18A2" w:rsidRDefault="00000000">
            <w:pPr>
              <w:spacing w:line="276" w:lineRule="auto" w:after="60"/>
              <w:jc w:val="left"/>
            </w:pPr>
            <w:r>
              <w:rPr>
                <w:rFonts w:ascii="Times New Roman" w:hAnsi="Times New Roman" w:eastAsia="Times New Roman" w:cs="Times New Roman"/>
                <w:sz w:val="21"/>
              </w:rPr>
              <w:t>Airflow, dbt, or Google Sheets access fails during demo</w:t>
            </w:r>
          </w:p>
        </w:tc>
        <w:tc>
          <w:tcPr>
            <w:tcW w:w="1340" w:type="pct"/>
            <w:tcMar>
              <w:top w:w="90" w:type="dxa"/>
              <w:left w:w="90" w:type="dxa"/>
              <w:bottom w:w="90" w:type="dxa"/>
              <w:right w:w="90" w:type="dxa"/>
            </w:tcMar>
            <w:vAlign w:val="center"/>
          </w:tcPr>
          <w:p w14:paraId="3C0F8627" w14:textId="77777777" w:rsidR="00BB18A2" w:rsidRDefault="00000000">
            <w:pPr>
              <w:spacing w:line="276" w:lineRule="auto" w:after="60"/>
              <w:jc w:val="left"/>
            </w:pPr>
            <w:r>
              <w:rPr>
                <w:rFonts w:ascii="Times New Roman" w:hAnsi="Times New Roman" w:eastAsia="Times New Roman" w:cs="Times New Roman"/>
                <w:sz w:val="21"/>
              </w:rPr>
              <w:t>Pipeline/dashboard may show stale data</w:t>
            </w:r>
          </w:p>
        </w:tc>
        <w:tc>
          <w:tcPr>
            <w:tcW w:w="1778" w:type="pct"/>
            <w:tcMar>
              <w:top w:w="90" w:type="dxa"/>
              <w:left w:w="90" w:type="dxa"/>
              <w:bottom w:w="90" w:type="dxa"/>
              <w:right w:w="90" w:type="dxa"/>
            </w:tcMar>
            <w:vAlign w:val="center"/>
          </w:tcPr>
          <w:p w14:paraId="3A9A5A03" w14:textId="77777777" w:rsidR="00BB18A2" w:rsidRDefault="00000000">
            <w:pPr>
              <w:spacing w:line="276" w:lineRule="auto" w:after="60"/>
              <w:jc w:val="left"/>
            </w:pPr>
            <w:r>
              <w:rPr>
                <w:rFonts w:ascii="Times New Roman" w:hAnsi="Times New Roman" w:eastAsia="Times New Roman" w:cs="Times New Roman"/>
                <w:sz w:val="21"/>
              </w:rPr>
              <w:t>Show last successful refresh, failed task status, manual run fallback, and static exported marts for backup</w:t>
            </w:r>
          </w:p>
        </w:tc>
      </w:tr>
      <w:tr w:rsidR="0084730D" w:rsidRPr="00335C63" w14:paraId="202F6658" w14:textId="77777777" w:rsidTr="00997D20">
        <w:trPr>
          <w:cantSplit/>
          <w:jc w:val="center"/>
        </w:trPr>
        <w:tc>
          <w:tcPr>
            <w:tcW w:w="1882" w:type="pct"/>
            <w:tcMar>
              <w:top w:w="90" w:type="dxa"/>
              <w:left w:w="90" w:type="dxa"/>
              <w:bottom w:w="90" w:type="dxa"/>
              <w:right w:w="90" w:type="dxa"/>
            </w:tcMar>
            <w:vAlign w:val="center"/>
          </w:tcPr>
          <w:p w14:paraId="07685132" w14:textId="77777777" w:rsidR="00BB18A2" w:rsidRDefault="00000000">
            <w:pPr>
              <w:spacing w:line="276" w:lineRule="auto" w:after="60"/>
              <w:jc w:val="left"/>
            </w:pPr>
            <w:r>
              <w:rPr>
                <w:rFonts w:ascii="Times New Roman" w:hAnsi="Times New Roman" w:eastAsia="Times New Roman" w:cs="Times New Roman"/>
                <w:sz w:val="21"/>
              </w:rPr>
              <w:t>BigQuery/Superset/dbt setup takes longer than expected</w:t>
            </w:r>
          </w:p>
        </w:tc>
        <w:tc>
          <w:tcPr>
            <w:tcW w:w="1340" w:type="pct"/>
            <w:tcMar>
              <w:top w:w="90" w:type="dxa"/>
              <w:left w:w="90" w:type="dxa"/>
              <w:bottom w:w="90" w:type="dxa"/>
              <w:right w:w="90" w:type="dxa"/>
            </w:tcMar>
            <w:vAlign w:val="center"/>
          </w:tcPr>
          <w:p w14:paraId="47FF9B6B" w14:textId="77777777" w:rsidR="00BB18A2" w:rsidRDefault="00000000">
            <w:pPr>
              <w:spacing w:line="276" w:lineRule="auto" w:after="60"/>
              <w:jc w:val="left"/>
            </w:pPr>
            <w:r>
              <w:rPr>
                <w:rFonts w:ascii="Times New Roman" w:hAnsi="Times New Roman" w:eastAsia="Times New Roman" w:cs="Times New Roman"/>
                <w:sz w:val="21"/>
              </w:rPr>
              <w:t>Dashboard delivery risk</w:t>
            </w:r>
          </w:p>
        </w:tc>
        <w:tc>
          <w:tcPr>
            <w:tcW w:w="1778" w:type="pct"/>
            <w:tcMar>
              <w:top w:w="90" w:type="dxa"/>
              <w:left w:w="90" w:type="dxa"/>
              <w:bottom w:w="90" w:type="dxa"/>
              <w:right w:w="90" w:type="dxa"/>
            </w:tcMar>
            <w:vAlign w:val="center"/>
          </w:tcPr>
          <w:p w14:paraId="33FA30D0" w14:textId="77777777" w:rsidR="00BB18A2" w:rsidRDefault="00000000">
            <w:pPr>
              <w:spacing w:line="276" w:lineRule="auto" w:after="60"/>
              <w:jc w:val="left"/>
            </w:pPr>
            <w:r>
              <w:rPr>
                <w:rFonts w:ascii="Times New Roman" w:hAnsi="Times New Roman" w:eastAsia="Times New Roman" w:cs="Times New Roman"/>
                <w:sz w:val="21"/>
              </w:rPr>
              <w:t>Build minimum Bronze/Silver/Gold path first and add advanced marts after core pipeline works</w:t>
            </w:r>
          </w:p>
        </w:tc>
      </w:tr>
      <w:tr w:rsidR="0084730D" w:rsidRPr="00335C63" w14:paraId="53667F9E" w14:textId="77777777" w:rsidTr="00997D20">
        <w:trPr>
          <w:cantSplit/>
          <w:jc w:val="center"/>
        </w:trPr>
        <w:tc>
          <w:tcPr>
            <w:tcW w:w="1882" w:type="pct"/>
            <w:tcMar>
              <w:top w:w="90" w:type="dxa"/>
              <w:left w:w="90" w:type="dxa"/>
              <w:bottom w:w="90" w:type="dxa"/>
              <w:right w:w="90" w:type="dxa"/>
            </w:tcMar>
            <w:vAlign w:val="center"/>
          </w:tcPr>
          <w:p w14:paraId="5575FC1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Company users need simpler explanations</w:t>
            </w:r>
          </w:p>
        </w:tc>
        <w:tc>
          <w:tcPr>
            <w:tcW w:w="1340" w:type="pct"/>
            <w:tcMar>
              <w:top w:w="90" w:type="dxa"/>
              <w:left w:w="90" w:type="dxa"/>
              <w:bottom w:w="90" w:type="dxa"/>
              <w:right w:w="90" w:type="dxa"/>
            </w:tcMar>
            <w:vAlign w:val="center"/>
          </w:tcPr>
          <w:p w14:paraId="2A54A1B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Low adoption</w:t>
            </w:r>
          </w:p>
        </w:tc>
        <w:tc>
          <w:tcPr>
            <w:tcW w:w="1778" w:type="pct"/>
            <w:tcMar>
              <w:top w:w="90" w:type="dxa"/>
              <w:left w:w="90" w:type="dxa"/>
              <w:bottom w:w="90" w:type="dxa"/>
              <w:right w:w="90" w:type="dxa"/>
            </w:tcMar>
            <w:vAlign w:val="center"/>
          </w:tcPr>
          <w:p w14:paraId="0BCD05D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Use short recommendation labels and management-friendly dashboards</w:t>
            </w:r>
          </w:p>
        </w:tc>
      </w:tr>
      <w:tr w:rsidR="00BB18A2" w14:paraId="5FD114D6" w14:textId="77777777">
        <w:trPr>
          <w:jc w:val="center"/>
        </w:trPr>
        <w:tc>
          <w:tcPr>
            <w:tcW w:w="3394" w:type="dxa"/>
            <w:vAlign w:val="center"/>
          </w:tcPr>
          <w:p w14:paraId="1E3AC12B" w14:textId="77777777" w:rsidR="00BB18A2" w:rsidRDefault="00000000">
            <w:pPr>
              <w:spacing w:line="276" w:lineRule="auto" w:after="60"/>
              <w:jc w:val="left"/>
            </w:pPr>
            <w:r>
              <w:rPr>
                <w:rFonts w:ascii="Times New Roman" w:hAnsi="Times New Roman" w:eastAsia="Times New Roman" w:cs="Times New Roman"/>
                <w:sz w:val="21"/>
              </w:rPr>
              <w:t>Flexible contracts map a field incorrectly</w:t>
            </w:r>
          </w:p>
        </w:tc>
        <w:tc>
          <w:tcPr>
            <w:tcW w:w="2416" w:type="dxa"/>
            <w:vAlign w:val="center"/>
          </w:tcPr>
          <w:p w14:paraId="4F115042" w14:textId="77777777" w:rsidR="00BB18A2" w:rsidRDefault="00000000">
            <w:pPr>
              <w:spacing w:line="276" w:lineRule="auto" w:after="60"/>
              <w:jc w:val="left"/>
            </w:pPr>
            <w:r>
              <w:rPr>
                <w:rFonts w:ascii="Times New Roman" w:hAnsi="Times New Roman" w:eastAsia="Times New Roman" w:cs="Times New Roman"/>
                <w:sz w:val="21"/>
              </w:rPr>
              <w:t>Analytics may use wrong source meaning</w:t>
            </w:r>
          </w:p>
        </w:tc>
        <w:tc>
          <w:tcPr>
            <w:tcW w:w="3206" w:type="dxa"/>
            <w:vAlign w:val="center"/>
          </w:tcPr>
          <w:p w14:paraId="6640D24F" w14:textId="77777777" w:rsidR="00BB18A2" w:rsidRDefault="00000000">
            <w:pPr>
              <w:spacing w:line="276" w:lineRule="auto" w:after="60"/>
              <w:jc w:val="left"/>
            </w:pPr>
            <w:r>
              <w:rPr>
                <w:rFonts w:ascii="Times New Roman" w:hAnsi="Times New Roman" w:eastAsia="Times New Roman" w:cs="Times New Roman"/>
                <w:sz w:val="21"/>
              </w:rPr>
              <w:t>Store source-to-standard mappings, mapping confidence, and manual review notes in the data quality report</w:t>
            </w:r>
          </w:p>
        </w:tc>
      </w:tr>
    </w:tbl>
    <w:p w14:paraId="73194469" w14:textId="77777777" w:rsidR="0084730D" w:rsidRPr="00335C63" w:rsidRDefault="0084730D" w:rsidP="000F4170">
      <w:pPr>
        <w:spacing w:line="360" w:lineRule="auto" w:after="120"/>
        <w:jc w:val="left"/>
        <w:rPr>
          <w:rFonts w:ascii="Times New Roman" w:hAnsi="Times New Roman" w:cs="Times New Roman"/>
          <w:sz w:val="24"/>
          <w:szCs w:val="24"/>
        </w:rPr>
      </w:pPr>
    </w:p>
    <w:p w14:paraId="2B6254DA"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References</w:t>
      </w:r>
    </w:p>
    <w:p w14:paraId="765DE777" w14:textId="77777777" w:rsidR="00BB18A2" w:rsidRDefault="00000000">
      <w:pPr>
        <w:spacing w:line="360" w:lineRule="auto" w:after="120"/>
        <w:jc w:val="both"/>
      </w:pPr>
      <w:r>
        <w:rPr>
          <w:rFonts w:ascii="Times New Roman" w:hAnsi="Times New Roman" w:eastAsia="Times New Roman" w:cs="Times New Roman"/>
          <w:sz w:val="24"/>
        </w:rPr>
        <w:t>Apache Airflow. (2026). Apache Airflow documentation. https://airflow.apache.org/docs/</w:t>
      </w:r>
    </w:p>
    <w:p w14:paraId="0B85A9E2" w14:textId="77777777" w:rsidR="00BB18A2" w:rsidRDefault="00000000">
      <w:pPr>
        <w:spacing w:line="360" w:lineRule="auto" w:after="120"/>
        <w:jc w:val="both"/>
      </w:pPr>
      <w:r>
        <w:rPr>
          <w:rFonts w:ascii="Times New Roman" w:hAnsi="Times New Roman" w:eastAsia="Times New Roman" w:cs="Times New Roman"/>
          <w:sz w:val="24"/>
        </w:rPr>
        <w:t>Apache Airflow. (2026). DAGs. https://airflow.apache.org/docs/apache-airflow/stable/core-concepts/dags.html</w:t>
      </w:r>
    </w:p>
    <w:p w14:paraId="21D2FB13" w14:textId="77777777" w:rsidR="00BB18A2" w:rsidRDefault="00000000">
      <w:pPr>
        <w:spacing w:line="360" w:lineRule="auto" w:after="120"/>
        <w:jc w:val="both"/>
      </w:pPr>
      <w:r>
        <w:rPr>
          <w:rFonts w:ascii="Times New Roman" w:hAnsi="Times New Roman" w:eastAsia="Times New Roman" w:cs="Times New Roman"/>
          <w:sz w:val="24"/>
        </w:rPr>
        <w:t>Apache Superset. (2026). Google BigQuery database support. https://superset.apache.org/user-docs/databases/supported/google-bigquery</w:t>
      </w:r>
    </w:p>
    <w:p w14:paraId="35F6D5AE" w14:textId="77777777" w:rsidR="00BB18A2" w:rsidRDefault="00000000">
      <w:pPr>
        <w:spacing w:line="360" w:lineRule="auto" w:after="120"/>
        <w:jc w:val="both"/>
      </w:pPr>
      <w:r>
        <w:rPr>
          <w:rFonts w:ascii="Times New Roman" w:hAnsi="Times New Roman" w:eastAsia="Times New Roman" w:cs="Times New Roman"/>
          <w:sz w:val="24"/>
        </w:rPr>
        <w:t>Apache Superset. (2026). Introduction to Apache Superset. https://superset.apache.org/user-docs/intro/</w:t>
      </w:r>
    </w:p>
    <w:p w14:paraId="59703C84" w14:textId="77777777" w:rsidR="00BB18A2" w:rsidRDefault="00000000">
      <w:pPr>
        <w:spacing w:line="360" w:lineRule="auto" w:after="120"/>
        <w:jc w:val="both"/>
      </w:pPr>
      <w:r>
        <w:rPr>
          <w:rFonts w:ascii="Times New Roman" w:hAnsi="Times New Roman" w:eastAsia="Times New Roman" w:cs="Times New Roman"/>
          <w:sz w:val="24"/>
        </w:rPr>
        <w:t>Biswas, S., Mohite, J., &amp; Pappula, S. (2022). Systems and methods for pest forecasting using historical pesticide usage information. U.S. Patent No. US11397837B2. https://patents.google.com/patent/US11397837B2</w:t>
      </w:r>
    </w:p>
    <w:p w14:paraId="41CE78A8" w14:textId="77777777" w:rsidR="00BB18A2" w:rsidRDefault="00000000">
      <w:pPr>
        <w:spacing w:line="360" w:lineRule="auto" w:after="120"/>
        <w:jc w:val="both"/>
      </w:pPr>
      <w:r>
        <w:rPr>
          <w:rFonts w:ascii="Times New Roman" w:hAnsi="Times New Roman" w:eastAsia="Times New Roman" w:cs="Times New Roman"/>
          <w:sz w:val="24"/>
        </w:rPr>
        <w:lastRenderedPageBreak/>
        <w:t>Blacketer, C., Defalco, F. J., Ryan, P. B., &amp; Rijnbeek, P. R. (2021). Increasing trust in real-world evidence through evaluation of observational data quality. Journal of the American Medical Informatics Association, 28(10), 2251-2257. https://doi.org/10.1093/jamia/ocab132</w:t>
      </w:r>
    </w:p>
    <w:p w14:paraId="28F7A3AB" w14:textId="77777777" w:rsidR="00BB18A2" w:rsidRDefault="00000000">
      <w:pPr>
        <w:spacing w:line="360" w:lineRule="auto" w:after="120"/>
        <w:jc w:val="both"/>
      </w:pPr>
      <w:r>
        <w:rPr>
          <w:rFonts w:ascii="Times New Roman" w:hAnsi="Times New Roman" w:eastAsia="Times New Roman" w:cs="Times New Roman"/>
          <w:sz w:val="24"/>
        </w:rPr>
        <w:t>Brimblecombe, P., Muller, G., Schmidt, M., Tischhauser, W., Landau, I., &amp; Querner, P. (2023). Urban pest abundance and public enquiries in Zurich 1991-2022. Insects, 14(10), 798. https://doi.org/10.3390/insects14100798</w:t>
      </w:r>
    </w:p>
    <w:p w14:paraId="3F4E9A68" w14:textId="77777777" w:rsidR="00BB18A2" w:rsidRDefault="00000000">
      <w:pPr>
        <w:spacing w:line="360" w:lineRule="auto" w:after="120"/>
        <w:jc w:val="both"/>
      </w:pPr>
      <w:r>
        <w:rPr>
          <w:rFonts w:ascii="Times New Roman" w:hAnsi="Times New Roman" w:eastAsia="Times New Roman" w:cs="Times New Roman"/>
          <w:sz w:val="24"/>
        </w:rPr>
        <w:t>Calatayud, J., Jornet, M., Mateu, J., &amp; Pinto, C. M. A. (2023). A new population model for urban infestations. Chaos, Solitons &amp; Fractals, 175, 113939. https://doi.org/10.1016/j.chaos.2023.113939</w:t>
      </w:r>
    </w:p>
    <w:p w14:paraId="458665F7" w14:textId="77777777" w:rsidR="00BB18A2" w:rsidRDefault="00000000">
      <w:pPr>
        <w:spacing w:line="360" w:lineRule="auto" w:after="120"/>
        <w:jc w:val="both"/>
      </w:pPr>
      <w:r>
        <w:rPr>
          <w:rFonts w:ascii="Times New Roman" w:hAnsi="Times New Roman" w:eastAsia="Times New Roman" w:cs="Times New Roman"/>
          <w:sz w:val="24"/>
        </w:rPr>
        <w:t>Choi, C., &amp; Hong, S.-Y. (2021). MDST-DBSCAN: A density-based clustering method for multidimensional spatiotemporal data. ISPRS International Journal of Geo-Information, 10(6), 391. https://doi.org/10.3390/ijgi10060391</w:t>
      </w:r>
    </w:p>
    <w:p w14:paraId="50029AEF" w14:textId="77777777" w:rsidR="00BB18A2" w:rsidRDefault="00000000">
      <w:pPr>
        <w:spacing w:line="360" w:lineRule="auto" w:after="120"/>
        <w:jc w:val="both"/>
      </w:pPr>
      <w:r>
        <w:rPr>
          <w:rFonts w:ascii="Times New Roman" w:hAnsi="Times New Roman" w:eastAsia="Times New Roman" w:cs="Times New Roman"/>
          <w:sz w:val="24"/>
        </w:rPr>
        <w:t>Cordon, J. A. (2026). Temporal evolution of predictive heat maps for Periplaneta americana infestation in urban sanitation networks (April 7 - June 23, 2022). Zenodo. https://doi.org/10.5281/zenodo.18186918</w:t>
      </w:r>
    </w:p>
    <w:p w14:paraId="0EFE9360" w14:textId="77777777" w:rsidR="00BB18A2" w:rsidRDefault="00000000">
      <w:pPr>
        <w:spacing w:line="360" w:lineRule="auto" w:after="120"/>
        <w:jc w:val="both"/>
      </w:pPr>
      <w:r>
        <w:rPr>
          <w:rFonts w:ascii="Times New Roman" w:hAnsi="Times New Roman" w:eastAsia="Times New Roman" w:cs="Times New Roman"/>
          <w:sz w:val="24"/>
        </w:rPr>
        <w:t>dbt Labs. (2026). About dbt documentation. https://docs.getdbt.com/docs/build/documentation</w:t>
      </w:r>
    </w:p>
    <w:p w14:paraId="57688777" w14:textId="77777777" w:rsidR="00BB18A2" w:rsidRDefault="00000000">
      <w:pPr>
        <w:spacing w:line="360" w:lineRule="auto" w:after="120"/>
        <w:jc w:val="both"/>
      </w:pPr>
      <w:r>
        <w:rPr>
          <w:rFonts w:ascii="Times New Roman" w:hAnsi="Times New Roman" w:eastAsia="Times New Roman" w:cs="Times New Roman"/>
          <w:sz w:val="24"/>
        </w:rPr>
        <w:t>dbt Labs. (2026). What is dbt? https://docs.getdbt.com/docs/introduction</w:t>
      </w:r>
    </w:p>
    <w:p w14:paraId="6021C5E8" w14:textId="77777777" w:rsidR="00BB18A2" w:rsidRDefault="00000000">
      <w:pPr>
        <w:spacing w:line="360" w:lineRule="auto" w:after="120"/>
        <w:jc w:val="both"/>
      </w:pPr>
      <w:r>
        <w:rPr>
          <w:rFonts w:ascii="Times New Roman" w:hAnsi="Times New Roman" w:eastAsia="Times New Roman" w:cs="Times New Roman"/>
          <w:sz w:val="24"/>
        </w:rPr>
        <w:t>Dey, S., &amp; Roy, S. (2025). Digital Guardians: Revolutionizing pest management with AI and IoT for a greener future. In IoT and advanced intelligence computation for smart agriculture. CRC Press. https://doi.org/10.1201/9781003527664-5</w:t>
      </w:r>
    </w:p>
    <w:p w14:paraId="0AB241C8" w14:textId="77777777" w:rsidR="00BB18A2" w:rsidRDefault="00000000">
      <w:pPr>
        <w:spacing w:line="360" w:lineRule="auto" w:after="120"/>
        <w:jc w:val="both"/>
      </w:pPr>
      <w:r>
        <w:rPr>
          <w:rFonts w:ascii="Times New Roman" w:hAnsi="Times New Roman" w:eastAsia="Times New Roman" w:cs="Times New Roman"/>
          <w:sz w:val="24"/>
        </w:rPr>
        <w:t>Ejike, O., Ndzi, D., &amp; Shakir, M. Z. (2025). Comparative study of machine learning-based rainfall prediction in tropical and temperate climates. Climate, 13(8), 167. https://doi.org/10.3390/cli13080167</w:t>
      </w:r>
    </w:p>
    <w:p w14:paraId="739249BB" w14:textId="77777777" w:rsidR="00BB18A2" w:rsidRDefault="00000000">
      <w:pPr>
        <w:spacing w:line="360" w:lineRule="auto" w:after="120"/>
        <w:jc w:val="both"/>
      </w:pPr>
      <w:r>
        <w:rPr>
          <w:rFonts w:ascii="Times New Roman" w:hAnsi="Times New Roman" w:eastAsia="Times New Roman" w:cs="Times New Roman"/>
          <w:sz w:val="24"/>
        </w:rPr>
        <w:t>Erguler, K., et al. (2024). VEClim: An early warning decision support system for climate-sensitive vector activity and vector-borne disease risk assessment. Wellcome Open Research, 9, 697. https://doi.org/10.12688/wellcomeopenres.23122.1</w:t>
      </w:r>
    </w:p>
    <w:p w14:paraId="4E236DFD" w14:textId="77777777" w:rsidR="00BB18A2" w:rsidRDefault="00000000">
      <w:pPr>
        <w:spacing w:line="360" w:lineRule="auto" w:after="120"/>
        <w:jc w:val="both"/>
      </w:pPr>
      <w:r>
        <w:rPr>
          <w:rFonts w:ascii="Times New Roman" w:hAnsi="Times New Roman" w:eastAsia="Times New Roman" w:cs="Times New Roman"/>
          <w:sz w:val="24"/>
        </w:rPr>
        <w:t>Fiori, M., Fois, G., Gerardi, M. S., Maggio, F., Milesi, C., &amp; Pinna, A. (2024). SMARTerra, a high-resolution decision support system for monitoring plant pests and diseases. Applied Sciences, 14(18), 8275. https://doi.org/10.3390/app14188275</w:t>
      </w:r>
    </w:p>
    <w:p w14:paraId="403F61D8" w14:textId="77777777" w:rsidR="00BB18A2" w:rsidRDefault="00000000">
      <w:pPr>
        <w:spacing w:line="360" w:lineRule="auto" w:after="120"/>
        <w:jc w:val="both"/>
      </w:pPr>
      <w:r>
        <w:rPr>
          <w:rFonts w:ascii="Times New Roman" w:hAnsi="Times New Roman" w:eastAsia="Times New Roman" w:cs="Times New Roman"/>
          <w:sz w:val="24"/>
        </w:rPr>
        <w:t>Fu, Q., Nicholson, G. L., &amp; Easton, J. M. (2024). Understanding data quality in a data-driven industry context: Insights from the fundamentals. Journal of Industrial Information Integration, 42, 100729. https://doi.org/10.1016/j.jii.2024.100729</w:t>
      </w:r>
    </w:p>
    <w:p w14:paraId="5A997AA0" w14:textId="77777777" w:rsidR="00BB18A2" w:rsidRDefault="00000000">
      <w:pPr>
        <w:spacing w:line="360" w:lineRule="auto" w:after="120"/>
        <w:jc w:val="both"/>
      </w:pPr>
      <w:r>
        <w:rPr>
          <w:rFonts w:ascii="Times New Roman" w:hAnsi="Times New Roman" w:eastAsia="Times New Roman" w:cs="Times New Roman"/>
          <w:sz w:val="24"/>
        </w:rPr>
        <w:t>Google Calendar. (2026). Events: list. https://developers.google.com/workspace/calendar/api/v3/reference/events/list</w:t>
      </w:r>
    </w:p>
    <w:p w14:paraId="4D024030" w14:textId="77777777" w:rsidR="00BB18A2" w:rsidRDefault="00000000">
      <w:pPr>
        <w:spacing w:line="360" w:lineRule="auto" w:after="120"/>
        <w:jc w:val="both"/>
      </w:pPr>
      <w:r>
        <w:rPr>
          <w:rFonts w:ascii="Times New Roman" w:hAnsi="Times New Roman" w:eastAsia="Times New Roman" w:cs="Times New Roman"/>
          <w:sz w:val="24"/>
        </w:rPr>
        <w:t>Google Calendar. (2026). Google Calendar API overview. https://developers.google.com/workspace/calendar/api/guides/overview</w:t>
      </w:r>
    </w:p>
    <w:p w14:paraId="6A655923" w14:textId="77777777" w:rsidR="00BB18A2" w:rsidRDefault="00000000">
      <w:pPr>
        <w:spacing w:line="360" w:lineRule="auto" w:after="120"/>
        <w:jc w:val="both"/>
      </w:pPr>
      <w:r>
        <w:rPr>
          <w:rFonts w:ascii="Times New Roman" w:hAnsi="Times New Roman" w:eastAsia="Times New Roman" w:cs="Times New Roman"/>
          <w:sz w:val="24"/>
        </w:rPr>
        <w:t>Google Cloud. (2026). BigQuery documentation. https://cloud.google.com/bigquery/docs</w:t>
      </w:r>
    </w:p>
    <w:p w14:paraId="4D197C8A" w14:textId="77777777" w:rsidR="00BB18A2" w:rsidRDefault="00000000">
      <w:pPr>
        <w:spacing w:line="360" w:lineRule="auto" w:after="120"/>
        <w:jc w:val="both"/>
      </w:pPr>
      <w:r>
        <w:rPr>
          <w:rFonts w:ascii="Times New Roman" w:hAnsi="Times New Roman" w:eastAsia="Times New Roman" w:cs="Times New Roman"/>
          <w:sz w:val="24"/>
        </w:rPr>
        <w:t>Google Cloud. (2026). Introduction to BigQuery. https://cloud.google.com/bigquery/docs/introduction</w:t>
      </w:r>
    </w:p>
    <w:p w14:paraId="65CB9864" w14:textId="77777777" w:rsidR="00BB18A2" w:rsidRDefault="00000000">
      <w:pPr>
        <w:spacing w:line="360" w:lineRule="auto" w:after="120"/>
        <w:jc w:val="both"/>
      </w:pPr>
      <w:r>
        <w:rPr>
          <w:rFonts w:ascii="Times New Roman" w:hAnsi="Times New Roman" w:eastAsia="Times New Roman" w:cs="Times New Roman"/>
          <w:sz w:val="24"/>
        </w:rPr>
        <w:lastRenderedPageBreak/>
        <w:t>Gurcan, F., Ayaz, A., Menekse Dalveren, G. G., &amp; Derawi, M. (2023). Business intelligence strategies, best practices, and latest trends: Analysis of scientometric data from 2003 to 2023 using machine learning. Sustainability, 15(13), 9854. https://doi.org/10.3390/su15139854</w:t>
      </w:r>
    </w:p>
    <w:p w14:paraId="4EA22180" w14:textId="77777777" w:rsidR="00BB18A2" w:rsidRDefault="00000000">
      <w:pPr>
        <w:spacing w:line="360" w:lineRule="auto" w:after="120"/>
        <w:jc w:val="both"/>
      </w:pPr>
      <w:r>
        <w:rPr>
          <w:rFonts w:ascii="Times New Roman" w:hAnsi="Times New Roman" w:eastAsia="Times New Roman" w:cs="Times New Roman"/>
          <w:sz w:val="24"/>
        </w:rPr>
        <w:t>Hiscox, A., Spencer, F., Dennehy, J., Dyall, W., Jenkins, A., Narendran, A., Das, A., Logan, J. G., &amp; Jones, R. T. (2025). The impact of adverse weather events on cockroaches and flies, and the possible effects on disease. Medical and Veterinary Entomology, 39(3), 500-514. https://doi.org/10.1111/mve.12797</w:t>
      </w:r>
    </w:p>
    <w:p w14:paraId="3CEBF7ED" w14:textId="77777777" w:rsidR="00BB18A2" w:rsidRDefault="00000000">
      <w:pPr>
        <w:spacing w:line="360" w:lineRule="auto" w:after="120"/>
        <w:jc w:val="both"/>
      </w:pPr>
      <w:r>
        <w:rPr>
          <w:rFonts w:ascii="Times New Roman" w:hAnsi="Times New Roman" w:eastAsia="Times New Roman" w:cs="Times New Roman"/>
          <w:sz w:val="24"/>
        </w:rPr>
        <w:t>Kaloudis, E., Agrafioti, P., Sakka, M. K., &amp; Lampiri, E. (2026). A temperature-driven population dynamics model based on biweekly insect trap counts for stored-product pest management. Preprints. https://www.preprints.org/manuscript/202603.0573</w:t>
      </w:r>
    </w:p>
    <w:p w14:paraId="4393236D" w14:textId="77777777" w:rsidR="00BB18A2" w:rsidRDefault="00000000">
      <w:pPr>
        <w:spacing w:line="360" w:lineRule="auto" w:after="120"/>
        <w:jc w:val="both"/>
      </w:pPr>
      <w:r>
        <w:rPr>
          <w:rFonts w:ascii="Times New Roman" w:hAnsi="Times New Roman" w:eastAsia="Times New Roman" w:cs="Times New Roman"/>
          <w:sz w:val="24"/>
        </w:rPr>
        <w:t>Leybourne, D. J., Musa, N., &amp; Yang, P. (2025). Can artificial intelligence be integrated into pest monitoring schemes to help achieve sustainable agriculture? An entomological, management and computational perspective. Agricultural and Forest Entomology, 27(1), 8-17. https://doi.org/10.1111/afe.12630</w:t>
      </w:r>
    </w:p>
    <w:p w14:paraId="7EC2EEC0" w14:textId="77777777" w:rsidR="00BB18A2" w:rsidRDefault="00000000">
      <w:pPr>
        <w:spacing w:line="360" w:lineRule="auto" w:after="120"/>
        <w:jc w:val="both"/>
      </w:pPr>
      <w:r>
        <w:rPr>
          <w:rFonts w:ascii="Times New Roman" w:hAnsi="Times New Roman" w:eastAsia="Times New Roman" w:cs="Times New Roman"/>
          <w:sz w:val="24"/>
        </w:rPr>
        <w:t>Li, W., Dodwell, E., &amp; Cook, D. (2023). A clustering algorithm to organize satellite hotspot data for the purpose of tracking bushfires remotely. The R Journal, 15(1), 17-33. https://journal.r-project.org/articles/RJ-2023-022/</w:t>
      </w:r>
    </w:p>
    <w:p w14:paraId="174E3A02" w14:textId="77777777" w:rsidR="00BB18A2" w:rsidRDefault="00000000">
      <w:pPr>
        <w:spacing w:line="360" w:lineRule="auto" w:after="120"/>
        <w:jc w:val="both"/>
      </w:pPr>
      <w:r>
        <w:rPr>
          <w:rFonts w:ascii="Times New Roman" w:hAnsi="Times New Roman" w:eastAsia="Times New Roman" w:cs="Times New Roman"/>
          <w:sz w:val="24"/>
        </w:rPr>
        <w:t>Lu, X., Wijayaratna, K., Huang, Y., &amp; Qiu, A. (2022). AI-enabled opportunities and transformation challenges for SMEs in the post-pandemic era: A review and research agenda. Frontiers in Public Health, 10, 885067. https://doi.org/10.3389/fpubh.2022.885067</w:t>
      </w:r>
    </w:p>
    <w:p w14:paraId="2F1414C0" w14:textId="77777777" w:rsidR="00BB18A2" w:rsidRDefault="00000000">
      <w:pPr>
        <w:spacing w:line="360" w:lineRule="auto" w:after="120"/>
        <w:jc w:val="both"/>
      </w:pPr>
      <w:r>
        <w:rPr>
          <w:rFonts w:ascii="Times New Roman" w:hAnsi="Times New Roman" w:eastAsia="Times New Roman" w:cs="Times New Roman"/>
          <w:sz w:val="24"/>
        </w:rPr>
        <w:t>Malaysia OpenAPI. (2026). Weather: Malaysia official Open API. https://developer.data.gov.my/realtime-api/weather</w:t>
      </w:r>
    </w:p>
    <w:p w14:paraId="306CE22B" w14:textId="77777777" w:rsidR="00BB18A2" w:rsidRDefault="00000000">
      <w:pPr>
        <w:spacing w:line="360" w:lineRule="auto" w:after="120"/>
        <w:jc w:val="both"/>
      </w:pPr>
      <w:r>
        <w:rPr>
          <w:rFonts w:ascii="Times New Roman" w:hAnsi="Times New Roman" w:eastAsia="Times New Roman" w:cs="Times New Roman"/>
          <w:sz w:val="24"/>
        </w:rPr>
        <w:t>Malaysian Meteorological Department. (2026). Web Service API. https://api.met.gov.my/</w:t>
      </w:r>
    </w:p>
    <w:p w14:paraId="5C2D4BFC" w14:textId="77777777" w:rsidR="00BB18A2" w:rsidRDefault="00000000">
      <w:pPr>
        <w:spacing w:line="360" w:lineRule="auto" w:after="120"/>
        <w:jc w:val="both"/>
      </w:pPr>
      <w:r>
        <w:rPr>
          <w:rFonts w:ascii="Times New Roman" w:hAnsi="Times New Roman" w:eastAsia="Times New Roman" w:cs="Times New Roman"/>
          <w:sz w:val="24"/>
        </w:rPr>
        <w:t>Marinko, J., Blazica, B., Jorgensen, L. N., Matzen, N., Ramsden, M., &amp; Debeljak, M. (2024).</w:t>
      </w:r>
    </w:p>
    <w:p w14:paraId="50C8DD82" w14:textId="77777777" w:rsidR="00BB18A2" w:rsidRDefault="00000000">
      <w:pPr>
        <w:spacing w:line="360" w:lineRule="auto" w:after="120"/>
        <w:jc w:val="both"/>
      </w:pPr>
      <w:r>
        <w:rPr>
          <w:rFonts w:ascii="Times New Roman" w:hAnsi="Times New Roman" w:eastAsia="Times New Roman" w:cs="Times New Roman"/>
          <w:sz w:val="24"/>
        </w:rPr>
        <w:t>Marinko, J., Kuzmanovski, V., Ramsden, M., &amp; Debeljak, M. (2025). Overcoming barriers to the adoption of decision support systems in integrated pest management in some European countries. Agronomy, 15(2), 426. https://doi.org/10.3390/agronomy15020426</w:t>
      </w:r>
    </w:p>
    <w:p w14:paraId="44E6B1B2" w14:textId="77777777" w:rsidR="00BB18A2" w:rsidRDefault="00000000">
      <w:pPr>
        <w:spacing w:line="360" w:lineRule="auto" w:after="120"/>
        <w:jc w:val="both"/>
      </w:pPr>
      <w:r>
        <w:rPr>
          <w:rFonts w:ascii="Times New Roman" w:hAnsi="Times New Roman" w:eastAsia="Times New Roman" w:cs="Times New Roman"/>
          <w:sz w:val="24"/>
        </w:rPr>
        <w:t>Open-Meteo. (2026). Historical Weather API. https://open-meteo.com/en/docs/historical-weather-api</w:t>
      </w:r>
    </w:p>
    <w:p w14:paraId="613BE1F6" w14:textId="77777777" w:rsidR="00BB18A2" w:rsidRDefault="00000000">
      <w:pPr>
        <w:spacing w:line="360" w:lineRule="auto" w:after="120"/>
        <w:jc w:val="both"/>
      </w:pPr>
      <w:r>
        <w:rPr>
          <w:rFonts w:ascii="Times New Roman" w:hAnsi="Times New Roman" w:eastAsia="Times New Roman" w:cs="Times New Roman"/>
          <w:sz w:val="24"/>
        </w:rPr>
        <w:t>Open-Meteo. (2026). Licence and data sources. https://open-meteo.com/en/licence</w:t>
      </w:r>
    </w:p>
    <w:p w14:paraId="51589493" w14:textId="77777777" w:rsidR="00BB18A2" w:rsidRDefault="00000000">
      <w:pPr>
        <w:spacing w:line="360" w:lineRule="auto" w:after="120"/>
        <w:jc w:val="both"/>
      </w:pPr>
      <w:r>
        <w:rPr>
          <w:rFonts w:ascii="Times New Roman" w:hAnsi="Times New Roman" w:eastAsia="Times New Roman" w:cs="Times New Roman"/>
          <w:sz w:val="24"/>
        </w:rPr>
        <w:t>Pinto, A. F., Olmstead, D., Calixto, A. A., &amp; Gomez, M. I. (2025). Network for Environment and Weather Applications: An overview of the digital pest management decision support tool. Applied Economics Teaching Resources. https://www.aetrjournal.org/UserFiles/file/AETR_2025_0218%20Final.pdf</w:t>
      </w:r>
    </w:p>
    <w:p w14:paraId="4E48AF0E" w14:textId="77777777" w:rsidR="00BB18A2" w:rsidRDefault="00000000">
      <w:pPr>
        <w:spacing w:line="360" w:lineRule="auto" w:after="120"/>
        <w:jc w:val="both"/>
      </w:pPr>
      <w:r>
        <w:rPr>
          <w:rFonts w:ascii="Times New Roman" w:hAnsi="Times New Roman" w:eastAsia="Times New Roman" w:cs="Times New Roman"/>
          <w:sz w:val="24"/>
        </w:rPr>
        <w:t>Ragazou, K., Passas, I., Garefalakis, A., &amp; Zopounidis, C. (2023). Business intelligence model empowering SMEs to make better decisions and enhance their competitive advantage. Discover Analytics, 1, 2. https://doi.org/10.1007/s44257-022-00002-3</w:t>
      </w:r>
    </w:p>
    <w:p w14:paraId="55709C41" w14:textId="77777777" w:rsidR="00BB18A2" w:rsidRDefault="00000000">
      <w:pPr>
        <w:spacing w:line="360" w:lineRule="auto" w:after="120"/>
        <w:jc w:val="both"/>
      </w:pPr>
      <w:r>
        <w:rPr>
          <w:rFonts w:ascii="Times New Roman" w:hAnsi="Times New Roman" w:eastAsia="Times New Roman" w:cs="Times New Roman"/>
          <w:sz w:val="24"/>
        </w:rPr>
        <w:t>Richardson, J. L., McCoy, E. P., Parlavecchio, N., et al. (2025). Increasing rat numbers in cities are linked to climate warming, urbanization, and human population. Science Advances, 11(5), eads6782. https://doi.org/10.1126/sciadv.ads6782</w:t>
      </w:r>
    </w:p>
    <w:p w14:paraId="5C27403B" w14:textId="77777777" w:rsidR="00BB18A2" w:rsidRDefault="00000000">
      <w:pPr>
        <w:spacing w:line="360" w:lineRule="auto" w:after="120"/>
        <w:jc w:val="both"/>
      </w:pPr>
      <w:r>
        <w:rPr>
          <w:rFonts w:ascii="Times New Roman" w:hAnsi="Times New Roman" w:eastAsia="Times New Roman" w:cs="Times New Roman"/>
          <w:sz w:val="24"/>
        </w:rPr>
        <w:lastRenderedPageBreak/>
        <w:t>Schulze, A., Brand, F., Geppert, J., &amp; Bol, G.-F. (2023). Digital dashboards visualizing public health data: A systematic review. Frontiers in Public Health, 11, 999958. https://doi.org/10.3389/fpubh.2023.999958</w:t>
      </w:r>
    </w:p>
    <w:p w14:paraId="68D7F05F" w14:textId="77777777" w:rsidR="00BB18A2" w:rsidRDefault="00000000">
      <w:pPr>
        <w:spacing w:line="360" w:lineRule="auto" w:after="120"/>
        <w:jc w:val="both"/>
      </w:pPr>
      <w:r>
        <w:rPr>
          <w:rFonts w:ascii="Times New Roman" w:hAnsi="Times New Roman" w:eastAsia="Times New Roman" w:cs="Times New Roman"/>
          <w:sz w:val="24"/>
        </w:rPr>
        <w:t>Sumido, E. C., Feliscuzo, L. S., &amp; Aliac, C. J. G. (2023). Pest classification and prediction: Analyzing the impact of weather to pest occurrence through machine learning. Journal of Engineering Science and Technology, 18, 124-138.</w:t>
      </w:r>
    </w:p>
    <w:p w14:paraId="3F2D5DA7" w14:textId="77777777" w:rsidR="00BB18A2" w:rsidRDefault="00000000">
      <w:pPr>
        <w:spacing w:line="360" w:lineRule="auto" w:after="120"/>
        <w:jc w:val="both"/>
      </w:pPr>
      <w:r>
        <w:rPr>
          <w:rFonts w:ascii="Times New Roman" w:hAnsi="Times New Roman" w:eastAsia="Times New Roman" w:cs="Times New Roman"/>
          <w:sz w:val="24"/>
        </w:rPr>
        <w:t>Tonle, F. B. N., Niassy, S., Ndadji, M. M. Z., Tchendji, M. T., Nzeukou, A., Mudereri, B. T., Senagi, K., &amp; Tonnang, H. E. Z. (2024). A road map for developing novel decision support system (DSS) for disseminating integrated pest management (IPM) technologies. Computers and Electronics in Agriculture, 217, 108526. https://doi.org/10.1016/j.compag.2023.108526</w:t>
      </w:r>
    </w:p>
    <w:p w14:paraId="4A6EB426" w14:textId="77777777" w:rsidR="00BB18A2" w:rsidRDefault="00000000">
      <w:pPr>
        <w:spacing w:line="360" w:lineRule="auto" w:after="120"/>
        <w:jc w:val="both"/>
      </w:pPr>
      <w:r>
        <w:rPr>
          <w:rFonts w:ascii="Times New Roman" w:hAnsi="Times New Roman" w:eastAsia="Times New Roman" w:cs="Times New Roman"/>
          <w:sz w:val="24"/>
        </w:rPr>
        <w:t>Typology for decision support systems in integrated pest management and its implementation as a web application. Agronomy, 14(3), 485. https://doi.org/10.3390/agronomy14030485</w:t>
      </w:r>
    </w:p>
    <w:p w14:paraId="1401DF8A" w14:textId="77777777" w:rsidR="00BB18A2" w:rsidRDefault="00000000">
      <w:pPr>
        <w:spacing w:line="360" w:lineRule="auto" w:after="120"/>
        <w:jc w:val="both"/>
      </w:pPr>
      <w:r>
        <w:rPr>
          <w:rFonts w:ascii="Times New Roman" w:hAnsi="Times New Roman" w:eastAsia="Times New Roman" w:cs="Times New Roman"/>
          <w:sz w:val="24"/>
        </w:rPr>
        <w:t>Yao, J., Zhou, Z., Liu, H., Yao, S., &amp; Wu, J. (2026). Analyzing the influence of environment, demographic and socio-economic factors on Aedes albopictus (Diptera: Culicidae) mosquito density at the micro-level using XGBoost and SHAP. Parasites &amp; Vectors, 19, 71. https://doi.org/10.1186/s13071-025-07220-0</w:t>
      </w:r>
    </w:p>
    <w:p w14:paraId="26E95A6C" w14:textId="77777777" w:rsidR="00BB18A2" w:rsidRDefault="00000000">
      <w:pPr>
        <w:spacing w:line="360" w:lineRule="auto" w:after="120"/>
        <w:jc w:val="both"/>
      </w:pPr>
      <w:r>
        <w:rPr>
          <w:rFonts w:ascii="Times New Roman" w:hAnsi="Times New Roman" w:eastAsia="Times New Roman" w:cs="Times New Roman"/>
          <w:sz w:val="24"/>
        </w:rPr>
        <w:t>Zippenfenig, P. (2023). Open-Meteo.com Weather API [Computer software]. Zenodo. https://doi.org/10.5281/zenodo.7970649</w:t>
      </w:r>
    </w:p>
    <w:p w14:paraId="613E97EE"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Appendix A: Proposed Dashboard Modules</w:t>
      </w:r>
    </w:p>
    <w:p w14:paraId="3957763B"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Executive Summary</w:t>
      </w:r>
    </w:p>
    <w:p w14:paraId="6B5F7712"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 xml:space="preserve">Overview of customers, services, revenue, warranty claims, refunds, recurrence, weather-associated risk, hotspots, and </w:t>
      </w:r>
      <w:proofErr w:type="gramStart"/>
      <w:r w:rsidRPr="00335C63">
        <w:rPr>
          <w:rFonts w:ascii="Times New Roman" w:hAnsi="Times New Roman" w:cs="Times New Roman" w:eastAsia="Times New Roman"/>
          <w:sz w:val="24"/>
          <w:szCs w:val="24"/>
        </w:rPr>
        <w:t>upsell</w:t>
      </w:r>
      <w:proofErr w:type="gramEnd"/>
      <w:r w:rsidRPr="00335C63">
        <w:rPr>
          <w:rFonts w:ascii="Times New Roman" w:hAnsi="Times New Roman" w:cs="Times New Roman" w:eastAsia="Times New Roman"/>
          <w:sz w:val="24"/>
          <w:szCs w:val="24"/>
        </w:rPr>
        <w:t xml:space="preserve"> performance.</w:t>
      </w:r>
    </w:p>
    <w:p w14:paraId="4867CBE0"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Marketing and Funnel</w:t>
      </w:r>
    </w:p>
    <w:p w14:paraId="51051E3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Ad source quality, prospect conversion, follow-up depth, PIC performance, payment-link conversion, and lead-to-close time.</w:t>
      </w:r>
    </w:p>
    <w:p w14:paraId="4C656658"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Area and Weather Risk</w:t>
      </w:r>
    </w:p>
    <w:p w14:paraId="69141E8D"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Area-level risk indicators using rainfall windows, flood/warning flags, pest volume, repeat rate, and complaint/refund signals.</w:t>
      </w:r>
    </w:p>
    <w:p w14:paraId="43E4E63B"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Treatment Difficulty</w:t>
      </w:r>
    </w:p>
    <w:p w14:paraId="3F614B90"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Ranking of area, pest type, and team based on repeat problems, warranty claims, refunds, complimentary services, and extra sessions.</w:t>
      </w:r>
    </w:p>
    <w:p w14:paraId="129C9CE5"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Warranty and Repeat Analysis</w:t>
      </w:r>
    </w:p>
    <w:p w14:paraId="1D3BBEE8"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Warranty factor categories by period, area, pest type, team, and technician with a review queue.</w:t>
      </w:r>
    </w:p>
    <w:p w14:paraId="18178939"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lastRenderedPageBreak/>
        <w:t>Recurrence and Hotspots</w:t>
      </w:r>
    </w:p>
    <w:p w14:paraId="59F8195C"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Days-to-recurrence buckets and DBSCAN/KDE hotspot map for emerging repeat-problem clusters.</w:t>
      </w:r>
    </w:p>
    <w:p w14:paraId="1DF1CD78"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Upsell Intelligence</w:t>
      </w:r>
    </w:p>
    <w:p w14:paraId="60642F69"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Package effectiveness, package-fit matrix, upsell window performance, and future response tracking template.</w:t>
      </w:r>
    </w:p>
    <w:p w14:paraId="7E7BBF89"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Scheduling Capacity</w:t>
      </w:r>
    </w:p>
    <w:p w14:paraId="6C6FD64A"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Calendar slot usage, new/warranty/extra split, peak booking times, area density, and session gap analysis.</w:t>
      </w:r>
    </w:p>
    <w:p w14:paraId="197CC7E7"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Refund Root Cause</w:t>
      </w:r>
    </w:p>
    <w:p w14:paraId="630D9580"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Standardised refund categories and financial impact by area, pest, source, and technician review indicator.</w:t>
      </w:r>
    </w:p>
    <w:p w14:paraId="1B2D2C44"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Data Quality and Refresh</w:t>
      </w:r>
    </w:p>
    <w:p w14:paraId="2F07DB3C"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Missing-value summary, duplicate count, invalid-date records, unmatched customer records, coordinate match confidence, weather enrichment coverage, calendar match confidence, last refresh time, and failed refresh status.</w:t>
      </w:r>
    </w:p>
    <w:p w14:paraId="5B725EEB" w14:textId="77777777" w:rsidR="0084730D" w:rsidRPr="00335C63" w:rsidRDefault="00357319" w:rsidP="000F4170">
      <w:pPr>
        <w:pStyle w:val="Heading3"/>
        <w:spacing w:line="360" w:lineRule="auto" w:after="120" w:before="160"/>
        <w:jc w:val="left"/>
        <w:rPr>
          <w:rFonts w:ascii="Times New Roman" w:hAnsi="Times New Roman" w:cs="Times New Roman"/>
          <w:szCs w:val="24"/>
        </w:rPr>
      </w:pPr>
      <w:r w:rsidRPr="00335C63">
        <w:rPr>
          <w:rFonts w:ascii="Times New Roman" w:hAnsi="Times New Roman" w:cs="Times New Roman" w:eastAsia="Times New Roman"/>
          <w:b/>
          <w:color w:val="000000"/>
          <w:sz w:val="24"/>
          <w:szCs w:val="24"/>
        </w:rPr>
        <w:t>Recommendation Log</w:t>
      </w:r>
    </w:p>
    <w:p w14:paraId="4DB03A35" w14:textId="77777777" w:rsidR="0084730D" w:rsidRPr="00335C63" w:rsidRDefault="00357319" w:rsidP="000F4170">
      <w:pPr>
        <w:spacing w:line="360" w:lineRule="auto" w:after="120"/>
        <w:jc w:val="both"/>
        <w:rPr>
          <w:rFonts w:ascii="Times New Roman" w:hAnsi="Times New Roman" w:cs="Times New Roman"/>
          <w:sz w:val="24"/>
          <w:szCs w:val="24"/>
        </w:rPr>
      </w:pPr>
      <w:r w:rsidRPr="00335C63">
        <w:rPr>
          <w:rFonts w:ascii="Times New Roman" w:hAnsi="Times New Roman" w:cs="Times New Roman" w:eastAsia="Times New Roman"/>
          <w:sz w:val="24"/>
          <w:szCs w:val="24"/>
        </w:rPr>
        <w:t>Generated prescriptive suggestions, supporting reasons, confidence or review labels, management action taken, and later outcome tracking for continuous improvement.</w:t>
      </w:r>
    </w:p>
    <w:p w14:paraId="7CB5DF1D" w14:textId="77777777" w:rsidR="0084730D" w:rsidRPr="00335C63" w:rsidRDefault="00357319" w:rsidP="000F4170">
      <w:pPr>
        <w:pStyle w:val="Heading1"/>
        <w:spacing w:line="360" w:lineRule="auto" w:after="120" w:before="240"/>
        <w:jc w:val="left"/>
        <w:rPr>
          <w:rFonts w:ascii="Times New Roman" w:hAnsi="Times New Roman" w:cs="Times New Roman"/>
          <w:sz w:val="24"/>
          <w:szCs w:val="24"/>
        </w:rPr>
      </w:pPr>
      <w:r w:rsidRPr="00335C63">
        <w:rPr>
          <w:rFonts w:ascii="Times New Roman" w:hAnsi="Times New Roman" w:cs="Times New Roman" w:eastAsia="Times New Roman"/>
          <w:b/>
          <w:color w:val="000000"/>
          <w:sz w:val="24"/>
          <w:szCs w:val="24"/>
        </w:rPr>
        <w:t>Appendix B: Proposed Data Warehouse Tables</w:t>
      </w:r>
    </w:p>
    <w:tbl>
      <w:tblPr>
        <w:tblStyle w:val="TableGrid"/>
        <w:tblW w:w="5000" w:type="pct"/>
        <w:jc w:val="center"/>
        <w:tblLook w:val="04A0" w:firstRow="1" w:lastRow="0" w:firstColumn="1" w:lastColumn="0" w:noHBand="0" w:noVBand="1"/>
      </w:tblPr>
      <w:tblGrid>
        <w:gridCol w:w="3764"/>
        <w:gridCol w:w="1711"/>
        <w:gridCol w:w="3541"/>
      </w:tblGrid>
      <w:tr w:rsidR="0084730D" w:rsidRPr="00335C63" w14:paraId="2CFF9826" w14:textId="77777777" w:rsidTr="00997D20">
        <w:trPr>
          <w:cantSplit/>
          <w:tblHeader/>
          <w:jc w:val="center"/>
        </w:trPr>
        <w:tc>
          <w:tcPr>
            <w:tcW w:w="2087" w:type="pct"/>
            <w:shd w:val="clear" w:color="auto" w:fill="E8F1FA"/>
            <w:tcMar>
              <w:top w:w="90" w:type="dxa"/>
              <w:left w:w="90" w:type="dxa"/>
              <w:bottom w:w="90" w:type="dxa"/>
              <w:right w:w="90" w:type="dxa"/>
            </w:tcMar>
            <w:vAlign w:val="center"/>
          </w:tcPr>
          <w:p w14:paraId="683D4FE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Table/View</w:t>
            </w:r>
          </w:p>
        </w:tc>
        <w:tc>
          <w:tcPr>
            <w:tcW w:w="949" w:type="pct"/>
            <w:shd w:val="clear" w:color="auto" w:fill="E8F1FA"/>
            <w:tcMar>
              <w:top w:w="90" w:type="dxa"/>
              <w:left w:w="90" w:type="dxa"/>
              <w:bottom w:w="90" w:type="dxa"/>
              <w:right w:w="90" w:type="dxa"/>
            </w:tcMar>
            <w:vAlign w:val="center"/>
          </w:tcPr>
          <w:p w14:paraId="132F07D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Type</w:t>
            </w:r>
          </w:p>
        </w:tc>
        <w:tc>
          <w:tcPr>
            <w:tcW w:w="1964" w:type="pct"/>
            <w:shd w:val="clear" w:color="auto" w:fill="E8F1FA"/>
            <w:tcMar>
              <w:top w:w="90" w:type="dxa"/>
              <w:left w:w="90" w:type="dxa"/>
              <w:bottom w:w="90" w:type="dxa"/>
              <w:right w:w="90" w:type="dxa"/>
            </w:tcMar>
            <w:vAlign w:val="center"/>
          </w:tcPr>
          <w:p w14:paraId="0E4CA26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b/>
                <w:color w:val="142332"/>
                <w:sz w:val="21"/>
                <w:szCs w:val="24"/>
              </w:rPr>
              <w:t>Purpose</w:t>
            </w:r>
          </w:p>
        </w:tc>
      </w:tr>
      <w:tr w:rsidR="0084730D" w:rsidRPr="00335C63" w14:paraId="21300D37" w14:textId="77777777" w:rsidTr="00997D20">
        <w:trPr>
          <w:cantSplit/>
          <w:jc w:val="center"/>
        </w:trPr>
        <w:tc>
          <w:tcPr>
            <w:tcW w:w="2087" w:type="pct"/>
            <w:tcMar>
              <w:top w:w="90" w:type="dxa"/>
              <w:left w:w="90" w:type="dxa"/>
              <w:bottom w:w="90" w:type="dxa"/>
              <w:right w:w="90" w:type="dxa"/>
            </w:tcMar>
            <w:vAlign w:val="center"/>
          </w:tcPr>
          <w:p w14:paraId="647CA2E6" w14:textId="77777777" w:rsidR="00BB18A2" w:rsidRDefault="00000000">
            <w:pPr>
              <w:spacing w:line="276" w:lineRule="auto" w:after="60"/>
              <w:jc w:val="left"/>
            </w:pPr>
            <w:r>
              <w:rPr>
                <w:rFonts w:ascii="Times New Roman" w:hAnsi="Times New Roman" w:eastAsia="Times New Roman" w:cs="Times New Roman"/>
                <w:sz w:val="21"/>
              </w:rPr>
              <w:t>bronze_* tables</w:t>
            </w:r>
          </w:p>
        </w:tc>
        <w:tc>
          <w:tcPr>
            <w:tcW w:w="949" w:type="pct"/>
            <w:tcMar>
              <w:top w:w="90" w:type="dxa"/>
              <w:left w:w="90" w:type="dxa"/>
              <w:bottom w:w="90" w:type="dxa"/>
              <w:right w:w="90" w:type="dxa"/>
            </w:tcMar>
            <w:vAlign w:val="center"/>
          </w:tcPr>
          <w:p w14:paraId="1C823B22" w14:textId="77777777" w:rsidR="00BB18A2" w:rsidRDefault="00000000">
            <w:pPr>
              <w:spacing w:line="276" w:lineRule="auto" w:after="60"/>
              <w:jc w:val="left"/>
            </w:pPr>
            <w:r>
              <w:rPr>
                <w:rFonts w:ascii="Times New Roman" w:hAnsi="Times New Roman" w:eastAsia="Times New Roman" w:cs="Times New Roman"/>
                <w:sz w:val="21"/>
              </w:rPr>
              <w:t>Bronze raw</w:t>
            </w:r>
          </w:p>
        </w:tc>
        <w:tc>
          <w:tcPr>
            <w:tcW w:w="1964" w:type="pct"/>
            <w:tcMar>
              <w:top w:w="90" w:type="dxa"/>
              <w:left w:w="90" w:type="dxa"/>
              <w:bottom w:w="90" w:type="dxa"/>
              <w:right w:w="90" w:type="dxa"/>
            </w:tcMar>
            <w:vAlign w:val="center"/>
          </w:tcPr>
          <w:p w14:paraId="4B233834" w14:textId="77777777" w:rsidR="00BB18A2" w:rsidRDefault="00000000">
            <w:pPr>
              <w:spacing w:line="276" w:lineRule="auto" w:after="60"/>
              <w:jc w:val="left"/>
            </w:pPr>
            <w:r>
              <w:rPr>
                <w:rFonts w:ascii="Times New Roman" w:hAnsi="Times New Roman" w:eastAsia="Times New Roman" w:cs="Times New Roman"/>
                <w:sz w:val="21"/>
              </w:rPr>
              <w:t>Preserve imported Google Sheets/CSV/calendar/weather data with source metadata, loaded_at, source_name, and row hash</w:t>
            </w:r>
          </w:p>
        </w:tc>
      </w:tr>
      <w:tr w:rsidR="0084730D" w:rsidRPr="00335C63" w14:paraId="3649F58C" w14:textId="77777777" w:rsidTr="00997D20">
        <w:trPr>
          <w:cantSplit/>
          <w:jc w:val="center"/>
        </w:trPr>
        <w:tc>
          <w:tcPr>
            <w:tcW w:w="2087" w:type="pct"/>
            <w:tcMar>
              <w:top w:w="90" w:type="dxa"/>
              <w:left w:w="90" w:type="dxa"/>
              <w:bottom w:w="90" w:type="dxa"/>
              <w:right w:w="90" w:type="dxa"/>
            </w:tcMar>
            <w:vAlign w:val="center"/>
          </w:tcPr>
          <w:p w14:paraId="4B77C72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dim_customer</w:t>
            </w:r>
          </w:p>
        </w:tc>
        <w:tc>
          <w:tcPr>
            <w:tcW w:w="949" w:type="pct"/>
            <w:tcMar>
              <w:top w:w="90" w:type="dxa"/>
              <w:left w:w="90" w:type="dxa"/>
              <w:bottom w:w="90" w:type="dxa"/>
              <w:right w:w="90" w:type="dxa"/>
            </w:tcMar>
            <w:vAlign w:val="center"/>
          </w:tcPr>
          <w:p w14:paraId="4D200AA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Dimension</w:t>
            </w:r>
          </w:p>
        </w:tc>
        <w:tc>
          <w:tcPr>
            <w:tcW w:w="1964" w:type="pct"/>
            <w:tcMar>
              <w:top w:w="90" w:type="dxa"/>
              <w:left w:w="90" w:type="dxa"/>
              <w:bottom w:w="90" w:type="dxa"/>
              <w:right w:w="90" w:type="dxa"/>
            </w:tcMar>
            <w:vAlign w:val="center"/>
          </w:tcPr>
          <w:p w14:paraId="61452FD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Customer profile with anonymised reporting support</w:t>
            </w:r>
          </w:p>
        </w:tc>
      </w:tr>
      <w:tr w:rsidR="0084730D" w:rsidRPr="00335C63" w14:paraId="3C4EF98D" w14:textId="77777777" w:rsidTr="00997D20">
        <w:trPr>
          <w:cantSplit/>
          <w:jc w:val="center"/>
        </w:trPr>
        <w:tc>
          <w:tcPr>
            <w:tcW w:w="2087" w:type="pct"/>
            <w:tcMar>
              <w:top w:w="90" w:type="dxa"/>
              <w:left w:w="90" w:type="dxa"/>
              <w:bottom w:w="90" w:type="dxa"/>
              <w:right w:w="90" w:type="dxa"/>
            </w:tcMar>
            <w:vAlign w:val="center"/>
          </w:tcPr>
          <w:p w14:paraId="4E5DC18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lastRenderedPageBreak/>
              <w:t>dim_area</w:t>
            </w:r>
          </w:p>
        </w:tc>
        <w:tc>
          <w:tcPr>
            <w:tcW w:w="949" w:type="pct"/>
            <w:tcMar>
              <w:top w:w="90" w:type="dxa"/>
              <w:left w:w="90" w:type="dxa"/>
              <w:bottom w:w="90" w:type="dxa"/>
              <w:right w:w="90" w:type="dxa"/>
            </w:tcMar>
            <w:vAlign w:val="center"/>
          </w:tcPr>
          <w:p w14:paraId="7DD6C87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Dimension</w:t>
            </w:r>
          </w:p>
        </w:tc>
        <w:tc>
          <w:tcPr>
            <w:tcW w:w="1964" w:type="pct"/>
            <w:tcMar>
              <w:top w:w="90" w:type="dxa"/>
              <w:left w:w="90" w:type="dxa"/>
              <w:bottom w:w="90" w:type="dxa"/>
              <w:right w:w="90" w:type="dxa"/>
            </w:tcMar>
            <w:vAlign w:val="center"/>
          </w:tcPr>
          <w:p w14:paraId="33D638D4"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Area/postcode/city/state and centroid coordinates</w:t>
            </w:r>
          </w:p>
        </w:tc>
      </w:tr>
      <w:tr w:rsidR="0084730D" w:rsidRPr="00335C63" w14:paraId="619C3DC6" w14:textId="77777777" w:rsidTr="00997D20">
        <w:trPr>
          <w:cantSplit/>
          <w:jc w:val="center"/>
        </w:trPr>
        <w:tc>
          <w:tcPr>
            <w:tcW w:w="2087" w:type="pct"/>
            <w:tcMar>
              <w:top w:w="90" w:type="dxa"/>
              <w:left w:w="90" w:type="dxa"/>
              <w:bottom w:w="90" w:type="dxa"/>
              <w:right w:w="90" w:type="dxa"/>
            </w:tcMar>
            <w:vAlign w:val="center"/>
          </w:tcPr>
          <w:p w14:paraId="3CC87C93"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dim_pest</w:t>
            </w:r>
          </w:p>
        </w:tc>
        <w:tc>
          <w:tcPr>
            <w:tcW w:w="949" w:type="pct"/>
            <w:tcMar>
              <w:top w:w="90" w:type="dxa"/>
              <w:left w:w="90" w:type="dxa"/>
              <w:bottom w:w="90" w:type="dxa"/>
              <w:right w:w="90" w:type="dxa"/>
            </w:tcMar>
            <w:vAlign w:val="center"/>
          </w:tcPr>
          <w:p w14:paraId="725FF1E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Dimension</w:t>
            </w:r>
          </w:p>
        </w:tc>
        <w:tc>
          <w:tcPr>
            <w:tcW w:w="1964" w:type="pct"/>
            <w:tcMar>
              <w:top w:w="90" w:type="dxa"/>
              <w:left w:w="90" w:type="dxa"/>
              <w:bottom w:w="90" w:type="dxa"/>
              <w:right w:w="90" w:type="dxa"/>
            </w:tcMar>
            <w:vAlign w:val="center"/>
          </w:tcPr>
          <w:p w14:paraId="65CF6D2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Standardised pest type labels</w:t>
            </w:r>
          </w:p>
        </w:tc>
      </w:tr>
      <w:tr w:rsidR="0084730D" w:rsidRPr="00335C63" w14:paraId="40301CE0" w14:textId="77777777" w:rsidTr="00997D20">
        <w:trPr>
          <w:cantSplit/>
          <w:jc w:val="center"/>
        </w:trPr>
        <w:tc>
          <w:tcPr>
            <w:tcW w:w="2087" w:type="pct"/>
            <w:tcMar>
              <w:top w:w="90" w:type="dxa"/>
              <w:left w:w="90" w:type="dxa"/>
              <w:bottom w:w="90" w:type="dxa"/>
              <w:right w:w="90" w:type="dxa"/>
            </w:tcMar>
            <w:vAlign w:val="center"/>
          </w:tcPr>
          <w:p w14:paraId="41FABA6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fact_service</w:t>
            </w:r>
          </w:p>
        </w:tc>
        <w:tc>
          <w:tcPr>
            <w:tcW w:w="949" w:type="pct"/>
            <w:tcMar>
              <w:top w:w="90" w:type="dxa"/>
              <w:left w:w="90" w:type="dxa"/>
              <w:bottom w:w="90" w:type="dxa"/>
              <w:right w:w="90" w:type="dxa"/>
            </w:tcMar>
            <w:vAlign w:val="center"/>
          </w:tcPr>
          <w:p w14:paraId="4ACD193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394C539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One row per service/session with date, area, pest, package, technician/team</w:t>
            </w:r>
          </w:p>
        </w:tc>
      </w:tr>
      <w:tr w:rsidR="0084730D" w:rsidRPr="00335C63" w14:paraId="016D01A7" w14:textId="77777777" w:rsidTr="00997D20">
        <w:trPr>
          <w:cantSplit/>
          <w:jc w:val="center"/>
        </w:trPr>
        <w:tc>
          <w:tcPr>
            <w:tcW w:w="2087" w:type="pct"/>
            <w:tcMar>
              <w:top w:w="90" w:type="dxa"/>
              <w:left w:w="90" w:type="dxa"/>
              <w:bottom w:w="90" w:type="dxa"/>
              <w:right w:w="90" w:type="dxa"/>
            </w:tcMar>
            <w:vAlign w:val="center"/>
          </w:tcPr>
          <w:p w14:paraId="10D0A6BA"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fact_warranty</w:t>
            </w:r>
          </w:p>
        </w:tc>
        <w:tc>
          <w:tcPr>
            <w:tcW w:w="949" w:type="pct"/>
            <w:tcMar>
              <w:top w:w="90" w:type="dxa"/>
              <w:left w:w="90" w:type="dxa"/>
              <w:bottom w:w="90" w:type="dxa"/>
              <w:right w:w="90" w:type="dxa"/>
            </w:tcMar>
            <w:vAlign w:val="center"/>
          </w:tcPr>
          <w:p w14:paraId="2F98EFE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1937816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Warranty claims, suspected factors, review priority, repeat/unresolved flags</w:t>
            </w:r>
          </w:p>
        </w:tc>
      </w:tr>
      <w:tr w:rsidR="0084730D" w:rsidRPr="00335C63" w14:paraId="379B2D37" w14:textId="77777777" w:rsidTr="00997D20">
        <w:trPr>
          <w:cantSplit/>
          <w:jc w:val="center"/>
        </w:trPr>
        <w:tc>
          <w:tcPr>
            <w:tcW w:w="2087" w:type="pct"/>
            <w:tcMar>
              <w:top w:w="90" w:type="dxa"/>
              <w:left w:w="90" w:type="dxa"/>
              <w:bottom w:w="90" w:type="dxa"/>
              <w:right w:w="90" w:type="dxa"/>
            </w:tcMar>
            <w:vAlign w:val="center"/>
          </w:tcPr>
          <w:p w14:paraId="4DE508F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fact_refund</w:t>
            </w:r>
          </w:p>
        </w:tc>
        <w:tc>
          <w:tcPr>
            <w:tcW w:w="949" w:type="pct"/>
            <w:tcMar>
              <w:top w:w="90" w:type="dxa"/>
              <w:left w:w="90" w:type="dxa"/>
              <w:bottom w:w="90" w:type="dxa"/>
              <w:right w:w="90" w:type="dxa"/>
            </w:tcMar>
            <w:vAlign w:val="center"/>
          </w:tcPr>
          <w:p w14:paraId="6696708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3468E80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Refund amounts, reasons, categories, and statuses</w:t>
            </w:r>
          </w:p>
        </w:tc>
      </w:tr>
      <w:tr w:rsidR="0084730D" w:rsidRPr="00335C63" w14:paraId="49EAD0A9" w14:textId="77777777" w:rsidTr="00997D20">
        <w:trPr>
          <w:cantSplit/>
          <w:jc w:val="center"/>
        </w:trPr>
        <w:tc>
          <w:tcPr>
            <w:tcW w:w="2087" w:type="pct"/>
            <w:tcMar>
              <w:top w:w="90" w:type="dxa"/>
              <w:left w:w="90" w:type="dxa"/>
              <w:bottom w:w="90" w:type="dxa"/>
              <w:right w:w="90" w:type="dxa"/>
            </w:tcMar>
            <w:vAlign w:val="center"/>
          </w:tcPr>
          <w:p w14:paraId="57225F6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fact_payment</w:t>
            </w:r>
          </w:p>
        </w:tc>
        <w:tc>
          <w:tcPr>
            <w:tcW w:w="949" w:type="pct"/>
            <w:tcMar>
              <w:top w:w="90" w:type="dxa"/>
              <w:left w:w="90" w:type="dxa"/>
              <w:bottom w:w="90" w:type="dxa"/>
              <w:right w:w="90" w:type="dxa"/>
            </w:tcMar>
            <w:vAlign w:val="center"/>
          </w:tcPr>
          <w:p w14:paraId="5CB417F7"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0408352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Payment received and payment-link conversion records</w:t>
            </w:r>
          </w:p>
        </w:tc>
      </w:tr>
      <w:tr w:rsidR="0084730D" w:rsidRPr="00335C63" w14:paraId="255F8679" w14:textId="77777777" w:rsidTr="00997D20">
        <w:trPr>
          <w:cantSplit/>
          <w:jc w:val="center"/>
        </w:trPr>
        <w:tc>
          <w:tcPr>
            <w:tcW w:w="2087" w:type="pct"/>
            <w:tcMar>
              <w:top w:w="90" w:type="dxa"/>
              <w:left w:w="90" w:type="dxa"/>
              <w:bottom w:w="90" w:type="dxa"/>
              <w:right w:w="90" w:type="dxa"/>
            </w:tcMar>
            <w:vAlign w:val="center"/>
          </w:tcPr>
          <w:p w14:paraId="5053BA8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fact_upsell</w:t>
            </w:r>
          </w:p>
        </w:tc>
        <w:tc>
          <w:tcPr>
            <w:tcW w:w="949" w:type="pct"/>
            <w:tcMar>
              <w:top w:w="90" w:type="dxa"/>
              <w:left w:w="90" w:type="dxa"/>
              <w:bottom w:w="90" w:type="dxa"/>
              <w:right w:w="90" w:type="dxa"/>
            </w:tcMar>
            <w:vAlign w:val="center"/>
          </w:tcPr>
          <w:p w14:paraId="3727FD2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142688E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Upsell package, offer/window date, accepted/purchased indicators</w:t>
            </w:r>
          </w:p>
        </w:tc>
      </w:tr>
      <w:tr w:rsidR="0084730D" w:rsidRPr="00335C63" w14:paraId="73FFE618" w14:textId="77777777" w:rsidTr="00997D20">
        <w:trPr>
          <w:cantSplit/>
          <w:jc w:val="center"/>
        </w:trPr>
        <w:tc>
          <w:tcPr>
            <w:tcW w:w="2087" w:type="pct"/>
            <w:tcMar>
              <w:top w:w="90" w:type="dxa"/>
              <w:left w:w="90" w:type="dxa"/>
              <w:bottom w:w="90" w:type="dxa"/>
              <w:right w:w="90" w:type="dxa"/>
            </w:tcMar>
            <w:vAlign w:val="center"/>
          </w:tcPr>
          <w:p w14:paraId="5CB6A76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fact_calendar_event</w:t>
            </w:r>
          </w:p>
        </w:tc>
        <w:tc>
          <w:tcPr>
            <w:tcW w:w="949" w:type="pct"/>
            <w:tcMar>
              <w:top w:w="90" w:type="dxa"/>
              <w:left w:w="90" w:type="dxa"/>
              <w:bottom w:w="90" w:type="dxa"/>
              <w:right w:w="90" w:type="dxa"/>
            </w:tcMar>
            <w:vAlign w:val="center"/>
          </w:tcPr>
          <w:p w14:paraId="6640CCE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5F023D8B"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Scheduled slots, duration, parsed session type, area/team match</w:t>
            </w:r>
          </w:p>
        </w:tc>
      </w:tr>
      <w:tr w:rsidR="0084730D" w:rsidRPr="00335C63" w14:paraId="71A2DBA4" w14:textId="77777777" w:rsidTr="00997D20">
        <w:trPr>
          <w:cantSplit/>
          <w:jc w:val="center"/>
        </w:trPr>
        <w:tc>
          <w:tcPr>
            <w:tcW w:w="2087" w:type="pct"/>
            <w:tcMar>
              <w:top w:w="90" w:type="dxa"/>
              <w:left w:w="90" w:type="dxa"/>
              <w:bottom w:w="90" w:type="dxa"/>
              <w:right w:w="90" w:type="dxa"/>
            </w:tcMar>
            <w:vAlign w:val="center"/>
          </w:tcPr>
          <w:p w14:paraId="3B2B1670"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fact_recommendation_log</w:t>
            </w:r>
          </w:p>
        </w:tc>
        <w:tc>
          <w:tcPr>
            <w:tcW w:w="949" w:type="pct"/>
            <w:tcMar>
              <w:top w:w="90" w:type="dxa"/>
              <w:left w:w="90" w:type="dxa"/>
              <w:bottom w:w="90" w:type="dxa"/>
              <w:right w:w="90" w:type="dxa"/>
            </w:tcMar>
            <w:vAlign w:val="center"/>
          </w:tcPr>
          <w:p w14:paraId="7F0899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Fact</w:t>
            </w:r>
          </w:p>
        </w:tc>
        <w:tc>
          <w:tcPr>
            <w:tcW w:w="1964" w:type="pct"/>
            <w:tcMar>
              <w:top w:w="90" w:type="dxa"/>
              <w:left w:w="90" w:type="dxa"/>
              <w:bottom w:w="90" w:type="dxa"/>
              <w:right w:w="90" w:type="dxa"/>
            </w:tcMar>
            <w:vAlign w:val="center"/>
          </w:tcPr>
          <w:p w14:paraId="08063819"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Recommendation type, generated date, related customer/service/area, reason, review label, action taken, and outcome</w:t>
            </w:r>
          </w:p>
        </w:tc>
      </w:tr>
      <w:tr w:rsidR="0084730D" w:rsidRPr="00335C63" w14:paraId="2AE7DA5C" w14:textId="77777777" w:rsidTr="00997D20">
        <w:trPr>
          <w:cantSplit/>
          <w:jc w:val="center"/>
        </w:trPr>
        <w:tc>
          <w:tcPr>
            <w:tcW w:w="2087" w:type="pct"/>
            <w:tcMar>
              <w:top w:w="90" w:type="dxa"/>
              <w:left w:w="90" w:type="dxa"/>
              <w:bottom w:w="90" w:type="dxa"/>
              <w:right w:w="90" w:type="dxa"/>
            </w:tcMar>
            <w:vAlign w:val="center"/>
          </w:tcPr>
          <w:p w14:paraId="0FD10423" w14:textId="77777777" w:rsidR="00BB18A2" w:rsidRDefault="00000000">
            <w:pPr>
              <w:spacing w:line="276" w:lineRule="auto" w:after="60"/>
              <w:jc w:val="left"/>
            </w:pPr>
            <w:r>
              <w:rPr>
                <w:rFonts w:ascii="Times New Roman" w:hAnsi="Times New Roman" w:eastAsia="Times New Roman" w:cs="Times New Roman"/>
                <w:sz w:val="21"/>
              </w:rPr>
              <w:t>data_quality_log</w:t>
            </w:r>
          </w:p>
        </w:tc>
        <w:tc>
          <w:tcPr>
            <w:tcW w:w="949" w:type="pct"/>
            <w:tcMar>
              <w:top w:w="90" w:type="dxa"/>
              <w:left w:w="90" w:type="dxa"/>
              <w:bottom w:w="90" w:type="dxa"/>
              <w:right w:w="90" w:type="dxa"/>
            </w:tcMar>
            <w:vAlign w:val="center"/>
          </w:tcPr>
          <w:p w14:paraId="6098795F" w14:textId="77777777" w:rsidR="00BB18A2" w:rsidRDefault="00000000">
            <w:pPr>
              <w:spacing w:line="276" w:lineRule="auto" w:after="60"/>
              <w:jc w:val="left"/>
            </w:pPr>
            <w:r>
              <w:rPr>
                <w:rFonts w:ascii="Times New Roman" w:hAnsi="Times New Roman" w:eastAsia="Times New Roman" w:cs="Times New Roman"/>
                <w:sz w:val="21"/>
              </w:rPr>
              <w:t>Quality table</w:t>
            </w:r>
          </w:p>
        </w:tc>
        <w:tc>
          <w:tcPr>
            <w:tcW w:w="1964" w:type="pct"/>
            <w:tcMar>
              <w:top w:w="90" w:type="dxa"/>
              <w:left w:w="90" w:type="dxa"/>
              <w:bottom w:w="90" w:type="dxa"/>
              <w:right w:w="90" w:type="dxa"/>
            </w:tcMar>
            <w:vAlign w:val="center"/>
          </w:tcPr>
          <w:p w14:paraId="5475165D" w14:textId="77777777" w:rsidR="00BB18A2" w:rsidRDefault="00000000">
            <w:pPr>
              <w:spacing w:line="276" w:lineRule="auto" w:after="60"/>
              <w:jc w:val="left"/>
            </w:pPr>
            <w:r>
              <w:rPr>
                <w:rFonts w:ascii="Times New Roman" w:hAnsi="Times New Roman" w:eastAsia="Times New Roman" w:cs="Times New Roman"/>
                <w:sz w:val="21"/>
              </w:rPr>
              <w:t>Missing values, duplicate candidates, invalid dates, failed data contracts, unmatched records, and source-level quality status</w:t>
            </w:r>
          </w:p>
        </w:tc>
      </w:tr>
      <w:tr w:rsidR="0084730D" w:rsidRPr="00335C63" w14:paraId="25F1FA93" w14:textId="77777777" w:rsidTr="00997D20">
        <w:trPr>
          <w:cantSplit/>
          <w:jc w:val="center"/>
        </w:trPr>
        <w:tc>
          <w:tcPr>
            <w:tcW w:w="2087" w:type="pct"/>
            <w:tcMar>
              <w:top w:w="90" w:type="dxa"/>
              <w:left w:w="90" w:type="dxa"/>
              <w:bottom w:w="90" w:type="dxa"/>
              <w:right w:w="90" w:type="dxa"/>
            </w:tcMar>
            <w:vAlign w:val="center"/>
          </w:tcPr>
          <w:p w14:paraId="1BB0B678" w14:textId="77777777" w:rsidR="00BB18A2" w:rsidRDefault="00000000">
            <w:pPr>
              <w:spacing w:line="276" w:lineRule="auto" w:after="60"/>
              <w:jc w:val="left"/>
            </w:pPr>
            <w:r>
              <w:rPr>
                <w:rFonts w:ascii="Times New Roman" w:hAnsi="Times New Roman" w:eastAsia="Times New Roman" w:cs="Times New Roman"/>
                <w:sz w:val="21"/>
              </w:rPr>
              <w:lastRenderedPageBreak/>
              <w:t>record_match_log</w:t>
            </w:r>
          </w:p>
        </w:tc>
        <w:tc>
          <w:tcPr>
            <w:tcW w:w="949" w:type="pct"/>
            <w:tcMar>
              <w:top w:w="90" w:type="dxa"/>
              <w:left w:w="90" w:type="dxa"/>
              <w:bottom w:w="90" w:type="dxa"/>
              <w:right w:w="90" w:type="dxa"/>
            </w:tcMar>
            <w:vAlign w:val="center"/>
          </w:tcPr>
          <w:p w14:paraId="6554D22A" w14:textId="77777777" w:rsidR="00BB18A2" w:rsidRDefault="00000000">
            <w:pPr>
              <w:spacing w:line="276" w:lineRule="auto" w:after="60"/>
              <w:jc w:val="left"/>
            </w:pPr>
            <w:r>
              <w:rPr>
                <w:rFonts w:ascii="Times New Roman" w:hAnsi="Times New Roman" w:eastAsia="Times New Roman" w:cs="Times New Roman"/>
                <w:sz w:val="21"/>
              </w:rPr>
              <w:t>Quality table</w:t>
            </w:r>
          </w:p>
        </w:tc>
        <w:tc>
          <w:tcPr>
            <w:tcW w:w="1964" w:type="pct"/>
            <w:tcMar>
              <w:top w:w="90" w:type="dxa"/>
              <w:left w:w="90" w:type="dxa"/>
              <w:bottom w:w="90" w:type="dxa"/>
              <w:right w:w="90" w:type="dxa"/>
            </w:tcMar>
            <w:vAlign w:val="center"/>
          </w:tcPr>
          <w:p w14:paraId="020F746C" w14:textId="77777777" w:rsidR="00BB18A2" w:rsidRDefault="00000000">
            <w:pPr>
              <w:spacing w:line="276" w:lineRule="auto" w:after="60"/>
              <w:jc w:val="left"/>
            </w:pPr>
            <w:r>
              <w:rPr>
                <w:rFonts w:ascii="Times New Roman" w:hAnsi="Times New Roman" w:eastAsia="Times New Roman" w:cs="Times New Roman"/>
                <w:sz w:val="21"/>
              </w:rPr>
              <w:t>Customer, calendar, area/postcode, and weather-enrichment match confidence</w:t>
            </w:r>
          </w:p>
        </w:tc>
      </w:tr>
      <w:tr w:rsidR="0084730D" w:rsidRPr="00335C63" w14:paraId="4A07B5F1" w14:textId="77777777" w:rsidTr="00997D20">
        <w:trPr>
          <w:cantSplit/>
          <w:jc w:val="center"/>
        </w:trPr>
        <w:tc>
          <w:tcPr>
            <w:tcW w:w="2087" w:type="pct"/>
            <w:tcMar>
              <w:top w:w="90" w:type="dxa"/>
              <w:left w:w="90" w:type="dxa"/>
              <w:bottom w:w="90" w:type="dxa"/>
              <w:right w:w="90" w:type="dxa"/>
            </w:tcMar>
            <w:vAlign w:val="center"/>
          </w:tcPr>
          <w:p w14:paraId="4F269ABE" w14:textId="77777777" w:rsidR="00BB18A2" w:rsidRDefault="00000000">
            <w:pPr>
              <w:spacing w:line="276" w:lineRule="auto" w:after="60"/>
              <w:jc w:val="left"/>
            </w:pPr>
            <w:r>
              <w:rPr>
                <w:rFonts w:ascii="Times New Roman" w:hAnsi="Times New Roman" w:eastAsia="Times New Roman" w:cs="Times New Roman"/>
                <w:sz w:val="21"/>
              </w:rPr>
              <w:t>anonymised_reporting_views</w:t>
            </w:r>
          </w:p>
        </w:tc>
        <w:tc>
          <w:tcPr>
            <w:tcW w:w="949" w:type="pct"/>
            <w:tcMar>
              <w:top w:w="90" w:type="dxa"/>
              <w:left w:w="90" w:type="dxa"/>
              <w:bottom w:w="90" w:type="dxa"/>
              <w:right w:w="90" w:type="dxa"/>
            </w:tcMar>
            <w:vAlign w:val="center"/>
          </w:tcPr>
          <w:p w14:paraId="170B447E" w14:textId="77777777" w:rsidR="00BB18A2" w:rsidRDefault="00000000">
            <w:pPr>
              <w:spacing w:line="276" w:lineRule="auto" w:after="60"/>
              <w:jc w:val="left"/>
            </w:pPr>
            <w:r>
              <w:rPr>
                <w:rFonts w:ascii="Times New Roman" w:hAnsi="Times New Roman" w:eastAsia="Times New Roman" w:cs="Times New Roman"/>
                <w:sz w:val="21"/>
              </w:rPr>
              <w:t>Views</w:t>
            </w:r>
          </w:p>
        </w:tc>
        <w:tc>
          <w:tcPr>
            <w:tcW w:w="1964" w:type="pct"/>
            <w:tcMar>
              <w:top w:w="90" w:type="dxa"/>
              <w:left w:w="90" w:type="dxa"/>
              <w:bottom w:w="90" w:type="dxa"/>
              <w:right w:w="90" w:type="dxa"/>
            </w:tcMar>
            <w:vAlign w:val="center"/>
          </w:tcPr>
          <w:p w14:paraId="264F449B" w14:textId="77777777" w:rsidR="00BB18A2" w:rsidRDefault="00000000">
            <w:pPr>
              <w:spacing w:line="276" w:lineRule="auto" w:after="60"/>
              <w:jc w:val="left"/>
            </w:pPr>
            <w:r>
              <w:rPr>
                <w:rFonts w:ascii="Times New Roman" w:hAnsi="Times New Roman" w:eastAsia="Times New Roman" w:cs="Times New Roman"/>
                <w:sz w:val="21"/>
              </w:rPr>
              <w:t>Reporting outputs using customer ID and area/postcode instead of names, phone numbers, emails, or full addresses</w:t>
            </w:r>
          </w:p>
        </w:tc>
      </w:tr>
      <w:tr w:rsidR="0084730D" w:rsidRPr="00335C63" w14:paraId="0F49910F" w14:textId="77777777" w:rsidTr="00997D20">
        <w:trPr>
          <w:cantSplit/>
          <w:jc w:val="center"/>
        </w:trPr>
        <w:tc>
          <w:tcPr>
            <w:tcW w:w="2087" w:type="pct"/>
            <w:tcMar>
              <w:top w:w="90" w:type="dxa"/>
              <w:left w:w="90" w:type="dxa"/>
              <w:bottom w:w="90" w:type="dxa"/>
              <w:right w:w="90" w:type="dxa"/>
            </w:tcMar>
            <w:vAlign w:val="center"/>
          </w:tcPr>
          <w:p w14:paraId="24DBAAE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mart_area_risk</w:t>
            </w:r>
          </w:p>
        </w:tc>
        <w:tc>
          <w:tcPr>
            <w:tcW w:w="949" w:type="pct"/>
            <w:tcMar>
              <w:top w:w="90" w:type="dxa"/>
              <w:left w:w="90" w:type="dxa"/>
              <w:bottom w:w="90" w:type="dxa"/>
              <w:right w:w="90" w:type="dxa"/>
            </w:tcMar>
            <w:vAlign w:val="center"/>
          </w:tcPr>
          <w:p w14:paraId="1A383D48"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7A93B3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Area weather-associated risk score and supporting factors</w:t>
            </w:r>
          </w:p>
        </w:tc>
      </w:tr>
      <w:tr w:rsidR="0084730D" w:rsidRPr="00335C63" w14:paraId="1CD79374" w14:textId="77777777" w:rsidTr="00997D20">
        <w:trPr>
          <w:cantSplit/>
          <w:jc w:val="center"/>
        </w:trPr>
        <w:tc>
          <w:tcPr>
            <w:tcW w:w="2087" w:type="pct"/>
            <w:tcMar>
              <w:top w:w="90" w:type="dxa"/>
              <w:left w:w="90" w:type="dxa"/>
              <w:bottom w:w="90" w:type="dxa"/>
              <w:right w:w="90" w:type="dxa"/>
            </w:tcMar>
            <w:vAlign w:val="center"/>
          </w:tcPr>
          <w:p w14:paraId="144EA5E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mart_treatment_difficulty</w:t>
            </w:r>
          </w:p>
        </w:tc>
        <w:tc>
          <w:tcPr>
            <w:tcW w:w="949" w:type="pct"/>
            <w:tcMar>
              <w:top w:w="90" w:type="dxa"/>
              <w:left w:w="90" w:type="dxa"/>
              <w:bottom w:w="90" w:type="dxa"/>
              <w:right w:w="90" w:type="dxa"/>
            </w:tcMar>
            <w:vAlign w:val="center"/>
          </w:tcPr>
          <w:p w14:paraId="28400E6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3C762E3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Difficulty index by area, pest type, and team</w:t>
            </w:r>
          </w:p>
        </w:tc>
      </w:tr>
      <w:tr w:rsidR="0084730D" w:rsidRPr="00335C63" w14:paraId="282378B3" w14:textId="77777777" w:rsidTr="00997D20">
        <w:trPr>
          <w:cantSplit/>
          <w:jc w:val="center"/>
        </w:trPr>
        <w:tc>
          <w:tcPr>
            <w:tcW w:w="2087" w:type="pct"/>
            <w:tcMar>
              <w:top w:w="90" w:type="dxa"/>
              <w:left w:w="90" w:type="dxa"/>
              <w:bottom w:w="90" w:type="dxa"/>
              <w:right w:w="90" w:type="dxa"/>
            </w:tcMar>
            <w:vAlign w:val="center"/>
          </w:tcPr>
          <w:p w14:paraId="154087B5"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mart_recurrence_windows</w:t>
            </w:r>
          </w:p>
        </w:tc>
        <w:tc>
          <w:tcPr>
            <w:tcW w:w="949" w:type="pct"/>
            <w:tcMar>
              <w:top w:w="90" w:type="dxa"/>
              <w:left w:w="90" w:type="dxa"/>
              <w:bottom w:w="90" w:type="dxa"/>
              <w:right w:w="90" w:type="dxa"/>
            </w:tcMar>
            <w:vAlign w:val="center"/>
          </w:tcPr>
          <w:p w14:paraId="67A2F7E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720E42B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Days-to-recurrence and bucketed recurrence outcomes</w:t>
            </w:r>
          </w:p>
        </w:tc>
      </w:tr>
      <w:tr w:rsidR="0084730D" w:rsidRPr="00335C63" w14:paraId="00C4E0BB" w14:textId="77777777" w:rsidTr="00997D20">
        <w:trPr>
          <w:cantSplit/>
          <w:jc w:val="center"/>
        </w:trPr>
        <w:tc>
          <w:tcPr>
            <w:tcW w:w="2087" w:type="pct"/>
            <w:tcMar>
              <w:top w:w="90" w:type="dxa"/>
              <w:left w:w="90" w:type="dxa"/>
              <w:bottom w:w="90" w:type="dxa"/>
              <w:right w:w="90" w:type="dxa"/>
            </w:tcMar>
            <w:vAlign w:val="center"/>
          </w:tcPr>
          <w:p w14:paraId="73DA204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mart_hotspots</w:t>
            </w:r>
          </w:p>
        </w:tc>
        <w:tc>
          <w:tcPr>
            <w:tcW w:w="949" w:type="pct"/>
            <w:tcMar>
              <w:top w:w="90" w:type="dxa"/>
              <w:left w:w="90" w:type="dxa"/>
              <w:bottom w:w="90" w:type="dxa"/>
              <w:right w:w="90" w:type="dxa"/>
            </w:tcMar>
            <w:vAlign w:val="center"/>
          </w:tcPr>
          <w:p w14:paraId="1216096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7274AAAF"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DBSCAN cluster IDs, centroid, severity, and cluster trend</w:t>
            </w:r>
          </w:p>
        </w:tc>
      </w:tr>
      <w:tr w:rsidR="0084730D" w:rsidRPr="00335C63" w14:paraId="36551583" w14:textId="77777777" w:rsidTr="00997D20">
        <w:trPr>
          <w:cantSplit/>
          <w:jc w:val="center"/>
        </w:trPr>
        <w:tc>
          <w:tcPr>
            <w:tcW w:w="2087" w:type="pct"/>
            <w:tcMar>
              <w:top w:w="90" w:type="dxa"/>
              <w:left w:w="90" w:type="dxa"/>
              <w:bottom w:w="90" w:type="dxa"/>
              <w:right w:w="90" w:type="dxa"/>
            </w:tcMar>
            <w:vAlign w:val="center"/>
          </w:tcPr>
          <w:p w14:paraId="1BEE21CE"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mart_upsell_fit</w:t>
            </w:r>
          </w:p>
        </w:tc>
        <w:tc>
          <w:tcPr>
            <w:tcW w:w="949" w:type="pct"/>
            <w:tcMar>
              <w:top w:w="90" w:type="dxa"/>
              <w:left w:w="90" w:type="dxa"/>
              <w:bottom w:w="90" w:type="dxa"/>
              <w:right w:w="90" w:type="dxa"/>
            </w:tcMar>
            <w:vAlign w:val="center"/>
          </w:tcPr>
          <w:p w14:paraId="19939456"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4DAE6492"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Best-fit package recommendations by customer/pest/area segment</w:t>
            </w:r>
          </w:p>
        </w:tc>
      </w:tr>
      <w:tr w:rsidR="0084730D" w:rsidRPr="00335C63" w14:paraId="22592751" w14:textId="77777777" w:rsidTr="00997D20">
        <w:trPr>
          <w:cantSplit/>
          <w:jc w:val="center"/>
        </w:trPr>
        <w:tc>
          <w:tcPr>
            <w:tcW w:w="2087" w:type="pct"/>
            <w:tcMar>
              <w:top w:w="90" w:type="dxa"/>
              <w:left w:w="90" w:type="dxa"/>
              <w:bottom w:w="90" w:type="dxa"/>
              <w:right w:w="90" w:type="dxa"/>
            </w:tcMar>
            <w:vAlign w:val="center"/>
          </w:tcPr>
          <w:p w14:paraId="792703ED"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mart_recommendations</w:t>
            </w:r>
          </w:p>
        </w:tc>
        <w:tc>
          <w:tcPr>
            <w:tcW w:w="949" w:type="pct"/>
            <w:tcMar>
              <w:top w:w="90" w:type="dxa"/>
              <w:left w:w="90" w:type="dxa"/>
              <w:bottom w:w="90" w:type="dxa"/>
              <w:right w:w="90" w:type="dxa"/>
            </w:tcMar>
            <w:vAlign w:val="center"/>
          </w:tcPr>
          <w:p w14:paraId="68CE83EC"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Analytics mart</w:t>
            </w:r>
          </w:p>
        </w:tc>
        <w:tc>
          <w:tcPr>
            <w:tcW w:w="1964" w:type="pct"/>
            <w:tcMar>
              <w:top w:w="90" w:type="dxa"/>
              <w:left w:w="90" w:type="dxa"/>
              <w:bottom w:w="90" w:type="dxa"/>
              <w:right w:w="90" w:type="dxa"/>
            </w:tcMar>
            <w:vAlign w:val="center"/>
          </w:tcPr>
          <w:p w14:paraId="55A7D311" w14:textId="77777777" w:rsidR="0084730D" w:rsidRPr="00335C63" w:rsidRDefault="00357319" w:rsidP="000F4170">
            <w:pPr>
              <w:spacing w:after="60" w:line="276" w:lineRule="auto"/>
              <w:jc w:val="left"/>
              <w:rPr>
                <w:rFonts w:ascii="Times New Roman" w:hAnsi="Times New Roman" w:cs="Times New Roman"/>
                <w:sz w:val="24"/>
                <w:szCs w:val="24"/>
              </w:rPr>
            </w:pPr>
            <w:r w:rsidRPr="00335C63">
              <w:rPr>
                <w:rFonts w:ascii="Times New Roman" w:hAnsi="Times New Roman" w:cs="Times New Roman" w:eastAsia="Times New Roman"/>
                <w:sz w:val="21"/>
                <w:szCs w:val="24"/>
              </w:rPr>
              <w:t>Dashboard-ready prescriptive recommendations and optional AI-generated explanation text</w:t>
            </w:r>
          </w:p>
        </w:tc>
      </w:tr>
      <w:tr w:rsidR="0084730D" w:rsidRPr="00335C63" w14:paraId="184BD57C" w14:textId="77777777" w:rsidTr="00997D20">
        <w:trPr>
          <w:cantSplit/>
          <w:jc w:val="center"/>
        </w:trPr>
        <w:tc>
          <w:tcPr>
            <w:tcW w:w="2087" w:type="pct"/>
            <w:tcMar>
              <w:top w:w="90" w:type="dxa"/>
              <w:left w:w="90" w:type="dxa"/>
              <w:bottom w:w="90" w:type="dxa"/>
              <w:right w:w="90" w:type="dxa"/>
            </w:tcMar>
            <w:vAlign w:val="center"/>
          </w:tcPr>
          <w:p w14:paraId="514616BB" w14:textId="77777777" w:rsidR="00BB18A2" w:rsidRDefault="00000000">
            <w:pPr>
              <w:spacing w:line="276" w:lineRule="auto" w:after="60"/>
              <w:jc w:val="left"/>
            </w:pPr>
            <w:r>
              <w:rPr>
                <w:rFonts w:ascii="Times New Roman" w:hAnsi="Times New Roman" w:eastAsia="Times New Roman" w:cs="Times New Roman"/>
                <w:sz w:val="21"/>
              </w:rPr>
              <w:t>mart_refresh_status</w:t>
            </w:r>
          </w:p>
        </w:tc>
        <w:tc>
          <w:tcPr>
            <w:tcW w:w="949" w:type="pct"/>
            <w:tcMar>
              <w:top w:w="90" w:type="dxa"/>
              <w:left w:w="90" w:type="dxa"/>
              <w:bottom w:w="90" w:type="dxa"/>
              <w:right w:w="90" w:type="dxa"/>
            </w:tcMar>
            <w:vAlign w:val="center"/>
          </w:tcPr>
          <w:p w14:paraId="08E2E8A4" w14:textId="77777777" w:rsidR="00BB18A2" w:rsidRDefault="00000000">
            <w:pPr>
              <w:spacing w:line="276" w:lineRule="auto" w:after="60"/>
              <w:jc w:val="left"/>
            </w:pPr>
            <w:r>
              <w:rPr>
                <w:rFonts w:ascii="Times New Roman" w:hAnsi="Times New Roman" w:eastAsia="Times New Roman" w:cs="Times New Roman"/>
                <w:sz w:val="21"/>
              </w:rPr>
              <w:t>Analytics mart</w:t>
            </w:r>
          </w:p>
        </w:tc>
        <w:tc>
          <w:tcPr>
            <w:tcW w:w="1964" w:type="pct"/>
            <w:tcMar>
              <w:top w:w="90" w:type="dxa"/>
              <w:left w:w="90" w:type="dxa"/>
              <w:bottom w:w="90" w:type="dxa"/>
              <w:right w:w="90" w:type="dxa"/>
            </w:tcMar>
            <w:vAlign w:val="center"/>
          </w:tcPr>
          <w:p w14:paraId="040393DA" w14:textId="77777777" w:rsidR="00BB18A2" w:rsidRDefault="00000000">
            <w:pPr>
              <w:spacing w:line="276" w:lineRule="auto" w:after="60"/>
              <w:jc w:val="left"/>
            </w:pPr>
            <w:r>
              <w:rPr>
                <w:rFonts w:ascii="Times New Roman" w:hAnsi="Times New Roman" w:eastAsia="Times New Roman" w:cs="Times New Roman"/>
                <w:sz w:val="21"/>
              </w:rPr>
              <w:t>Last successful refresh, failed refresh reason, Airflow run status, row counts, dbt test status, and dashboard data freshness</w:t>
            </w:r>
          </w:p>
        </w:tc>
      </w:tr>
      <w:tr w:rsidR="00BB18A2" w14:paraId="14CA66FB" w14:textId="77777777">
        <w:trPr>
          <w:jc w:val="center"/>
        </w:trPr>
        <w:tc>
          <w:tcPr>
            <w:tcW w:w="3764" w:type="dxa"/>
            <w:vAlign w:val="center"/>
          </w:tcPr>
          <w:p w14:paraId="3049ADDF" w14:textId="77777777" w:rsidR="00BB18A2" w:rsidRDefault="00000000">
            <w:pPr>
              <w:spacing w:line="276" w:lineRule="auto" w:after="60"/>
              <w:jc w:val="left"/>
            </w:pPr>
            <w:r>
              <w:rPr>
                <w:rFonts w:ascii="Times New Roman" w:hAnsi="Times New Roman" w:eastAsia="Times New Roman" w:cs="Times New Roman"/>
                <w:sz w:val="21"/>
              </w:rPr>
              <w:t>etl_run_log</w:t>
            </w:r>
          </w:p>
        </w:tc>
        <w:tc>
          <w:tcPr>
            <w:tcW w:w="1711" w:type="dxa"/>
            <w:vAlign w:val="center"/>
          </w:tcPr>
          <w:p w14:paraId="15A003DB" w14:textId="77777777" w:rsidR="00BB18A2" w:rsidRDefault="00000000">
            <w:pPr>
              <w:spacing w:line="276" w:lineRule="auto" w:after="60"/>
              <w:jc w:val="left"/>
            </w:pPr>
            <w:r>
              <w:rPr>
                <w:rFonts w:ascii="Times New Roman" w:hAnsi="Times New Roman" w:eastAsia="Times New Roman" w:cs="Times New Roman"/>
                <w:sz w:val="21"/>
              </w:rPr>
              <w:t>Audit table</w:t>
            </w:r>
          </w:p>
        </w:tc>
        <w:tc>
          <w:tcPr>
            <w:tcW w:w="3541" w:type="dxa"/>
            <w:vAlign w:val="center"/>
          </w:tcPr>
          <w:p w14:paraId="36C092BE" w14:textId="77777777" w:rsidR="00BB18A2" w:rsidRDefault="00000000">
            <w:pPr>
              <w:spacing w:line="276" w:lineRule="auto" w:after="60"/>
              <w:jc w:val="left"/>
            </w:pPr>
            <w:r>
              <w:rPr>
                <w:rFonts w:ascii="Times New Roman" w:hAnsi="Times New Roman" w:eastAsia="Times New Roman" w:cs="Times New Roman"/>
                <w:sz w:val="21"/>
              </w:rPr>
              <w:t>Airflow run ID, task name, source name, start/end time, rows extracted, rows loaded, rows failed, status, and error message</w:t>
            </w:r>
          </w:p>
        </w:tc>
      </w:tr>
      <w:tr w:rsidR="00BB18A2" w14:paraId="45D89CF0" w14:textId="77777777">
        <w:trPr>
          <w:jc w:val="center"/>
        </w:trPr>
        <w:tc>
          <w:tcPr>
            <w:tcW w:w="3764" w:type="dxa"/>
            <w:vAlign w:val="center"/>
          </w:tcPr>
          <w:p w14:paraId="33DD6A80" w14:textId="77777777" w:rsidR="00BB18A2" w:rsidRDefault="00000000">
            <w:pPr>
              <w:spacing w:line="276" w:lineRule="auto" w:after="60"/>
              <w:jc w:val="left"/>
            </w:pPr>
            <w:r>
              <w:rPr>
                <w:rFonts w:ascii="Times New Roman" w:hAnsi="Times New Roman" w:eastAsia="Times New Roman" w:cs="Times New Roman"/>
                <w:sz w:val="21"/>
              </w:rPr>
              <w:t>source_contract_status</w:t>
            </w:r>
          </w:p>
        </w:tc>
        <w:tc>
          <w:tcPr>
            <w:tcW w:w="1711" w:type="dxa"/>
            <w:vAlign w:val="center"/>
          </w:tcPr>
          <w:p w14:paraId="504B76A2" w14:textId="77777777" w:rsidR="00BB18A2" w:rsidRDefault="00000000">
            <w:pPr>
              <w:spacing w:line="276" w:lineRule="auto" w:after="60"/>
              <w:jc w:val="left"/>
            </w:pPr>
            <w:r>
              <w:rPr>
                <w:rFonts w:ascii="Times New Roman" w:hAnsi="Times New Roman" w:eastAsia="Times New Roman" w:cs="Times New Roman"/>
                <w:sz w:val="21"/>
              </w:rPr>
              <w:t>Quality table</w:t>
            </w:r>
          </w:p>
        </w:tc>
        <w:tc>
          <w:tcPr>
            <w:tcW w:w="3541" w:type="dxa"/>
            <w:vAlign w:val="center"/>
          </w:tcPr>
          <w:p w14:paraId="7A12FF49" w14:textId="77777777" w:rsidR="00BB18A2" w:rsidRDefault="00000000">
            <w:pPr>
              <w:spacing w:line="276" w:lineRule="auto" w:after="60"/>
              <w:jc w:val="left"/>
            </w:pPr>
            <w:r>
              <w:rPr>
                <w:rFonts w:ascii="Times New Roman" w:hAnsi="Times New Roman" w:eastAsia="Times New Roman" w:cs="Times New Roman"/>
                <w:sz w:val="21"/>
              </w:rPr>
              <w:t>Expected fields, mapped aliases, missing critical fields, warnings, and source acceptance status</w:t>
            </w:r>
          </w:p>
        </w:tc>
      </w:tr>
      <w:tr w:rsidR="00BB18A2" w14:paraId="2B147287" w14:textId="77777777">
        <w:trPr>
          <w:jc w:val="center"/>
        </w:trPr>
        <w:tc>
          <w:tcPr>
            <w:tcW w:w="3764" w:type="dxa"/>
            <w:vAlign w:val="center"/>
          </w:tcPr>
          <w:p w14:paraId="22098220" w14:textId="77777777" w:rsidR="00BB18A2" w:rsidRDefault="00000000">
            <w:pPr>
              <w:spacing w:line="276" w:lineRule="auto" w:after="60"/>
              <w:jc w:val="left"/>
            </w:pPr>
            <w:r>
              <w:rPr>
                <w:rFonts w:ascii="Times New Roman" w:hAnsi="Times New Roman" w:eastAsia="Times New Roman" w:cs="Times New Roman"/>
                <w:sz w:val="21"/>
              </w:rPr>
              <w:lastRenderedPageBreak/>
              <w:t>dbt_test_results</w:t>
            </w:r>
          </w:p>
        </w:tc>
        <w:tc>
          <w:tcPr>
            <w:tcW w:w="1711" w:type="dxa"/>
            <w:vAlign w:val="center"/>
          </w:tcPr>
          <w:p w14:paraId="61D1BE6B" w14:textId="77777777" w:rsidR="00BB18A2" w:rsidRDefault="00000000">
            <w:pPr>
              <w:spacing w:line="276" w:lineRule="auto" w:after="60"/>
              <w:jc w:val="left"/>
            </w:pPr>
            <w:r>
              <w:rPr>
                <w:rFonts w:ascii="Times New Roman" w:hAnsi="Times New Roman" w:eastAsia="Times New Roman" w:cs="Times New Roman"/>
                <w:sz w:val="21"/>
              </w:rPr>
              <w:t>Quality table</w:t>
            </w:r>
          </w:p>
        </w:tc>
        <w:tc>
          <w:tcPr>
            <w:tcW w:w="3541" w:type="dxa"/>
            <w:vAlign w:val="center"/>
          </w:tcPr>
          <w:p w14:paraId="468302EF" w14:textId="77777777" w:rsidR="00BB18A2" w:rsidRDefault="00000000">
            <w:pPr>
              <w:spacing w:line="276" w:lineRule="auto" w:after="60"/>
              <w:jc w:val="left"/>
            </w:pPr>
            <w:r>
              <w:rPr>
                <w:rFonts w:ascii="Times New Roman" w:hAnsi="Times New Roman" w:eastAsia="Times New Roman" w:cs="Times New Roman"/>
                <w:sz w:val="21"/>
              </w:rPr>
              <w:t>dbt model test outcomes for not-null, unique, accepted values, and relationship checks</w:t>
            </w:r>
          </w:p>
        </w:tc>
      </w:tr>
      <w:tr w:rsidR="00BB18A2" w14:paraId="24F686C1" w14:textId="77777777">
        <w:trPr>
          <w:jc w:val="center"/>
        </w:trPr>
        <w:tc>
          <w:tcPr>
            <w:tcW w:w="3764" w:type="dxa"/>
            <w:vAlign w:val="center"/>
          </w:tcPr>
          <w:p w14:paraId="4A7A6781" w14:textId="77777777" w:rsidR="00BB18A2" w:rsidRDefault="00000000">
            <w:pPr>
              <w:spacing w:line="276" w:lineRule="auto" w:after="60"/>
              <w:jc w:val="left"/>
            </w:pPr>
            <w:r>
              <w:rPr>
                <w:rFonts w:ascii="Times New Roman" w:hAnsi="Times New Roman" w:eastAsia="Times New Roman" w:cs="Times New Roman"/>
                <w:sz w:val="21"/>
              </w:rPr>
              <w:t>dbt_lineage_docs</w:t>
            </w:r>
          </w:p>
        </w:tc>
        <w:tc>
          <w:tcPr>
            <w:tcW w:w="1711" w:type="dxa"/>
            <w:vAlign w:val="center"/>
          </w:tcPr>
          <w:p w14:paraId="54E19E1F" w14:textId="77777777" w:rsidR="00BB18A2" w:rsidRDefault="00000000">
            <w:pPr>
              <w:spacing w:line="276" w:lineRule="auto" w:after="60"/>
              <w:jc w:val="left"/>
            </w:pPr>
            <w:r>
              <w:rPr>
                <w:rFonts w:ascii="Times New Roman" w:hAnsi="Times New Roman" w:eastAsia="Times New Roman" w:cs="Times New Roman"/>
                <w:sz w:val="21"/>
              </w:rPr>
              <w:t>Documentation output</w:t>
            </w:r>
          </w:p>
        </w:tc>
        <w:tc>
          <w:tcPr>
            <w:tcW w:w="3541" w:type="dxa"/>
            <w:vAlign w:val="center"/>
          </w:tcPr>
          <w:p w14:paraId="6E7BF86E" w14:textId="77777777" w:rsidR="00BB18A2" w:rsidRDefault="00000000">
            <w:pPr>
              <w:spacing w:line="276" w:lineRule="auto" w:after="60"/>
              <w:jc w:val="left"/>
            </w:pPr>
            <w:r>
              <w:rPr>
                <w:rFonts w:ascii="Times New Roman" w:hAnsi="Times New Roman" w:eastAsia="Times New Roman" w:cs="Times New Roman"/>
                <w:sz w:val="21"/>
              </w:rPr>
              <w:t>Model/source lineage and table documentation generated from dbt for CP2 demonstration</w:t>
            </w:r>
          </w:p>
        </w:tc>
      </w:tr>
    </w:tbl>
    <w:p w14:paraId="209C5815" w14:textId="77777777" w:rsidR="0084730D" w:rsidRPr="00335C63" w:rsidRDefault="0084730D" w:rsidP="000F4170">
      <w:pPr>
        <w:spacing w:line="360" w:lineRule="auto" w:after="120"/>
        <w:jc w:val="left"/>
        <w:rPr>
          <w:rFonts w:ascii="Times New Roman" w:hAnsi="Times New Roman" w:cs="Times New Roman"/>
          <w:sz w:val="24"/>
          <w:szCs w:val="24"/>
        </w:rPr>
      </w:pPr>
    </w:p>
    <w:sectPr w:rsidR="0084730D" w:rsidRPr="00335C63" w:rsidSect="009C0B3E">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71E33" w14:textId="77777777" w:rsidR="004B352E" w:rsidRDefault="004B352E">
      <w:pPr>
        <w:spacing w:after="0" w:line="240" w:lineRule="auto"/>
      </w:pPr>
      <w:r>
        <w:separator/>
      </w:r>
    </w:p>
  </w:endnote>
  <w:endnote w:type="continuationSeparator" w:id="0">
    <w:p w14:paraId="62E4C5D1" w14:textId="77777777" w:rsidR="004B352E" w:rsidRDefault="004B3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EF9" w14:textId="77777777" w:rsidR="009656FF" w:rsidRDefault="009656FF">
    <w:pPr>
      <w:pStyle w:val="Footer"/>
      <w:spacing w:line="240" w:lineRule="auto" w:after="0"/>
      <w:jc w:val="center"/>
      <w:rPr>
        <w:color w:val="5A636E"/>
        <w:sz w:val="18"/>
      </w:rPr>
    </w:pPr>
  </w:p>
  <w:p w14:paraId="60BD35FF" w14:textId="77777777" w:rsidR="0084730D" w:rsidRDefault="00357319">
    <w:pPr>
      <w:pStyle w:val="Footer"/>
      <w:spacing w:line="240" w:lineRule="auto" w:after="0"/>
      <w:jc w:val="center"/>
    </w:pPr>
    <w:r>
      <w:rPr>
        <w:rFonts w:ascii="Times New Roman" w:hAnsi="Times New Roman" w:eastAsia="Times New Roman"/>
        <w:color w:val="5A636E"/>
        <w:sz w:val="18"/>
      </w:rPr>
      <w:t xml:space="preserve">Capstone </w:t>
    </w:r>
    <w:r w:rsidR="009656FF">
      <w:rPr>
        <w:rFonts w:ascii="Times New Roman" w:hAnsi="Times New Roman" w:eastAsia="Times New Roman"/>
        <w:color w:val="5A636E"/>
        <w:sz w:val="18"/>
      </w:rPr>
      <w:t xml:space="preserve">Project 1 </w:t>
    </w:r>
    <w:r>
      <w:rPr>
        <w:rFonts w:ascii="Times New Roman" w:hAnsi="Times New Roman" w:eastAsia="Times New Roman"/>
        <w:color w:val="5A636E"/>
        <w:sz w:val="18"/>
      </w:rPr>
      <w:t>Proposal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5C85B" w14:textId="77777777" w:rsidR="004B352E" w:rsidRDefault="004B352E">
      <w:pPr>
        <w:spacing w:after="0" w:line="240" w:lineRule="auto"/>
      </w:pPr>
      <w:r>
        <w:separator/>
      </w:r>
    </w:p>
  </w:footnote>
  <w:footnote w:type="continuationSeparator" w:id="0">
    <w:p w14:paraId="519E52F4" w14:textId="77777777" w:rsidR="004B352E" w:rsidRDefault="004B352E">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8630399">
    <w:abstractNumId w:val="8"/>
  </w:num>
  <w:num w:numId="2" w16cid:durableId="1657495368">
    <w:abstractNumId w:val="6"/>
  </w:num>
  <w:num w:numId="3" w16cid:durableId="1461731056">
    <w:abstractNumId w:val="5"/>
  </w:num>
  <w:num w:numId="4" w16cid:durableId="220947359">
    <w:abstractNumId w:val="4"/>
  </w:num>
  <w:num w:numId="5" w16cid:durableId="496112857">
    <w:abstractNumId w:val="7"/>
  </w:num>
  <w:num w:numId="6" w16cid:durableId="1205673879">
    <w:abstractNumId w:val="3"/>
  </w:num>
  <w:num w:numId="7" w16cid:durableId="1669555068">
    <w:abstractNumId w:val="2"/>
  </w:num>
  <w:num w:numId="8" w16cid:durableId="1258714699">
    <w:abstractNumId w:val="1"/>
  </w:num>
  <w:num w:numId="9" w16cid:durableId="55251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EA"/>
    <w:rsid w:val="00020A19"/>
    <w:rsid w:val="00034616"/>
    <w:rsid w:val="0006063C"/>
    <w:rsid w:val="0006642D"/>
    <w:rsid w:val="00066841"/>
    <w:rsid w:val="00082488"/>
    <w:rsid w:val="000D19BC"/>
    <w:rsid w:val="000F4170"/>
    <w:rsid w:val="00106A8F"/>
    <w:rsid w:val="0015074B"/>
    <w:rsid w:val="00177ABB"/>
    <w:rsid w:val="0019763A"/>
    <w:rsid w:val="0029639D"/>
    <w:rsid w:val="002B1A5B"/>
    <w:rsid w:val="002D1C19"/>
    <w:rsid w:val="00326F90"/>
    <w:rsid w:val="00335C63"/>
    <w:rsid w:val="00345511"/>
    <w:rsid w:val="00351EF8"/>
    <w:rsid w:val="00357319"/>
    <w:rsid w:val="0036763B"/>
    <w:rsid w:val="00395266"/>
    <w:rsid w:val="003C0C08"/>
    <w:rsid w:val="003E4481"/>
    <w:rsid w:val="004B352E"/>
    <w:rsid w:val="00552BF9"/>
    <w:rsid w:val="005724D6"/>
    <w:rsid w:val="00595039"/>
    <w:rsid w:val="00635337"/>
    <w:rsid w:val="00712597"/>
    <w:rsid w:val="00725AB6"/>
    <w:rsid w:val="00737E62"/>
    <w:rsid w:val="007A15D3"/>
    <w:rsid w:val="007D7C69"/>
    <w:rsid w:val="007F7DE7"/>
    <w:rsid w:val="0084088C"/>
    <w:rsid w:val="0084730D"/>
    <w:rsid w:val="00853100"/>
    <w:rsid w:val="008643BF"/>
    <w:rsid w:val="00891518"/>
    <w:rsid w:val="008D6A1A"/>
    <w:rsid w:val="00916002"/>
    <w:rsid w:val="009340C4"/>
    <w:rsid w:val="009656FF"/>
    <w:rsid w:val="00980E56"/>
    <w:rsid w:val="00981EE4"/>
    <w:rsid w:val="00984EB3"/>
    <w:rsid w:val="00997D20"/>
    <w:rsid w:val="009C0B3E"/>
    <w:rsid w:val="009F6D33"/>
    <w:rsid w:val="00A017C9"/>
    <w:rsid w:val="00A32882"/>
    <w:rsid w:val="00AA1D8D"/>
    <w:rsid w:val="00AC654A"/>
    <w:rsid w:val="00AC6BFC"/>
    <w:rsid w:val="00B47730"/>
    <w:rsid w:val="00B656FC"/>
    <w:rsid w:val="00BB18A2"/>
    <w:rsid w:val="00BE26A8"/>
    <w:rsid w:val="00BF3F6C"/>
    <w:rsid w:val="00C521CA"/>
    <w:rsid w:val="00CB0664"/>
    <w:rsid w:val="00CD7B49"/>
    <w:rsid w:val="00DF1EFA"/>
    <w:rsid w:val="00E9478E"/>
    <w:rsid w:val="00EA3A6E"/>
    <w:rsid w:val="00EF6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2A2639"/>
  <w14:defaultImageDpi w14:val="330"/>
  <w15:docId w15:val="{94C9C8BF-7910-4A51-859A-8F19298B0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eastAsia="Times New Roman" w:cs="Times New Roman"/>
      <w:b w:val="0"/>
      <w:sz w:val="24"/>
    </w:rPr>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line="360" w:lineRule="auto" w:after="120"/>
      <w:jc w:val="left"/>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left"/>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rPr>
  </w:style>
  <w:style w:type="table" w:default="1" w:styleId="TableNormal">
    <w:name w:val="Normal Table"/>
    <w:uiPriority w:val="99"/>
    <w:semiHidden/>
    <w:unhideWhenUsed/>
    <w:rPr>
      <w:rFonts w:ascii="Times New Roman" w:hAnsi="Times New Roman" w:eastAsia="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HeaderChar">
    <w:name w:val="Header Char"/>
    <w:basedOn w:val="DefaultParagraphFont"/>
    <w:link w:val="Header"/>
    <w:uiPriority w:val="99"/>
    <w:rsid w:val="00E618BF"/>
    <w:rPr>
      <w:rFonts w:ascii="Times New Roman" w:hAnsi="Times New Roman" w:eastAsia="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rPr>
  </w:style>
  <w:style w:type="character" w:customStyle="1" w:styleId="FooterChar">
    <w:name w:val="Footer Char"/>
    <w:basedOn w:val="DefaultParagraphFont"/>
    <w:link w:val="Footer"/>
    <w:uiPriority w:val="99"/>
    <w:rsid w:val="00E618BF"/>
    <w:rPr>
      <w:rFonts w:ascii="Times New Roman" w:hAnsi="Times New Roman" w:eastAsia="Times New Roman"/>
    </w:rPr>
  </w:style>
  <w:style w:type="paragraph" w:styleId="NoSpacing">
    <w:name w:val="No Spacing"/>
    <w:uiPriority w:val="1"/>
    <w:qFormat/>
    <w:rsid w:val="00FC693F"/>
    <w:pPr>
      <w:spacing w:after="0" w:line="240" w:lineRule="auto"/>
    </w:pPr>
    <w:rPr>
      <w:rFonts w:ascii="Times New Roman" w:hAnsi="Times New Roman" w:eastAsia="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5A636E"/>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rPr>
  </w:style>
  <w:style w:type="paragraph" w:styleId="BodyText">
    <w:name w:val="Body Text"/>
    <w:basedOn w:val="Normal"/>
    <w:link w:val="BodyTextChar"/>
    <w:uiPriority w:val="99"/>
    <w:unhideWhenUsed/>
    <w:rsid w:val="00AA1D8D"/>
    <w:rPr>
      <w:rFonts w:ascii="Times New Roman" w:hAnsi="Times New Roman" w:eastAsia="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rPr>
  </w:style>
  <w:style w:type="paragraph" w:styleId="BodyText2">
    <w:name w:val="Body Text 2"/>
    <w:basedOn w:val="Normal"/>
    <w:link w:val="BodyText2Char"/>
    <w:uiPriority w:val="99"/>
    <w:unhideWhenUsed/>
    <w:rsid w:val="00AA1D8D"/>
    <w:pPr>
      <w:spacing w:line="480" w:lineRule="auto"/>
    </w:pPr>
    <w:rPr>
      <w:rFonts w:ascii="Times New Roman" w:hAnsi="Times New Roman" w:eastAsia="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rPr>
  </w:style>
  <w:style w:type="paragraph" w:styleId="BodyText3">
    <w:name w:val="Body Text 3"/>
    <w:basedOn w:val="Normal"/>
    <w:link w:val="BodyText3Char"/>
    <w:uiPriority w:val="99"/>
    <w:unhideWhenUsed/>
    <w:rsid w:val="00AA1D8D"/>
    <w:rPr>
      <w:rFonts w:ascii="Times New Roman" w:hAnsi="Times New Roman" w:eastAsia="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rPr>
  </w:style>
  <w:style w:type="paragraph" w:styleId="ListContinue">
    <w:name w:val="List Continue"/>
    <w:basedOn w:val="Normal"/>
    <w:uiPriority w:val="99"/>
    <w:unhideWhenUsed/>
    <w:rsid w:val="0029639D"/>
    <w:pPr>
      <w:ind w:left="360"/>
      <w:contextualSpacing/>
    </w:pPr>
    <w:rPr>
      <w:rFonts w:ascii="Times New Roman" w:hAnsi="Times New Roman" w:eastAsia="Times New Roman"/>
    </w:rPr>
  </w:style>
  <w:style w:type="paragraph" w:styleId="ListContinue2">
    <w:name w:val="List Continue 2"/>
    <w:basedOn w:val="Normal"/>
    <w:uiPriority w:val="99"/>
    <w:unhideWhenUsed/>
    <w:rsid w:val="0029639D"/>
    <w:pPr>
      <w:ind w:left="720"/>
      <w:contextualSpacing/>
    </w:pPr>
    <w:rPr>
      <w:rFonts w:ascii="Times New Roman" w:hAnsi="Times New Roman" w:eastAsia="Times New Roman"/>
    </w:rPr>
  </w:style>
  <w:style w:type="paragraph" w:styleId="ListContinue3">
    <w:name w:val="List Continue 3"/>
    <w:basedOn w:val="Normal"/>
    <w:uiPriority w:val="99"/>
    <w:unhideWhenUsed/>
    <w:rsid w:val="0029639D"/>
    <w:pPr>
      <w:ind w:left="1080"/>
      <w:contextualSpacing/>
    </w:pPr>
    <w:rPr>
      <w:rFonts w:ascii="Times New Roman" w:hAnsi="Times New Roman" w:eastAsia="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eastAsia="Times New Roman"/>
      <w:b/>
      <w:bCs/>
    </w:rPr>
  </w:style>
  <w:style w:type="character" w:styleId="Emphasis">
    <w:name w:val="Emphasis"/>
    <w:basedOn w:val="DefaultParagraphFont"/>
    <w:uiPriority w:val="20"/>
    <w:qFormat/>
    <w:rsid w:val="00FC693F"/>
    <w:rPr>
      <w:rFonts w:ascii="Times New Roman" w:hAnsi="Times New Roman" w:eastAsia="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rPr>
  </w:style>
  <w:style w:type="table" w:styleId="TableGrid">
    <w:name w:val="Table Grid"/>
    <w:basedOn w:val="TableNormal"/>
    <w:uiPriority w:val="59"/>
    <w:rsid w:val="00FC693F"/>
    <w:pPr>
      <w:spacing w:after="0" w:line="240" w:lineRule="auto"/>
    </w:pPr>
    <w:rPr>
      <w:rFonts w:ascii="Times New Roman" w:hAnsi="Times New Roman"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37E62"/>
    <w:rPr>
      <w:rFonts w:ascii="Times New Roman" w:hAnsi="Times New Roman" w:eastAsia="Times New Roman"/>
      <w:color w:val="0000FF" w:themeColor="hyperlink"/>
      <w:u w:val="single"/>
    </w:rPr>
  </w:style>
  <w:style w:type="character" w:styleId="UnresolvedMention">
    <w:name w:val="Unresolved Mention"/>
    <w:basedOn w:val="DefaultParagraphFont"/>
    <w:uiPriority w:val="99"/>
    <w:semiHidden/>
    <w:unhideWhenUsed/>
    <w:rsid w:val="00737E62"/>
    <w:rPr>
      <w:rFonts w:ascii="Times New Roman" w:hAnsi="Times New Roman" w:eastAsia="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40531-3980-4306-A6A3-FFCF95A2D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11269</Words>
  <Characters>64237</Characters>
  <Application>Microsoft Office Word</Application>
  <DocSecurity>0</DocSecurity>
  <Lines>535</Lines>
  <Paragraphs>150</Paragraphs>
  <ScaleCrop>false</ScaleCrop>
  <Manager/>
  <Company/>
  <LinksUpToDate>false</LinksUpToDate>
  <CharactersWithSpaces>75356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Nomobug Capstone Proposal CP1 Updated</dc:title>
  <dc:subject>Weather-aware pest control analytics decision-support dashboard</dc:subject>
  <dc:creator>Thevesh Chandran</dc:creator>
  <cp:keywords/>
  <dc:description/>
  <cp:lastModifiedBy>Thevesh Chandran</cp:lastModifiedBy>
  <cp:revision>17</cp:revision>
  <dcterms:created xsi:type="dcterms:W3CDTF">2026-06-20T03:06:00Z</dcterms:created>
  <dcterms:modified xsi:type="dcterms:W3CDTF">2026-07-12T10:23:00Z</dcterms:modified>
  <cp:category/>
</cp:coreProperties>
</file>