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B0F2B" w14:textId="77777777" w:rsidR="00BE26A8" w:rsidRPr="00335C63" w:rsidRDefault="00BE26A8" w:rsidP="000F4170">
      <w:pPr>
        <w:spacing w:line="360" w:lineRule="auto" w:after="120"/>
        <w:jc w:val="left"/>
        <w:rPr>
          <w:rFonts w:ascii="Times New Roman" w:eastAsia="DengXian" w:hAnsi="Times New Roman" w:cs="Times New Roman"/>
          <w:b/>
          <w:noProof/>
          <w:kern w:val="20"/>
          <w:sz w:val="24"/>
          <w:szCs w:val="24"/>
          <w:lang w:val="en-MY" w:eastAsia="en-MY"/>
        </w:rPr>
      </w:pPr>
    </w:p>
    <w:p w14:paraId="3BD1B3D2" w14:textId="77777777" w:rsidR="00BE26A8" w:rsidRPr="000F4170" w:rsidRDefault="00BE26A8" w:rsidP="000F4170">
      <w:pPr>
        <w:spacing w:line="360" w:lineRule="auto" w:after="120"/>
        <w:jc w:val="center"/>
        <w:rPr>
          <w:rFonts w:ascii="Times New Roman" w:eastAsia="DengXian" w:hAnsi="Times New Roman" w:cs="Times New Roman"/>
          <w:b/>
          <w:noProof/>
          <w:kern w:val="20"/>
          <w:sz w:val="28"/>
          <w:szCs w:val="28"/>
          <w:lang w:val="en-MY" w:eastAsia="en-MY"/>
        </w:rPr>
      </w:pPr>
      <w:r w:rsidRPr="000F4170">
        <w:rPr>
          <w:rFonts w:ascii="Times New Roman" w:eastAsia="Times New Roman" w:hAnsi="Times New Roman" w:cs="Times New Roman"/>
          <w:b/>
          <w:noProof/>
          <w:kern w:val="20"/>
          <w:sz w:val="24"/>
          <w:szCs w:val="28"/>
          <w:lang w:val="en-MY" w:eastAsia="en-MY"/>
        </w:rPr>
        <w:t>CAPSTONE PROJECT 1</w:t>
      </w:r>
    </w:p>
    <w:p w14:paraId="76EC58E6" w14:textId="77777777" w:rsidR="00BE26A8" w:rsidRPr="000F4170" w:rsidRDefault="00BE26A8" w:rsidP="000F4170">
      <w:pPr>
        <w:spacing w:line="360" w:lineRule="auto" w:after="120"/>
        <w:jc w:val="center"/>
        <w:rPr>
          <w:rFonts w:ascii="Times New Roman" w:eastAsia="DengXian" w:hAnsi="Times New Roman" w:cs="Times New Roman"/>
          <w:b/>
          <w:noProof/>
          <w:kern w:val="20"/>
          <w:sz w:val="28"/>
          <w:szCs w:val="28"/>
          <w:lang w:val="en-MY" w:eastAsia="en-MY"/>
        </w:rPr>
      </w:pPr>
      <w:r w:rsidRPr="000F4170">
        <w:rPr>
          <w:rFonts w:ascii="Times New Roman" w:eastAsia="Times New Roman" w:hAnsi="Times New Roman" w:cs="Times New Roman"/>
          <w:b/>
          <w:noProof/>
          <w:kern w:val="20"/>
          <w:sz w:val="24"/>
          <w:szCs w:val="28"/>
          <w:lang w:val="en-MY" w:eastAsia="en-MY"/>
        </w:rPr>
        <w:t>Proposal</w:t>
      </w:r>
    </w:p>
    <w:p w14:paraId="641B790C" w14:textId="77777777" w:rsidR="00BE26A8" w:rsidRPr="00335C63" w:rsidRDefault="00BE26A8" w:rsidP="000F4170">
      <w:pPr>
        <w:spacing w:line="360" w:lineRule="auto" w:after="120"/>
        <w:jc w:val="left"/>
        <w:rPr>
          <w:rFonts w:ascii="Times New Roman" w:eastAsia="DengXian" w:hAnsi="Times New Roman" w:cs="Times New Roman"/>
          <w:b/>
          <w:kern w:val="20"/>
          <w:sz w:val="24"/>
          <w:szCs w:val="24"/>
          <w:lang w:val="en-MY" w:eastAsia="zh-CN"/>
        </w:rPr>
      </w:pPr>
    </w:p>
    <w:p w14:paraId="0CFFA731" w14:textId="77777777" w:rsidR="00BE26A8" w:rsidRPr="000F4170" w:rsidRDefault="00BE26A8" w:rsidP="000F4170">
      <w:pPr>
        <w:spacing w:line="360" w:lineRule="auto" w:after="120"/>
        <w:jc w:val="center"/>
        <w:rPr>
          <w:rFonts w:ascii="Times New Roman" w:eastAsia="DengXian" w:hAnsi="Times New Roman" w:cs="Times New Roman"/>
          <w:bCs/>
          <w:kern w:val="20"/>
          <w:sz w:val="24"/>
          <w:szCs w:val="24"/>
          <w:lang w:val="en-MY" w:eastAsia="zh-CN"/>
        </w:rPr>
      </w:pPr>
      <w:r w:rsidRPr="000F4170">
        <w:rPr>
          <w:rFonts w:ascii="Times New Roman" w:eastAsia="Times New Roman" w:hAnsi="Times New Roman" w:cs="Times New Roman"/>
          <w:b/>
          <w:bCs/>
          <w:kern w:val="20"/>
          <w:sz w:val="24"/>
          <w:szCs w:val="24"/>
          <w:lang w:val="en-MY" w:eastAsia="zh-CN"/>
        </w:rPr>
        <w:t>Project Title</w:t>
      </w:r>
    </w:p>
    <w:p w14:paraId="46BDB082" w14:textId="77777777" w:rsidR="00BE26A8" w:rsidRPr="00335C63" w:rsidRDefault="00BE26A8" w:rsidP="000F4170">
      <w:pPr>
        <w:spacing w:line="360" w:lineRule="auto" w:after="120"/>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kern w:val="20"/>
          <w:sz w:val="24"/>
          <w:szCs w:val="24"/>
          <w:lang w:val="en-MY" w:eastAsia="zh-CN"/>
        </w:rPr>
        <w:t>Machine Learning-Based Spatial-Temporal Analytics for Pest Recurrence and Optimization of Pest Control Operations</w:t>
      </w:r>
    </w:p>
    <w:p w14:paraId="76293D6B" w14:textId="77777777" w:rsidR="00BE26A8" w:rsidRPr="00335C63" w:rsidRDefault="00BE26A8" w:rsidP="000F4170">
      <w:pPr>
        <w:spacing w:line="360" w:lineRule="auto" w:after="120"/>
        <w:jc w:val="left"/>
        <w:rPr>
          <w:rFonts w:ascii="Times New Roman" w:eastAsia="DengXian" w:hAnsi="Times New Roman" w:cs="Times New Roman"/>
          <w:b/>
          <w:bCs/>
          <w:kern w:val="20"/>
          <w:sz w:val="24"/>
          <w:szCs w:val="24"/>
          <w:lang w:val="en-MY" w:eastAsia="zh-CN"/>
        </w:rPr>
      </w:pPr>
    </w:p>
    <w:p w14:paraId="27263C0A" w14:textId="77777777" w:rsidR="00BE26A8" w:rsidRPr="000F4170" w:rsidRDefault="00BE26A8" w:rsidP="000F4170">
      <w:pPr>
        <w:spacing w:line="360" w:lineRule="auto" w:after="120"/>
        <w:jc w:val="center"/>
        <w:rPr>
          <w:rFonts w:ascii="Times New Roman" w:eastAsia="DengXian" w:hAnsi="Times New Roman" w:cs="Times New Roman"/>
          <w:kern w:val="20"/>
          <w:sz w:val="24"/>
          <w:szCs w:val="24"/>
          <w:lang w:val="en-MY" w:eastAsia="zh-CN"/>
        </w:rPr>
      </w:pPr>
      <w:r w:rsidRPr="000F4170">
        <w:rPr>
          <w:rFonts w:ascii="Times New Roman" w:eastAsia="Times New Roman" w:hAnsi="Times New Roman" w:cs="Times New Roman"/>
          <w:b/>
          <w:kern w:val="20"/>
          <w:sz w:val="24"/>
          <w:szCs w:val="24"/>
          <w:lang w:val="en-MY" w:eastAsia="zh-CN"/>
        </w:rPr>
        <w:t>By</w:t>
      </w:r>
    </w:p>
    <w:p w14:paraId="00DA2361" w14:textId="77777777" w:rsidR="00BE26A8" w:rsidRPr="00335C63" w:rsidRDefault="00BE26A8" w:rsidP="000F4170">
      <w:pPr>
        <w:spacing w:line="360" w:lineRule="auto" w:after="120"/>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kern w:val="20"/>
          <w:sz w:val="24"/>
          <w:szCs w:val="24"/>
          <w:lang w:val="en-MY" w:eastAsia="zh-CN"/>
        </w:rPr>
        <w:t>Thevesh A/L Chandran</w:t>
      </w:r>
    </w:p>
    <w:p w14:paraId="4B8BE840" w14:textId="77777777" w:rsidR="00BE26A8" w:rsidRPr="00335C63" w:rsidRDefault="00BE26A8" w:rsidP="000F4170">
      <w:pPr>
        <w:spacing w:line="360" w:lineRule="auto" w:after="120"/>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kern w:val="20"/>
          <w:sz w:val="24"/>
          <w:szCs w:val="24"/>
          <w:lang w:val="en-MY" w:eastAsia="zh-CN"/>
        </w:rPr>
        <w:t>24017717</w:t>
      </w:r>
    </w:p>
    <w:p w14:paraId="5159B8F1" w14:textId="77777777" w:rsidR="00BE26A8" w:rsidRPr="00335C63" w:rsidRDefault="00BE26A8" w:rsidP="000F4170">
      <w:pPr>
        <w:spacing w:line="360" w:lineRule="auto" w:after="120"/>
        <w:jc w:val="left"/>
        <w:rPr>
          <w:rFonts w:ascii="Times New Roman" w:eastAsia="DengXian" w:hAnsi="Times New Roman" w:cs="Times New Roman"/>
          <w:b/>
          <w:bCs/>
          <w:kern w:val="20"/>
          <w:sz w:val="24"/>
          <w:szCs w:val="24"/>
          <w:lang w:val="en-MY" w:eastAsia="zh-CN"/>
        </w:rPr>
      </w:pPr>
    </w:p>
    <w:p w14:paraId="7A18C4BF" w14:textId="77777777" w:rsidR="00BE26A8" w:rsidRPr="000F4170" w:rsidRDefault="00BE26A8" w:rsidP="000F4170">
      <w:pPr>
        <w:spacing w:line="360" w:lineRule="auto" w:after="120"/>
        <w:jc w:val="center"/>
        <w:rPr>
          <w:rFonts w:ascii="Times New Roman" w:eastAsia="Arial" w:hAnsi="Times New Roman" w:cs="Times New Roman"/>
          <w:b/>
          <w:bCs/>
          <w:sz w:val="24"/>
          <w:szCs w:val="24"/>
          <w:lang w:val="en" w:eastAsia="en-GB"/>
        </w:rPr>
      </w:pPr>
      <w:r w:rsidRPr="000F4170">
        <w:rPr>
          <w:rFonts w:ascii="Times New Roman" w:eastAsia="Times New Roman" w:hAnsi="Times New Roman" w:cs="Times New Roman"/>
          <w:b/>
          <w:bCs/>
          <w:sz w:val="24"/>
          <w:szCs w:val="24"/>
          <w:lang w:val="en" w:eastAsia="en-GB"/>
        </w:rPr>
        <w:t>Program Name</w:t>
      </w:r>
    </w:p>
    <w:p w14:paraId="2340D35E" w14:textId="77777777" w:rsidR="00BE26A8" w:rsidRPr="00335C63" w:rsidRDefault="00BE26A8" w:rsidP="000F4170">
      <w:pPr>
        <w:spacing w:line="360" w:lineRule="auto" w:after="120"/>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sz w:val="24"/>
          <w:szCs w:val="24"/>
          <w:lang w:val="en" w:eastAsia="en-GB"/>
        </w:rPr>
        <w:t>Bachelor of Information Systems Honours (Data Analytics)</w:t>
      </w:r>
    </w:p>
    <w:p w14:paraId="08F979EB" w14:textId="77777777" w:rsidR="00BE26A8" w:rsidRPr="00335C63" w:rsidRDefault="00BE26A8" w:rsidP="000F4170">
      <w:pPr>
        <w:spacing w:line="360" w:lineRule="auto" w:after="120"/>
        <w:jc w:val="left"/>
        <w:rPr>
          <w:rFonts w:ascii="Times New Roman" w:eastAsia="DengXian" w:hAnsi="Times New Roman" w:cs="Times New Roman"/>
          <w:b/>
          <w:sz w:val="24"/>
          <w:szCs w:val="24"/>
          <w:lang w:val="en-MY" w:eastAsia="zh-CN"/>
        </w:rPr>
      </w:pPr>
    </w:p>
    <w:p w14:paraId="65C6EBC2" w14:textId="77777777" w:rsidR="00BE26A8" w:rsidRPr="000F4170" w:rsidRDefault="00BE26A8" w:rsidP="000F4170">
      <w:pPr>
        <w:spacing w:line="360" w:lineRule="auto" w:after="120"/>
        <w:jc w:val="center"/>
        <w:rPr>
          <w:rFonts w:ascii="Times New Roman" w:eastAsia="Times New Roman" w:hAnsi="Times New Roman" w:cs="Times New Roman"/>
          <w:b/>
          <w:bCs/>
          <w:sz w:val="24"/>
          <w:szCs w:val="24"/>
          <w:lang w:val="en" w:eastAsia="en-GB"/>
        </w:rPr>
      </w:pPr>
      <w:r w:rsidRPr="000F4170">
        <w:rPr>
          <w:rFonts w:ascii="Times New Roman" w:eastAsia="Times New Roman" w:hAnsi="Times New Roman" w:cs="Times New Roman"/>
          <w:b/>
          <w:bCs/>
          <w:sz w:val="24"/>
          <w:szCs w:val="24"/>
          <w:lang w:val="en" w:eastAsia="en-GB"/>
        </w:rPr>
        <w:t>Supervisor</w:t>
      </w:r>
    </w:p>
    <w:p w14:paraId="1B4F64F2" w14:textId="77777777" w:rsidR="00BE26A8" w:rsidRPr="00AC6BFC" w:rsidRDefault="00BE26A8" w:rsidP="000F4170">
      <w:pPr>
        <w:spacing w:line="360" w:lineRule="auto" w:after="120"/>
        <w:jc w:val="center"/>
        <w:rPr>
          <w:rFonts w:ascii="Times New Roman" w:eastAsia="Times New Roman" w:hAnsi="Times New Roman" w:cs="Times New Roman"/>
          <w:b/>
          <w:bCs/>
          <w:sz w:val="24"/>
          <w:szCs w:val="24"/>
          <w:lang w:val="en" w:eastAsia="en-GB"/>
        </w:rPr>
      </w:pPr>
      <w:r w:rsidRPr="00335C63">
        <w:rPr>
          <w:rFonts w:ascii="Times New Roman" w:hAnsi="Times New Roman" w:cs="Times New Roman" w:eastAsia="Times New Roman"/>
          <w:b/>
          <w:bCs/>
          <w:sz w:val="24"/>
          <w:szCs w:val="24"/>
        </w:rPr>
        <w:t>FARIS SYAHMI SAMIDI</w:t>
      </w:r>
    </w:p>
    <w:p w14:paraId="4FE047DE" w14:textId="77777777" w:rsidR="00BE26A8" w:rsidRDefault="00BE26A8" w:rsidP="000F4170">
      <w:pPr>
        <w:spacing w:line="360" w:lineRule="auto" w:after="120"/>
        <w:jc w:val="left"/>
        <w:rPr>
          <w:rFonts w:ascii="Times New Roman" w:eastAsia="Times New Roman" w:hAnsi="Times New Roman" w:cs="Times New Roman"/>
          <w:sz w:val="24"/>
          <w:szCs w:val="24"/>
          <w:lang w:val="en" w:eastAsia="en-GB"/>
        </w:rPr>
      </w:pPr>
    </w:p>
    <w:p w14:paraId="6A31F313" w14:textId="77777777" w:rsidR="00552BF9" w:rsidRPr="00335C63" w:rsidRDefault="00552BF9" w:rsidP="000F4170">
      <w:pPr>
        <w:spacing w:line="360" w:lineRule="auto" w:after="120"/>
        <w:jc w:val="left"/>
        <w:rPr>
          <w:rFonts w:ascii="Times New Roman" w:eastAsia="Times New Roman" w:hAnsi="Times New Roman" w:cs="Times New Roman"/>
          <w:sz w:val="24"/>
          <w:szCs w:val="24"/>
          <w:lang w:val="en" w:eastAsia="en-GB"/>
        </w:rPr>
      </w:pPr>
    </w:p>
    <w:p w14:paraId="19472188" w14:textId="77777777" w:rsidR="00BE26A8" w:rsidRPr="00335C63" w:rsidRDefault="00BE26A8" w:rsidP="000F4170">
      <w:pPr>
        <w:spacing w:line="360" w:lineRule="auto" w:after="120"/>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Semester: April 2026</w:t>
      </w:r>
    </w:p>
    <w:p w14:paraId="58DE1B06" w14:textId="77777777" w:rsidR="00BE26A8" w:rsidRPr="00335C63" w:rsidRDefault="00BE26A8" w:rsidP="000F4170">
      <w:pPr>
        <w:spacing w:line="360" w:lineRule="auto" w:after="120"/>
        <w:jc w:val="center"/>
        <w:rPr>
          <w:rFonts w:ascii="Times New Roman" w:eastAsia="Arial"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 xml:space="preserve">Date: </w:t>
      </w:r>
      <w:r w:rsidR="00891518">
        <w:rPr>
          <w:rFonts w:ascii="Times New Roman" w:eastAsia="Times New Roman" w:hAnsi="Times New Roman" w:cs="Times New Roman"/>
          <w:noProof/>
          <w:sz w:val="24"/>
          <w:szCs w:val="24"/>
          <w:lang w:val="en-MY" w:eastAsia="en-GB"/>
        </w:rPr>
        <w:t>23 June, 2026</w:t>
      </w:r>
    </w:p>
    <w:p w14:paraId="5BBF8CFF" w14:textId="77777777" w:rsidR="00BE26A8" w:rsidRDefault="00BE26A8" w:rsidP="000F4170">
      <w:pPr>
        <w:spacing w:line="360" w:lineRule="auto" w:after="120"/>
        <w:jc w:val="left"/>
        <w:rPr>
          <w:rFonts w:ascii="Times New Roman" w:eastAsia="Times New Roman" w:hAnsi="Times New Roman" w:cs="Times New Roman"/>
          <w:sz w:val="24"/>
          <w:szCs w:val="24"/>
          <w:lang w:val="en" w:eastAsia="en-GB"/>
        </w:rPr>
      </w:pPr>
    </w:p>
    <w:p w14:paraId="5E90E7FA" w14:textId="77777777" w:rsidR="00552BF9" w:rsidRPr="00335C63" w:rsidRDefault="00552BF9" w:rsidP="000F4170">
      <w:pPr>
        <w:spacing w:line="360" w:lineRule="auto" w:after="120"/>
        <w:jc w:val="left"/>
        <w:rPr>
          <w:rFonts w:ascii="Times New Roman" w:eastAsia="Times New Roman" w:hAnsi="Times New Roman" w:cs="Times New Roman"/>
          <w:sz w:val="24"/>
          <w:szCs w:val="24"/>
          <w:lang w:val="en" w:eastAsia="en-GB"/>
        </w:rPr>
      </w:pPr>
    </w:p>
    <w:p w14:paraId="78205DC0" w14:textId="77777777" w:rsidR="00BE26A8" w:rsidRPr="00335C63" w:rsidRDefault="00BE26A8" w:rsidP="000F4170">
      <w:pPr>
        <w:spacing w:line="360" w:lineRule="auto" w:after="120"/>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b/>
          <w:sz w:val="24"/>
          <w:szCs w:val="24"/>
          <w:lang w:val="en" w:eastAsia="en-GB"/>
        </w:rPr>
        <w:t>School of Computing and Artificial Intelligence</w:t>
      </w:r>
    </w:p>
    <w:p w14:paraId="0CB9793A" w14:textId="77777777" w:rsidR="00BE26A8" w:rsidRPr="00335C63" w:rsidRDefault="00BE26A8" w:rsidP="000F4170">
      <w:pPr>
        <w:spacing w:line="360" w:lineRule="auto" w:after="120"/>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b/>
          <w:sz w:val="24"/>
          <w:szCs w:val="24"/>
          <w:lang w:val="en" w:eastAsia="en-GB"/>
        </w:rPr>
        <w:t>Faculty of Engineering and Technology</w:t>
      </w:r>
    </w:p>
    <w:p w14:paraId="426C5DE4" w14:textId="77777777" w:rsidR="00E9478E" w:rsidRPr="00335C63" w:rsidRDefault="00BE26A8" w:rsidP="000F4170">
      <w:pPr>
        <w:spacing w:line="360" w:lineRule="auto" w:after="120"/>
        <w:jc w:val="center"/>
        <w:rPr>
          <w:rFonts w:ascii="Times New Roman" w:eastAsia="Times New Roman" w:hAnsi="Times New Roman" w:cs="Times New Roman"/>
          <w:sz w:val="24"/>
          <w:szCs w:val="24"/>
          <w:lang w:val="en" w:eastAsia="en-GB"/>
        </w:rPr>
        <w:sectPr w:rsidR="00E9478E" w:rsidRPr="00335C63" w:rsidSect="00E9478E">
          <w:footerReference w:type="default" r:id="rId8"/>
          <w:headerReference w:type="default" r:id="rId12"/>
          <w:pgSz w:w="11906" w:h="16838" w:code="9"/>
          <w:pgMar w:top="1440" w:right="1440" w:bottom="1440" w:left="1440" w:header="720" w:footer="720" w:gutter="0"/>
          <w:cols w:space="720"/>
          <w:docGrid w:linePitch="360"/>
        </w:sectPr>
      </w:pPr>
      <w:r w:rsidRPr="00335C63">
        <w:rPr>
          <w:rFonts w:ascii="Times New Roman" w:eastAsia="Times New Roman" w:hAnsi="Times New Roman" w:cs="Times New Roman"/>
          <w:b/>
          <w:sz w:val="24"/>
          <w:szCs w:val="24"/>
          <w:lang w:val="en" w:eastAsia="en-GB"/>
        </w:rPr>
        <w:t>Sunway Universit</w:t>
      </w:r>
      <w:r w:rsidR="00E9478E" w:rsidRPr="00335C63">
        <w:rPr>
          <w:rFonts w:ascii="Times New Roman" w:eastAsia="Times New Roman" w:hAnsi="Times New Roman" w:cs="Times New Roman"/>
          <w:b/>
          <w:sz w:val="24"/>
          <w:szCs w:val="24"/>
          <w:lang w:val="en" w:eastAsia="en-GB"/>
        </w:rPr>
        <w:t>y</w:t>
      </w:r>
    </w:p>
    <w:p w14:paraId="525ADA08" w14:textId="77777777" w:rsidR="0084730D" w:rsidRPr="000F4170" w:rsidRDefault="00357319" w:rsidP="000F4170">
      <w:pPr>
        <w:pStyle w:val="Heading1"/>
        <w:spacing w:before="240" w:line="360" w:lineRule="auto" w:after="120"/>
        <w:jc w:val="left"/>
        <w:rPr>
          <w:rFonts w:ascii="Times New Roman" w:hAnsi="Times New Roman" w:cs="Times New Roman"/>
          <w:sz w:val="28"/>
        </w:rPr>
      </w:pPr>
      <w:r w:rsidRPr="000F4170">
        <w:rPr>
          <w:rFonts w:ascii="Times New Roman" w:hAnsi="Times New Roman" w:cs="Times New Roman" w:eastAsia="Times New Roman"/>
          <w:b/>
          <w:color w:val="000000"/>
          <w:sz w:val="24"/>
        </w:rPr>
        <w:lastRenderedPageBreak/>
        <w:t>Abstract</w:t>
      </w:r>
    </w:p>
    <w:p w14:paraId="026B3575" w14:textId="77777777" w:rsidR="00891518"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This Capstone Project 1 (CP1) proposal presents the planning and design phase for </w:t>
      </w:r>
      <w:r w:rsidR="009656FF" w:rsidRPr="00335C63">
        <w:rPr>
          <w:rFonts w:ascii="Times New Roman" w:hAnsi="Times New Roman" w:cs="Times New Roman" w:eastAsia="Times New Roman"/>
          <w:sz w:val="24"/>
          <w:szCs w:val="24"/>
        </w:rPr>
        <w:t xml:space="preserve">the upcoming </w:t>
      </w:r>
      <w:r w:rsidRPr="00335C63">
        <w:rPr>
          <w:rFonts w:ascii="Times New Roman" w:hAnsi="Times New Roman" w:cs="Times New Roman" w:eastAsia="Times New Roman"/>
          <w:sz w:val="24"/>
          <w:szCs w:val="24"/>
        </w:rPr>
        <w:t>Capstone Project 2 (CP2) implementation.</w:t>
      </w:r>
      <w:r w:rsidR="009656FF" w:rsidRPr="00335C63">
        <w:rPr>
          <w:rFonts w:ascii="Times New Roman" w:hAnsi="Times New Roman" w:cs="Times New Roman" w:eastAsia="Times New Roman"/>
          <w:sz w:val="24"/>
          <w:szCs w:val="24"/>
        </w:rPr>
        <w:t xml:space="preserve"> The company that I have chosen to implement this project is </w:t>
      </w:r>
      <w:proofErr w:type="spellStart"/>
      <w:r w:rsidRPr="00335C63">
        <w:rPr>
          <w:rFonts w:ascii="Times New Roman" w:hAnsi="Times New Roman" w:cs="Times New Roman" w:eastAsia="Times New Roman"/>
          <w:sz w:val="24"/>
          <w:szCs w:val="24"/>
        </w:rPr>
        <w:t>Nomobug</w:t>
      </w:r>
      <w:proofErr w:type="spellEnd"/>
      <w:r w:rsidRPr="00335C63">
        <w:rPr>
          <w:rFonts w:ascii="Times New Roman" w:hAnsi="Times New Roman" w:cs="Times New Roman" w:eastAsia="Times New Roman"/>
          <w:sz w:val="24"/>
          <w:szCs w:val="24"/>
        </w:rPr>
        <w:t xml:space="preserve"> Pest Control Services</w:t>
      </w:r>
      <w:r w:rsidR="009656FF" w:rsidRPr="00335C63">
        <w:rPr>
          <w:rFonts w:ascii="Times New Roman" w:hAnsi="Times New Roman" w:cs="Times New Roman" w:eastAsia="Times New Roman"/>
          <w:sz w:val="24"/>
          <w:szCs w:val="24"/>
        </w:rPr>
        <w:t xml:space="preserve"> because I have been working </w:t>
      </w:r>
      <w:r w:rsidR="00106A8F" w:rsidRPr="00335C63">
        <w:rPr>
          <w:rFonts w:ascii="Times New Roman" w:hAnsi="Times New Roman" w:cs="Times New Roman" w:eastAsia="Times New Roman"/>
          <w:sz w:val="24"/>
          <w:szCs w:val="24"/>
        </w:rPr>
        <w:t>with</w:t>
      </w:r>
      <w:r w:rsidR="009656FF" w:rsidRPr="00335C63">
        <w:rPr>
          <w:rFonts w:ascii="Times New Roman" w:hAnsi="Times New Roman" w:cs="Times New Roman" w:eastAsia="Times New Roman"/>
          <w:sz w:val="24"/>
          <w:szCs w:val="24"/>
        </w:rPr>
        <w:t xml:space="preserve"> them as a part-time admin and I have managed to identify many gaps in their current workflow</w:t>
      </w:r>
      <w:r w:rsidR="00106A8F" w:rsidRPr="00335C63">
        <w:rPr>
          <w:rFonts w:ascii="Times New Roman" w:hAnsi="Times New Roman" w:cs="Times New Roman" w:eastAsia="Times New Roman"/>
          <w:sz w:val="24"/>
          <w:szCs w:val="24"/>
        </w:rPr>
        <w:t>. C</w:t>
      </w:r>
      <w:r w:rsidRPr="00335C63">
        <w:rPr>
          <w:rFonts w:ascii="Times New Roman" w:hAnsi="Times New Roman" w:cs="Times New Roman" w:eastAsia="Times New Roman"/>
          <w:sz w:val="24"/>
          <w:szCs w:val="24"/>
        </w:rPr>
        <w:t xml:space="preserve">urrently </w:t>
      </w:r>
      <w:r w:rsidR="00106A8F" w:rsidRPr="00335C63">
        <w:rPr>
          <w:rFonts w:ascii="Times New Roman" w:hAnsi="Times New Roman" w:cs="Times New Roman" w:eastAsia="Times New Roman"/>
          <w:sz w:val="24"/>
          <w:szCs w:val="24"/>
        </w:rPr>
        <w:t xml:space="preserve">the company </w:t>
      </w:r>
      <w:r w:rsidRPr="00335C63">
        <w:rPr>
          <w:rFonts w:ascii="Times New Roman" w:hAnsi="Times New Roman" w:cs="Times New Roman" w:eastAsia="Times New Roman"/>
          <w:sz w:val="24"/>
          <w:szCs w:val="24"/>
        </w:rPr>
        <w:t xml:space="preserve">records valuable operational data in Google Sheets and Google Calendar, including leads, sales, services, warranty claims, refunds, payments,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records, technician assignments, and service scheduling. However, the data is distributed across separate files and is mainly used for recording rather than business intelligence. This limits management's ability to identify high-risk service areas, recurring pest problems, weather-associated service risks, treatment difficulty, technician review indicators, and effective upsell opportunities.</w:t>
      </w:r>
    </w:p>
    <w:p w14:paraId="65EE8718" w14:textId="77777777" w:rsidR="00891518" w:rsidRDefault="00891518" w:rsidP="000F4170">
      <w:pPr>
        <w:spacing w:line="360" w:lineRule="auto" w:after="120"/>
        <w:jc w:val="left"/>
        <w:rPr>
          <w:rFonts w:ascii="Times New Roman" w:hAnsi="Times New Roman" w:cs="Times New Roman"/>
          <w:sz w:val="24"/>
          <w:szCs w:val="24"/>
        </w:rPr>
      </w:pPr>
    </w:p>
    <w:p w14:paraId="0AC18967" w14:textId="77777777" w:rsidR="00891518" w:rsidRPr="003E4481" w:rsidRDefault="00357319" w:rsidP="000F4170">
      <w:pPr>
        <w:spacing w:line="360" w:lineRule="auto" w:after="120"/>
        <w:jc w:val="both"/>
        <w:rPr>
          <w:rFonts w:ascii="Times New Roman" w:hAnsi="Times New Roman" w:cs="Times New Roman"/>
          <w:sz w:val="28"/>
          <w:szCs w:val="28"/>
        </w:rPr>
      </w:pPr>
      <w:r w:rsidRPr="003E4481">
        <w:rPr>
          <w:rFonts w:ascii="Times New Roman" w:hAnsi="Times New Roman" w:cs="Times New Roman" w:eastAsia="Times New Roman"/>
          <w:sz w:val="24"/>
          <w:szCs w:val="24"/>
        </w:rPr>
        <w:t>This project proposes a web-based decision-support dashboard supported by a data engineering pipeline. The planned CP2 system will extract data from Google Sheets, Google Calendar, CSV/Excel files, and weather APIs; load raw records into BigQuery; transform and test the data using dbt Core; orchestrate scheduled runs through Apache Airflow; and visualise dashboard-ready marts through Apache Superset. This shifts the project from a simple dashboard into an end-to-end analytics engineering workflow.</w:t>
      </w:r>
    </w:p>
    <w:p w14:paraId="3DC0EB31" w14:textId="77777777" w:rsidR="00891518" w:rsidRDefault="00891518" w:rsidP="000F4170">
      <w:pPr>
        <w:spacing w:line="360" w:lineRule="auto" w:after="120"/>
        <w:jc w:val="left"/>
        <w:rPr>
          <w:rFonts w:ascii="Times New Roman" w:hAnsi="Times New Roman" w:cs="Times New Roman"/>
          <w:sz w:val="24"/>
          <w:szCs w:val="24"/>
        </w:rPr>
      </w:pPr>
    </w:p>
    <w:p w14:paraId="2D0B882D" w14:textId="77777777" w:rsidR="0084730D"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project deliberately avoids over-complex machine learning because the available warranty dataset is expected to contain approximately 200+ records. Instead, it prioritizes explainable spatial-temporal analytics, careful weather association analysis, privacy-conscious reporting, recommendation logging, and prescriptive business rules that are suitable for a real SME environment. Future enhancement can add a local Ollama-based AI recommendation service to generate plain-language suggestions without external API cost. The expected CP2 outcome is a company-usable analytics system that helps management improve service planning, reduce repeat-problem blind spots, monitor warranty and refund patterns, and make more data-driven upsell and operational decisions.</w:t>
      </w:r>
    </w:p>
    <w:p w14:paraId="0086B1D4" w14:textId="77777777" w:rsidR="003E4481" w:rsidRPr="00335C63" w:rsidRDefault="003E4481" w:rsidP="000F4170">
      <w:pPr>
        <w:spacing w:line="360" w:lineRule="auto" w:after="120"/>
        <w:jc w:val="left"/>
        <w:rPr>
          <w:rFonts w:ascii="Times New Roman" w:hAnsi="Times New Roman" w:cs="Times New Roman"/>
          <w:sz w:val="24"/>
          <w:szCs w:val="24"/>
        </w:rPr>
      </w:pPr>
    </w:p>
    <w:p w14:paraId="2E73E3DD"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Contents</w:t>
      </w:r>
    </w:p>
    <w:p w14:paraId="2EF973FF"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Abstract</w:t>
      </w:r>
    </w:p>
    <w:p w14:paraId="32E3C7E4"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1: Introduction</w:t>
      </w:r>
    </w:p>
    <w:p w14:paraId="67784FE4"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2: Literature Review</w:t>
      </w:r>
    </w:p>
    <w:p w14:paraId="0D9DC469"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3: Methodology</w:t>
      </w:r>
    </w:p>
    <w:p w14:paraId="788496CE"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4: Work Plan and Timeline</w:t>
      </w:r>
    </w:p>
    <w:p w14:paraId="119A528D"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References</w:t>
      </w:r>
    </w:p>
    <w:p w14:paraId="685DAC7C" w14:textId="77777777" w:rsidR="0084730D" w:rsidRPr="00335C63" w:rsidRDefault="00357319" w:rsidP="000F4170">
      <w:pPr>
        <w:keepNext w:val="0"/>
        <w:pageBreakBefore w:val="0"/>
        <w:spacing w:line="360" w:lineRule="auto" w:after="120"/>
        <w:jc w:val="both"/>
        <w:rPr>
          <w:rFonts w:ascii="Times New Roman" w:hAnsi="Times New Roman" w:cs="Times New Roman"/>
          <w:sz w:val="24"/>
          <w:szCs w:val="24"/>
        </w:rPr>
      </w:pPr>
      <w:r>
        <w:rPr>
          <w:rFonts w:ascii="Times New Roman" w:hAnsi="Times New Roman" w:eastAsia="Times New Roman"/>
          <w:sz w:val="24"/>
        </w:rPr>
        <w:t>Appendix A: Data Sources and Planned Use</w:t>
      </w:r>
    </w:p>
    <w:p w14:paraId="6CAEF2E7" w14:textId="77777777" w:rsidR="0084730D" w:rsidRPr="00335C63" w:rsidRDefault="00357319" w:rsidP="000F4170">
      <w:pPr>
        <w:keepNext w:val="0"/>
        <w:pageBreakBefore w:val="0"/>
        <w:spacing w:line="360" w:lineRule="auto" w:after="120"/>
        <w:jc w:val="both"/>
        <w:rPr>
          <w:rFonts w:ascii="Times New Roman" w:hAnsi="Times New Roman" w:cs="Times New Roman"/>
          <w:sz w:val="24"/>
          <w:szCs w:val="24"/>
        </w:rPr>
      </w:pPr>
      <w:r>
        <w:rPr>
          <w:rFonts w:ascii="Times New Roman" w:hAnsi="Times New Roman" w:eastAsia="Times New Roman"/>
          <w:sz w:val="24"/>
        </w:rPr>
        <w:t>Appendix B: Planned Dashboard Outputs</w:t>
      </w:r>
    </w:p>
    <w:p w14:paraId="0EA96A4D" w14:textId="77777777" w:rsidR="0084730D" w:rsidRPr="00335C63" w:rsidRDefault="0084730D" w:rsidP="000F4170">
      <w:pPr>
        <w:spacing w:line="360" w:lineRule="auto" w:after="120"/>
        <w:jc w:val="left"/>
        <w:rPr>
          <w:rFonts w:ascii="Times New Roman" w:hAnsi="Times New Roman" w:cs="Times New Roman"/>
          <w:sz w:val="24"/>
          <w:szCs w:val="24"/>
        </w:rPr>
      </w:pPr>
    </w:p>
    <w:p w14:paraId="145FD27C" w14:textId="77777777" w:rsidR="0084730D" w:rsidRPr="00335C63" w:rsidRDefault="00357319" w:rsidP="00A017C9">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Chapter 1: Introduction</w:t>
      </w:r>
    </w:p>
    <w:p w14:paraId="3B1A8F9A"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1.1 Background Study</w:t>
      </w:r>
    </w:p>
    <w:p w14:paraId="0503D566" w14:textId="77777777" w:rsidR="008D6A1A" w:rsidRDefault="00357319" w:rsidP="008D6A1A">
      <w:pPr>
        <w:spacing w:line="360" w:lineRule="auto" w:after="120"/>
        <w:jc w:val="both"/>
        <w:rPr>
          <w:rFonts w:ascii="Times New Roman" w:hAnsi="Times New Roman" w:cs="Times New Roman"/>
          <w:sz w:val="24"/>
          <w:szCs w:val="24"/>
        </w:rPr>
      </w:pPr>
      <w:proofErr w:type="spellStart"/>
      <w:proofErr w:type="spellEnd"/>
      <w:r>
        <w:rPr>
          <w:rFonts w:ascii="Times New Roman" w:hAnsi="Times New Roman" w:eastAsia="Times New Roman"/>
          <w:sz w:val="24"/>
        </w:rPr>
        <w:t>Pest control service companies depend heavily on operational data: customer enquiries, confirmed bookings, pest type, premise type, service date, technician or team assignment, payment status, warranty claims, refund records, and follow-up actions. For small and medium-sized enterprises (SMEs), these records are often maintained in spreadsheets because spreadsheets are flexible, familiar, and low-cost. However, as data volume grows, spreadsheet-based workflows become difficult to analyse across business functions, which is why business intelligence is often recommended for converting scattered operational data into management insight (Ragazou et al., 2023; Gurcan et al., 2023).</w:t>
      </w:r>
    </w:p>
    <w:p w14:paraId="7F1E6458" w14:textId="77777777" w:rsidR="008D6A1A" w:rsidRDefault="008D6A1A" w:rsidP="008D6A1A">
      <w:pPr>
        <w:spacing w:line="360" w:lineRule="auto" w:after="120"/>
        <w:jc w:val="left"/>
        <w:rPr>
          <w:rFonts w:ascii="Times New Roman" w:hAnsi="Times New Roman" w:cs="Times New Roman"/>
          <w:sz w:val="24"/>
          <w:szCs w:val="24"/>
        </w:rPr>
      </w:pPr>
    </w:p>
    <w:p w14:paraId="4BFC904F" w14:textId="77777777" w:rsidR="0084730D" w:rsidRDefault="00357319" w:rsidP="008D6A1A">
      <w:pPr>
        <w:spacing w:line="360" w:lineRule="auto" w:after="120"/>
        <w:jc w:val="both"/>
        <w:rPr>
          <w:rFonts w:ascii="Times New Roman" w:hAnsi="Times New Roman" w:cs="Times New Roman"/>
          <w:sz w:val="24"/>
          <w:szCs w:val="24"/>
        </w:rPr>
      </w:pPr>
      <w:proofErr w:type="spellStart"/>
      <w:r w:rsidRPr="00335C63">
        <w:rPr>
          <w:rFonts w:ascii="Times New Roman" w:hAnsi="Times New Roman" w:cs="Times New Roman" w:eastAsia="Times New Roman"/>
          <w:sz w:val="24"/>
          <w:szCs w:val="24"/>
        </w:rPr>
        <w:t>Nomobug</w:t>
      </w:r>
      <w:proofErr w:type="spellEnd"/>
      <w:r w:rsidRPr="00335C63">
        <w:rPr>
          <w:rFonts w:ascii="Times New Roman" w:hAnsi="Times New Roman" w:cs="Times New Roman" w:eastAsia="Times New Roman"/>
          <w:sz w:val="24"/>
          <w:szCs w:val="24"/>
        </w:rPr>
        <w:t xml:space="preserve"> Pest Control Services is a pest control SME serving residential and commercial customers across Klang Valley and surrounding areas. The company already has multiple operational data sources, including prospect tracking, sales records, payment received records, payment links, warranty claims, refunds, upsell records, and Google Calendar scheduling. These sources contain enough information to support better management decisions, but they are not currently integrated into a structured analytics platform.</w:t>
      </w:r>
    </w:p>
    <w:p w14:paraId="333908C8" w14:textId="77777777" w:rsidR="008D6A1A" w:rsidRPr="00335C63" w:rsidRDefault="008D6A1A" w:rsidP="008D6A1A">
      <w:pPr>
        <w:spacing w:line="360" w:lineRule="auto" w:after="120"/>
        <w:jc w:val="left"/>
        <w:rPr>
          <w:rFonts w:ascii="Times New Roman" w:hAnsi="Times New Roman" w:cs="Times New Roman"/>
          <w:sz w:val="24"/>
          <w:szCs w:val="24"/>
        </w:rPr>
      </w:pPr>
    </w:p>
    <w:p w14:paraId="2E12B195" w14:textId="77777777" w:rsidR="0084730D" w:rsidRDefault="00357319" w:rsidP="008D6A1A">
      <w:pPr>
        <w:spacing w:line="360" w:lineRule="auto" w:after="120"/>
        <w:jc w:val="both"/>
        <w:rPr>
          <w:rFonts w:ascii="Times New Roman" w:hAnsi="Times New Roman" w:cs="Times New Roman"/>
          <w:sz w:val="24"/>
          <w:szCs w:val="24"/>
        </w:rPr>
      </w:pPr>
      <w:proofErr w:type="gramStart"/>
      <w:proofErr w:type="gramEnd"/>
      <w:r>
        <w:rPr>
          <w:rFonts w:ascii="Times New Roman" w:hAnsi="Times New Roman" w:eastAsia="Times New Roman"/>
          <w:sz w:val="24"/>
        </w:rPr>
        <w:t>Weather and environmental context are also relevant to the pest control domain. Recent pest and urban ecology studies show that rainfall, flooding, temperature, climate warming, and urban conditions may be associated with pest behaviour or public pest reports, although these relationships are affected by many confounding factors (Hiscox et al., 2025; Richardson et al., 2025; Brimblecombe et al., 2023). Therefore, this project will not claim that weather directly causes pest activity or warranty claims. Instead, it will treat weather data as an associated risk indicator that can help management identify areas requiring closer monitoring.</w:t>
      </w:r>
    </w:p>
    <w:p w14:paraId="1E335B33" w14:textId="77777777" w:rsidR="008D6A1A" w:rsidRPr="00335C63" w:rsidRDefault="008D6A1A" w:rsidP="008D6A1A">
      <w:pPr>
        <w:spacing w:line="360" w:lineRule="auto" w:after="120"/>
        <w:jc w:val="left"/>
        <w:rPr>
          <w:rFonts w:ascii="Times New Roman" w:hAnsi="Times New Roman" w:cs="Times New Roman"/>
          <w:sz w:val="24"/>
          <w:szCs w:val="24"/>
        </w:rPr>
      </w:pPr>
    </w:p>
    <w:p w14:paraId="333E849A" w14:textId="77777777" w:rsidR="0084730D" w:rsidRPr="003E4481" w:rsidRDefault="00357319" w:rsidP="008D6A1A">
      <w:pPr>
        <w:spacing w:line="360" w:lineRule="auto" w:after="120"/>
        <w:jc w:val="both"/>
        <w:rPr>
          <w:rFonts w:ascii="Times New Roman" w:hAnsi="Times New Roman" w:cs="Times New Roman"/>
          <w:sz w:val="28"/>
          <w:szCs w:val="28"/>
        </w:rPr>
      </w:pPr>
      <w:r>
        <w:rPr>
          <w:rFonts w:ascii="Times New Roman" w:hAnsi="Times New Roman" w:eastAsia="Times New Roman"/>
          <w:sz w:val="24"/>
        </w:rPr>
        <w:t>The proposed system is therefore a web-based analytics and decision-support dashboard built on a governed data engineering pipeline. Digital dashboard literature highlights that dashboards are most useful when they combine reliable data, clear visual design, and action-oriented communication (Schulze et al., 2023), while data quality research shows that users need visibility into completeness and reliability before trusting analytical outputs (Blacketer et al., 2021; Fu et al., 2024). During CP2, the system will process operational data from Google Sheets and Google Calendar, enrich service records with weather and location features, store raw and transformed outputs in BigQuery, use dbt Core for warehouse transformations and data tests, use Apache Airflow for orchestration, and present insights through Apache Superset dashboards. The system is intended to support management decision-making, not replace the company's existing workflow.</w:t>
      </w:r>
    </w:p>
    <w:p w14:paraId="0071CFF5"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1.2 Problem Statement</w:t>
      </w:r>
    </w:p>
    <w:p w14:paraId="29438C79" w14:textId="77777777" w:rsidR="0084730D" w:rsidRPr="00335C63" w:rsidRDefault="00357319" w:rsidP="008D6A1A">
      <w:pPr>
        <w:spacing w:line="360" w:lineRule="auto" w:after="120"/>
        <w:jc w:val="both"/>
        <w:rPr>
          <w:rFonts w:ascii="Times New Roman" w:hAnsi="Times New Roman" w:cs="Times New Roman"/>
          <w:sz w:val="24"/>
          <w:szCs w:val="24"/>
        </w:rPr>
      </w:pPr>
      <w:proofErr w:type="gramStart"/>
      <w:proofErr w:type="gramEnd"/>
      <w:r>
        <w:rPr>
          <w:rFonts w:ascii="Times New Roman" w:hAnsi="Times New Roman" w:eastAsia="Times New Roman"/>
          <w:sz w:val="24"/>
        </w:rPr>
        <w:t>Nomobug has useful data, but the data is fragmented and not fully used for decision-making. This is a common challenge in SME analytics, where operational records may exist but are not yet organised into a trusted decision-support workflow (Ragazou et al., 2023; Fu et al., 2024). Management must manually compare separate sheets to understand warranty trends, refund causes, technician review signals, upsell outcomes, and area-based repeat problems. This makes it difficult to answer operational questions quickly and consistently.</w:t>
      </w:r>
    </w:p>
    <w:p w14:paraId="1F70C6B7"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Marketing performance is measured mainly by lead source or campaign volume, not by customer quality, payment completion, refund risk, or repeat purchase behaviour.</w:t>
      </w:r>
    </w:p>
    <w:p w14:paraId="448427C5"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Warranty claims, refunds, and complimentary service records are not consistently linked with original service data, pest type, technician, area, and weather context.</w:t>
      </w:r>
    </w:p>
    <w:p w14:paraId="1CF68520"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Treatment difficulty is not measured systematically, so areas with high repeat-problem rate, refund rate, or extra-session demand are not visible in one dashboard.</w:t>
      </w:r>
    </w:p>
    <w:p w14:paraId="385DE29C"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Pest recurrence timing is not analysed, making it difficult to know when follow-up should happen after treatment.</w:t>
      </w:r>
    </w:p>
    <w:p w14:paraId="04CB472D"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Weather and flood indicators are not connected to service dates, even though rainfall and humidity may be useful risk indicators for planning.</w:t>
      </w:r>
    </w:p>
    <w:p w14:paraId="05764E49"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Upsell performance is difficult to evaluate because some records show package uptake but not rejected or no-response offers.</w:t>
      </w:r>
    </w:p>
    <w:p w14:paraId="26A5FE31"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Management lacks a single browser-based dashboard that summarises service quality, scheduling, financial, warranty, and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patterns by day, week, and month.</w:t>
      </w:r>
    </w:p>
    <w:p w14:paraId="49157611" w14:textId="77777777" w:rsidR="00BB18A2" w:rsidRPr="003E4481" w:rsidRDefault="00000000">
      <w:pPr>
        <w:pStyle w:val="ListBullet"/>
        <w:spacing w:line="360" w:lineRule="auto" w:after="120"/>
        <w:jc w:val="both"/>
        <w:rPr>
          <w:rFonts w:ascii="Times New Roman" w:hAnsi="Times New Roman" w:cs="Times New Roman"/>
          <w:sz w:val="24"/>
          <w:szCs w:val="24"/>
        </w:rPr>
      </w:pPr>
      <w:r w:rsidRPr="003E4481">
        <w:rPr>
          <w:rFonts w:ascii="Times New Roman" w:hAnsi="Times New Roman" w:cs="Times New Roman" w:eastAsia="Times New Roman"/>
          <w:sz w:val="24"/>
          <w:szCs w:val="24"/>
        </w:rPr>
        <w:t>There is no automated and monitored data pipeline that can extract, validate, transform, test, and refresh these records into trusted dashboard-ready tables.</w:t>
      </w:r>
    </w:p>
    <w:p w14:paraId="575F42F7"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1.3 Project Aim</w:t>
      </w:r>
    </w:p>
    <w:p w14:paraId="7C98E0EF"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aim of this CP1 proposal is to design a weather-aware pest control decision-support dashboard that will be developed in CP2. The planned system will transform Nomobug's Google Sheets, Google Calendar, service, warranty, refund, payment, and upsell records into actionable business intelligence for service quality, treatment difficulty, recurrence monitoring, </w:t>
      </w:r>
      <w:r w:rsidR="0019763A">
        <w:rPr>
          <w:rFonts w:ascii="Times New Roman" w:hAnsi="Times New Roman" w:cs="Times New Roman" w:eastAsia="Times New Roman"/>
          <w:sz w:val="24"/>
          <w:szCs w:val="24"/>
        </w:rPr>
        <w:tab/>
      </w:r>
      <w:r w:rsidRPr="00335C63">
        <w:rPr>
          <w:rFonts w:ascii="Times New Roman" w:hAnsi="Times New Roman" w:cs="Times New Roman" w:eastAsia="Times New Roman"/>
          <w:sz w:val="24"/>
          <w:szCs w:val="24"/>
        </w:rPr>
        <w:t xml:space="preserve"> planning, and upsell strategy.</w:t>
      </w:r>
    </w:p>
    <w:p w14:paraId="0FFA1D8C"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1.4 Project Objectives</w:t>
      </w:r>
    </w:p>
    <w:p w14:paraId="094C4CEB"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To review existing business intelligence, pest decision-support, weather-risk, spatial hotspot, and explainable analytics methods relevant to pest-control SME operations.</w:t>
      </w:r>
    </w:p>
    <w:p w14:paraId="4F2F8AAB"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To design a weather-aware analytics architecture that integrates Nomobug Google Sheets, Google Calendar, service records, warranty claims, refunds, payments, upsell records, and external weather data.</w:t>
      </w:r>
    </w:p>
    <w:p w14:paraId="6DE79DE8" w14:textId="77777777" w:rsidR="00984EB3" w:rsidRPr="003E4481" w:rsidRDefault="003C0C08" w:rsidP="008D6A1A">
      <w:pPr>
        <w:pStyle w:val="ListNumber"/>
        <w:spacing w:line="360" w:lineRule="auto" w:after="120"/>
        <w:jc w:val="both"/>
        <w:rPr>
          <w:rFonts w:ascii="Times New Roman" w:hAnsi="Times New Roman" w:cs="Times New Roman"/>
          <w:sz w:val="28"/>
          <w:szCs w:val="28"/>
        </w:rPr>
      </w:pPr>
      <w:r>
        <w:rPr>
          <w:rFonts w:ascii="Times New Roman" w:hAnsi="Times New Roman" w:eastAsia="Times New Roman"/>
          <w:sz w:val="24"/>
        </w:rPr>
        <w:t>To develop, in CP2, an Airflow-orchestrated ELT prototype using Python, BigQuery, dbt Core, flexible data contracts, and data quality checks, with the exact source fields refined after final Google Sheet and Calendar data profiling.</w:t>
      </w:r>
    </w:p>
    <w:p w14:paraId="69A1BAAD"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proofErr w:type="gramStart"/>
      <w:proofErr w:type="gramEnd"/>
      <w:r>
        <w:rPr>
          <w:rFonts w:ascii="Times New Roman" w:hAnsi="Times New Roman" w:eastAsia="Times New Roman"/>
          <w:sz w:val="24"/>
        </w:rPr>
        <w:t>To implement dashboard-ready descriptive and diagnostic analytics, with selected predictive or prescriptive indicators such as treatment difficulty, warranty review factors, recurrence windows, hotspot detection, scheduling capacity, and upsell package fit where the available data is sufficient.</w:t>
      </w:r>
    </w:p>
    <w:p w14:paraId="7C83602D"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To evaluate the proposed dashboard in CP2 using data quality checks, dashboard usability feedback, insight usefulness, and the reliability of selected analytics outputs.</w:t>
      </w:r>
    </w:p>
    <w:p w14:paraId="570D9CA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1.5 Scope and Limitations</w:t>
      </w:r>
    </w:p>
    <w:tbl>
      <w:tblPr>
        <w:tblStyle w:val="TableGrid"/>
        <w:tblW w:w="0" w:type="auto"/>
        <w:jc w:val="center"/>
        <w:tblLook w:val="04A0" w:firstRow="1" w:lastRow="0" w:firstColumn="1" w:lastColumn="0" w:noHBand="0" w:noVBand="1"/>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710"/>
        <w:gridCol w:w="4306"/>
      </w:tblGrid>
      <w:tr w:rsidR="0084730D" w:rsidRPr="00335C63" w14:paraId="019F7B12" w14:textId="77777777" w:rsidTr="00CD7B49">
        <w:trPr>
          <w:cantSplit/>
          <w:tblHeader/>
          <w:jc w:val="center"/>
        </w:trPr>
        <w:tc>
          <w:tcPr>
            <w:tcW w:w="0" w:type="auto"/>
            <w:shd w:val="clear" w:color="auto" w:fill="E8F1FA"/>
            <w:tcMar>
              <w:top w:w="90" w:type="dxa"/>
              <w:left w:w="90" w:type="dxa"/>
              <w:bottom w:w="90" w:type="dxa"/>
              <w:right w:w="90" w:type="dxa"/>
            </w:tcMar>
            <w:vAlign w:val="center"/>
            <w:shd w:fill="DCEAF7"/>
          </w:tcPr>
          <w:p w14:paraId="40407C4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In Scope</w:t>
            </w:r>
          </w:p>
        </w:tc>
        <w:tc>
          <w:tcPr>
            <w:tcW w:w="0" w:type="auto"/>
            <w:shd w:val="clear" w:color="auto" w:fill="E8F1FA"/>
            <w:tcMar>
              <w:top w:w="90" w:type="dxa"/>
              <w:left w:w="90" w:type="dxa"/>
              <w:bottom w:w="90" w:type="dxa"/>
              <w:right w:w="90" w:type="dxa"/>
            </w:tcMar>
            <w:vAlign w:val="center"/>
            <w:shd w:fill="DCEAF7"/>
          </w:tcPr>
          <w:p w14:paraId="04EC8B0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Out of Scope / Limitation</w:t>
            </w:r>
          </w:p>
        </w:tc>
      </w:tr>
      <w:tr w:rsidR="0084730D" w:rsidRPr="00335C63" w14:paraId="0400E16F" w14:textId="77777777" w:rsidTr="00CD7B49">
        <w:trPr>
          <w:cantSplit/>
          <w:jc w:val="center"/>
        </w:trPr>
        <w:tc>
          <w:tcPr>
            <w:tcW w:w="0" w:type="auto"/>
            <w:tcMar>
              <w:top w:w="90" w:type="dxa"/>
              <w:left w:w="90" w:type="dxa"/>
              <w:bottom w:w="90" w:type="dxa"/>
              <w:right w:w="90" w:type="dxa"/>
            </w:tcMar>
            <w:vAlign w:val="center"/>
          </w:tcPr>
          <w:p w14:paraId="5E4112F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Data integration from company sheets, calendar, and uploaded files</w:t>
            </w:r>
          </w:p>
        </w:tc>
        <w:tc>
          <w:tcPr>
            <w:tcW w:w="0" w:type="auto"/>
            <w:tcMar>
              <w:top w:w="90" w:type="dxa"/>
              <w:left w:w="90" w:type="dxa"/>
              <w:bottom w:w="90" w:type="dxa"/>
              <w:right w:w="90" w:type="dxa"/>
            </w:tcMar>
            <w:vAlign w:val="center"/>
          </w:tcPr>
          <w:p w14:paraId="01826F9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 xml:space="preserve">Not </w:t>
            </w:r>
            <w:proofErr w:type="gramStart"/>
            <w:r w:rsidRPr="00335C63">
              <w:rPr>
                <w:rFonts w:ascii="Times New Roman" w:hAnsi="Times New Roman" w:cs="Times New Roman" w:eastAsia="Times New Roman"/>
                <w:sz w:val="21"/>
                <w:szCs w:val="24"/>
              </w:rPr>
              <w:t>a full</w:t>
            </w:r>
            <w:proofErr w:type="gramEnd"/>
            <w:r w:rsidRPr="00335C63">
              <w:rPr>
                <w:rFonts w:ascii="Times New Roman" w:hAnsi="Times New Roman" w:cs="Times New Roman" w:eastAsia="Times New Roman"/>
                <w:sz w:val="21"/>
                <w:szCs w:val="24"/>
              </w:rPr>
              <w:t xml:space="preserve"> CRM, job dispatch system, WhatsApp automation, or payment gateway</w:t>
            </w:r>
          </w:p>
        </w:tc>
      </w:tr>
      <w:tr w:rsidR="0084730D" w:rsidRPr="00335C63" w14:paraId="0F4F4867" w14:textId="77777777" w:rsidTr="00CD7B49">
        <w:trPr>
          <w:cantSplit/>
          <w:jc w:val="center"/>
        </w:trPr>
        <w:tc>
          <w:tcPr>
            <w:tcW w:w="0" w:type="auto"/>
            <w:tcMar>
              <w:top w:w="90" w:type="dxa"/>
              <w:left w:w="90" w:type="dxa"/>
              <w:bottom w:w="90" w:type="dxa"/>
              <w:right w:w="90" w:type="dxa"/>
            </w:tcMar>
            <w:vAlign w:val="center"/>
          </w:tcPr>
          <w:p w14:paraId="30D51B6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Descriptive analytics by day, week, month, area, pest, package, team, and technician</w:t>
            </w:r>
          </w:p>
        </w:tc>
        <w:tc>
          <w:tcPr>
            <w:tcW w:w="0" w:type="auto"/>
            <w:tcMar>
              <w:top w:w="90" w:type="dxa"/>
              <w:left w:w="90" w:type="dxa"/>
              <w:bottom w:w="90" w:type="dxa"/>
              <w:right w:w="90" w:type="dxa"/>
            </w:tcMar>
            <w:vAlign w:val="center"/>
          </w:tcPr>
          <w:p w14:paraId="7A89B0C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Results depend on the quality and consistency of existing company records</w:t>
            </w:r>
          </w:p>
        </w:tc>
      </w:tr>
      <w:tr w:rsidR="0084730D" w:rsidRPr="00335C63" w14:paraId="2E3EF2C5" w14:textId="77777777" w:rsidTr="00CD7B49">
        <w:trPr>
          <w:cantSplit/>
          <w:jc w:val="center"/>
        </w:trPr>
        <w:tc>
          <w:tcPr>
            <w:tcW w:w="0" w:type="auto"/>
            <w:tcMar>
              <w:top w:w="90" w:type="dxa"/>
              <w:left w:w="90" w:type="dxa"/>
              <w:bottom w:w="90" w:type="dxa"/>
              <w:right w:w="90" w:type="dxa"/>
            </w:tcMar>
            <w:vAlign w:val="center"/>
          </w:tcPr>
          <w:p w14:paraId="6F99569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Weather-associated risk indicators using historical rainfall and humidity features</w:t>
            </w:r>
          </w:p>
        </w:tc>
        <w:tc>
          <w:tcPr>
            <w:tcW w:w="0" w:type="auto"/>
            <w:tcMar>
              <w:top w:w="90" w:type="dxa"/>
              <w:left w:w="90" w:type="dxa"/>
              <w:bottom w:w="90" w:type="dxa"/>
              <w:right w:w="90" w:type="dxa"/>
            </w:tcMar>
            <w:vAlign w:val="center"/>
          </w:tcPr>
          <w:p w14:paraId="689B70B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 will be treated as association/risk indicator, not proof of causation</w:t>
            </w:r>
          </w:p>
        </w:tc>
      </w:tr>
      <w:tr w:rsidR="0084730D" w:rsidRPr="00335C63" w14:paraId="72D5DCD1" w14:textId="77777777" w:rsidTr="00CD7B49">
        <w:trPr>
          <w:cantSplit/>
          <w:jc w:val="center"/>
        </w:trPr>
        <w:tc>
          <w:tcPr>
            <w:tcW w:w="0" w:type="auto"/>
            <w:tcMar>
              <w:top w:w="90" w:type="dxa"/>
              <w:left w:w="90" w:type="dxa"/>
              <w:bottom w:w="90" w:type="dxa"/>
              <w:right w:w="90" w:type="dxa"/>
            </w:tcMar>
            <w:vAlign w:val="center"/>
          </w:tcPr>
          <w:p w14:paraId="3FF4397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lastRenderedPageBreak/>
              <w:t>DBSCAN/KDE hotspot analysis using coordinates or postcode centroids</w:t>
            </w:r>
          </w:p>
        </w:tc>
        <w:tc>
          <w:tcPr>
            <w:tcW w:w="0" w:type="auto"/>
            <w:tcMar>
              <w:top w:w="90" w:type="dxa"/>
              <w:left w:w="90" w:type="dxa"/>
              <w:bottom w:w="90" w:type="dxa"/>
              <w:right w:w="90" w:type="dxa"/>
            </w:tcMar>
            <w:vAlign w:val="center"/>
          </w:tcPr>
          <w:p w14:paraId="174CA80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Exact customer addresses are not required in the academic report</w:t>
            </w:r>
          </w:p>
        </w:tc>
      </w:tr>
      <w:tr w:rsidR="0084730D" w:rsidRPr="00335C63" w14:paraId="08097F17" w14:textId="77777777" w:rsidTr="00CD7B49">
        <w:trPr>
          <w:cantSplit/>
          <w:jc w:val="center"/>
        </w:trPr>
        <w:tc>
          <w:tcPr>
            <w:tcW w:w="0" w:type="auto"/>
            <w:tcMar>
              <w:top w:w="90" w:type="dxa"/>
              <w:left w:w="90" w:type="dxa"/>
              <w:bottom w:w="90" w:type="dxa"/>
              <w:right w:w="90" w:type="dxa"/>
            </w:tcMar>
            <w:vAlign w:val="center"/>
          </w:tcPr>
          <w:p w14:paraId="11852F7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Treatment difficulty, recurrence window, warranty factor, refund root cause, and upsell package-fit analysis</w:t>
            </w:r>
          </w:p>
        </w:tc>
        <w:tc>
          <w:tcPr>
            <w:tcW w:w="0" w:type="auto"/>
            <w:tcMar>
              <w:top w:w="90" w:type="dxa"/>
              <w:left w:w="90" w:type="dxa"/>
              <w:bottom w:w="90" w:type="dxa"/>
              <w:right w:w="90" w:type="dxa"/>
            </w:tcMar>
            <w:vAlign w:val="center"/>
          </w:tcPr>
          <w:p w14:paraId="3D79E31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Upsell prediction is limited until rejected/no-response offers are recorded</w:t>
            </w:r>
          </w:p>
        </w:tc>
      </w:tr>
      <w:tr w:rsidR="0084730D" w:rsidRPr="00335C63" w14:paraId="231A5344" w14:textId="77777777" w:rsidTr="00CD7B49">
        <w:trPr>
          <w:cantSplit/>
          <w:jc w:val="center"/>
        </w:trPr>
        <w:tc>
          <w:tcPr>
            <w:tcW w:w="0" w:type="auto"/>
            <w:tcMar>
              <w:top w:w="90" w:type="dxa"/>
              <w:left w:w="90" w:type="dxa"/>
              <w:bottom w:w="90" w:type="dxa"/>
              <w:right w:w="90" w:type="dxa"/>
            </w:tcMar>
            <w:vAlign w:val="center"/>
          </w:tcPr>
          <w:p w14:paraId="6F5D3C64" w14:textId="77777777" w:rsidR="00BB18A2" w:rsidRPr="003E4481" w:rsidRDefault="00000000">
            <w:pPr>
              <w:spacing w:line="276" w:lineRule="auto" w:after="60"/>
              <w:jc w:val="left"/>
              <w:rPr>
                <w:rFonts w:ascii="Times New Roman" w:hAnsi="Times New Roman" w:cs="Times New Roman"/>
                <w:sz w:val="24"/>
                <w:szCs w:val="24"/>
              </w:rPr>
            </w:pPr>
            <w:r w:rsidRPr="003E4481">
              <w:rPr>
                <w:rFonts w:ascii="Times New Roman" w:hAnsi="Times New Roman" w:cs="Times New Roman" w:eastAsia="Times New Roman"/>
                <w:sz w:val="21"/>
                <w:szCs w:val="24"/>
              </w:rPr>
              <w:t>Data quality reporting, flexible data contracts, Airflow scheduled refresh, dbt transformations/tests, anonymised reporting views, and recommendation logging</w:t>
            </w:r>
          </w:p>
        </w:tc>
        <w:tc>
          <w:tcPr>
            <w:tcW w:w="0" w:type="auto"/>
            <w:tcMar>
              <w:top w:w="90" w:type="dxa"/>
              <w:left w:w="90" w:type="dxa"/>
              <w:bottom w:w="90" w:type="dxa"/>
              <w:right w:w="90" w:type="dxa"/>
            </w:tcMar>
            <w:vAlign w:val="center"/>
          </w:tcPr>
          <w:p w14:paraId="66E2BA84" w14:textId="77777777" w:rsidR="00BB18A2" w:rsidRPr="003E4481" w:rsidRDefault="00000000">
            <w:pPr>
              <w:spacing w:line="276" w:lineRule="auto" w:after="60"/>
              <w:jc w:val="left"/>
              <w:rPr>
                <w:rFonts w:ascii="Times New Roman" w:hAnsi="Times New Roman" w:cs="Times New Roman"/>
                <w:sz w:val="24"/>
                <w:szCs w:val="24"/>
              </w:rPr>
            </w:pPr>
            <w:r w:rsidRPr="003E4481">
              <w:rPr>
                <w:rFonts w:ascii="Times New Roman" w:hAnsi="Times New Roman" w:cs="Times New Roman" w:eastAsia="Times New Roman"/>
                <w:sz w:val="21"/>
                <w:szCs w:val="24"/>
              </w:rPr>
              <w:t>Near-real-time refresh is scheduled batch processing, not streaming real-time, and depends on Google Sheets/API access</w:t>
            </w:r>
          </w:p>
        </w:tc>
      </w:tr>
      <w:tr w:rsidR="0084730D" w:rsidRPr="00335C63" w14:paraId="1BAB6BBB" w14:textId="77777777" w:rsidTr="00CD7B49">
        <w:trPr>
          <w:cantSplit/>
          <w:jc w:val="center"/>
        </w:trPr>
        <w:tc>
          <w:tcPr>
            <w:tcW w:w="0" w:type="auto"/>
            <w:tcMar>
              <w:top w:w="90" w:type="dxa"/>
              <w:left w:w="90" w:type="dxa"/>
              <w:bottom w:w="90" w:type="dxa"/>
              <w:right w:w="90" w:type="dxa"/>
            </w:tcMar>
            <w:vAlign w:val="center"/>
          </w:tcPr>
          <w:p w14:paraId="43F90E1A" w14:textId="77777777" w:rsidR="0084730D" w:rsidRPr="003E4481" w:rsidRDefault="00357319" w:rsidP="000F4170">
            <w:pPr>
              <w:spacing w:after="60" w:line="276" w:lineRule="auto"/>
              <w:jc w:val="left"/>
              <w:rPr>
                <w:rFonts w:ascii="Times New Roman" w:hAnsi="Times New Roman" w:cs="Times New Roman"/>
                <w:sz w:val="24"/>
                <w:szCs w:val="24"/>
              </w:rPr>
            </w:pPr>
            <w:r w:rsidRPr="003E4481">
              <w:rPr>
                <w:rFonts w:ascii="Times New Roman" w:hAnsi="Times New Roman" w:cs="Times New Roman" w:eastAsia="Times New Roman"/>
                <w:sz w:val="21"/>
                <w:szCs w:val="24"/>
              </w:rPr>
              <w:t>Optional future local Ollama AI explanation layer</w:t>
            </w:r>
          </w:p>
        </w:tc>
        <w:tc>
          <w:tcPr>
            <w:tcW w:w="0" w:type="auto"/>
            <w:tcMar>
              <w:top w:w="90" w:type="dxa"/>
              <w:left w:w="90" w:type="dxa"/>
              <w:bottom w:w="90" w:type="dxa"/>
              <w:right w:w="90" w:type="dxa"/>
            </w:tcMar>
            <w:vAlign w:val="center"/>
          </w:tcPr>
          <w:p w14:paraId="449ED057" w14:textId="77777777" w:rsidR="0084730D" w:rsidRPr="003E4481" w:rsidRDefault="00357319" w:rsidP="000F4170">
            <w:pPr>
              <w:spacing w:after="60" w:line="276" w:lineRule="auto"/>
              <w:jc w:val="left"/>
              <w:rPr>
                <w:rFonts w:ascii="Times New Roman" w:hAnsi="Times New Roman" w:cs="Times New Roman"/>
                <w:sz w:val="24"/>
                <w:szCs w:val="24"/>
              </w:rPr>
            </w:pPr>
            <w:r w:rsidRPr="003E4481">
              <w:rPr>
                <w:rFonts w:ascii="Times New Roman" w:hAnsi="Times New Roman" w:cs="Times New Roman" w:eastAsia="Times New Roman"/>
                <w:sz w:val="21"/>
                <w:szCs w:val="24"/>
              </w:rPr>
              <w:t>The AI layer will not make final decisions; it will explain analytics-backed recommendations</w:t>
            </w:r>
          </w:p>
        </w:tc>
      </w:tr>
      <w:tr w:rsidR="00BB18A2" w14:paraId="7DF947F0" w14:textId="77777777">
        <w:trPr>
          <w:jc w:val="center"/>
        </w:trPr>
        <w:tc>
          <w:tcPr>
            <w:tcW w:w="4710" w:type="dxa"/>
            <w:vAlign w:val="center"/>
          </w:tcPr>
          <w:p w14:paraId="1A509B69" w14:textId="77777777" w:rsidR="00BB18A2" w:rsidRPr="003E4481" w:rsidRDefault="00000000">
            <w:pPr>
              <w:spacing w:line="276" w:lineRule="auto" w:after="60"/>
              <w:jc w:val="left"/>
              <w:rPr>
                <w:rFonts w:ascii="Times New Roman" w:hAnsi="Times New Roman" w:cs="Times New Roman"/>
                <w:sz w:val="24"/>
                <w:szCs w:val="24"/>
              </w:rPr>
            </w:pPr>
            <w:r w:rsidRPr="003E4481">
              <w:rPr>
                <w:rFonts w:ascii="Times New Roman" w:hAnsi="Times New Roman" w:cs="Times New Roman" w:eastAsia="Times New Roman"/>
                <w:sz w:val="21"/>
                <w:szCs w:val="24"/>
              </w:rPr>
              <w:t>Bronze/Silver/Gold BigQuery warehouse layers, pipeline logs, lineage documentation, and dashboard-ready marts</w:t>
            </w:r>
          </w:p>
        </w:tc>
        <w:tc>
          <w:tcPr>
            <w:tcW w:w="4306" w:type="dxa"/>
            <w:vAlign w:val="center"/>
          </w:tcPr>
          <w:p w14:paraId="2166C0A5" w14:textId="77777777" w:rsidR="00BB18A2" w:rsidRPr="003E4481" w:rsidRDefault="00000000">
            <w:pPr>
              <w:spacing w:line="276" w:lineRule="auto" w:after="60"/>
              <w:jc w:val="left"/>
              <w:rPr>
                <w:rFonts w:ascii="Times New Roman" w:hAnsi="Times New Roman" w:cs="Times New Roman"/>
                <w:sz w:val="24"/>
                <w:szCs w:val="24"/>
              </w:rPr>
            </w:pPr>
            <w:r w:rsidRPr="003E4481">
              <w:rPr>
                <w:rFonts w:ascii="Times New Roman" w:hAnsi="Times New Roman" w:cs="Times New Roman" w:eastAsia="Times New Roman"/>
                <w:sz w:val="21"/>
                <w:szCs w:val="24"/>
              </w:rPr>
              <w:t>The project will not attempt enterprise-scale streaming, complex MLOps, or production-grade multi-user access control</w:t>
            </w:r>
          </w:p>
        </w:tc>
      </w:tr>
    </w:tbl>
    <w:p w14:paraId="5F49C5C3" w14:textId="77777777" w:rsidR="0084730D" w:rsidRPr="00335C63" w:rsidRDefault="0084730D" w:rsidP="000F4170">
      <w:pPr>
        <w:spacing w:line="360" w:lineRule="auto" w:after="120"/>
        <w:jc w:val="left"/>
        <w:rPr>
          <w:rFonts w:ascii="Times New Roman" w:hAnsi="Times New Roman" w:cs="Times New Roman"/>
          <w:sz w:val="24"/>
          <w:szCs w:val="24"/>
        </w:rPr>
      </w:pPr>
    </w:p>
    <w:p w14:paraId="2C34A22F"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1.6 Research Significance</w:t>
      </w:r>
    </w:p>
    <w:p w14:paraId="7A3E9E77" w14:textId="77777777" w:rsidR="008D6A1A" w:rsidRDefault="00357319" w:rsidP="008D6A1A">
      <w:pPr>
        <w:spacing w:line="360" w:lineRule="auto" w:after="120"/>
        <w:jc w:val="both"/>
        <w:rPr>
          <w:rFonts w:ascii="Times New Roman" w:hAnsi="Times New Roman" w:cs="Times New Roman"/>
          <w:sz w:val="24"/>
          <w:szCs w:val="24"/>
        </w:rPr>
      </w:pPr>
      <w:proofErr w:type="gramStart"/>
      <w:proofErr w:type="gramEnd"/>
      <w:r>
        <w:rPr>
          <w:rFonts w:ascii="Times New Roman" w:hAnsi="Times New Roman" w:eastAsia="Times New Roman"/>
          <w:sz w:val="24"/>
        </w:rPr>
        <w:t>The project is significant because it addresses a real computing and business problem faced by an SME: turning fragmented operational records into reliable decision support. Prior studies show that decision-support systems are valuable when they connect data sources, analytical models, and user-facing recommendations in a practical way (Tonle et al., 2024; Marinko et al., 2025). This project contributes to the company by reducing manual cross-checking, improving visibility into service quality, and supporting better area planning. It contributes academically by combining data warehousing, business intelligence, spatial analysis, weather-associated risk modelling, and prescriptive analytics in a practical SME setting.</w:t>
      </w:r>
    </w:p>
    <w:p w14:paraId="4F5240AD" w14:textId="77777777" w:rsidR="008D6A1A" w:rsidRDefault="008D6A1A" w:rsidP="008D6A1A">
      <w:pPr>
        <w:spacing w:line="360" w:lineRule="auto" w:after="120"/>
        <w:jc w:val="left"/>
        <w:rPr>
          <w:rFonts w:ascii="Times New Roman" w:hAnsi="Times New Roman" w:cs="Times New Roman"/>
          <w:sz w:val="24"/>
          <w:szCs w:val="24"/>
        </w:rPr>
      </w:pPr>
    </w:p>
    <w:p w14:paraId="21881A05"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sustainability value is also relevant. Better area planning and recurrence monitoring can reduce unnecessary repeat visits, wasted travel, and unplanned service costs. A local or low-cost analytics stack also supports SME adoption by reducing dependence on expensive enterprise software. Privacy is considered through anonymised academic and reporting views, </w:t>
      </w:r>
      <w:r w:rsidRPr="00335C63">
        <w:rPr>
          <w:rFonts w:ascii="Times New Roman" w:hAnsi="Times New Roman" w:cs="Times New Roman" w:eastAsia="Times New Roman"/>
          <w:sz w:val="24"/>
          <w:szCs w:val="24"/>
        </w:rPr>
        <w:lastRenderedPageBreak/>
        <w:t>customer IDs, area/postcode-level location, controlled access, and careful wording for technician-related review indicators.</w:t>
      </w:r>
    </w:p>
    <w:p w14:paraId="7D5AFE3D"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Chapter 2: Literature Review</w:t>
      </w:r>
    </w:p>
    <w:p w14:paraId="26D874DB" w14:textId="77777777" w:rsidR="0084730D" w:rsidRPr="003E4481" w:rsidRDefault="00357319" w:rsidP="008D6A1A">
      <w:pPr>
        <w:spacing w:line="360" w:lineRule="auto" w:after="120"/>
        <w:jc w:val="both"/>
        <w:rPr>
          <w:rFonts w:ascii="Times New Roman" w:hAnsi="Times New Roman" w:cs="Times New Roman"/>
          <w:sz w:val="28"/>
          <w:szCs w:val="28"/>
        </w:rPr>
      </w:pPr>
      <w:r w:rsidRPr="003E4481">
        <w:rPr>
          <w:rFonts w:ascii="Times New Roman" w:hAnsi="Times New Roman" w:cs="Times New Roman" w:eastAsia="Times New Roman"/>
          <w:sz w:val="24"/>
          <w:szCs w:val="24"/>
        </w:rPr>
        <w:t>This literature review reviews recent academic papers, technical documentation, and decision-support references related to the proposed system. In line with supervisor feedback, the cited literature focuses on 2020 onwards and expands the review to cover approximately 25 academic or research-based sources, with separate technical references for APIs and tools. Older foundation methods such as DBSCAN, logistic regression, KDE, and SHAP are discussed only as methodological concepts, while the cited support is drawn from recent studies and documentation. The chapter is organised around business intelligence for SMEs, weather-aware pest management, digital pest decision-support systems, spatial-temporal hotspot detection, weather-based prediction, explainable modelling, and AI-assisted recommendations.</w:t>
      </w:r>
    </w:p>
    <w:p w14:paraId="5907B16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2.1 Business Intelligence and SME Decision Support</w:t>
      </w:r>
    </w:p>
    <w:p w14:paraId="172E8176" w14:textId="77777777" w:rsidR="008D6A1A"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Ragazou et al. (2023) argue that SMEs can benefit from business intelligence because BI converts scattered operational data into information that supports faster and more competitive decision-making. Their work is relevant to Nomobug because the company already collects operational data but lacks a structured analytics model. Gurcan et al. (2023) further show that modern BI research increasingly emphasises data mining, big data analytics, visualization, and AI applications, which supports the proposed combination of descriptive, predictive, and prescriptive dashboard modules.</w:t>
      </w:r>
    </w:p>
    <w:p w14:paraId="6E293DB1" w14:textId="77777777" w:rsidR="008D6A1A" w:rsidRDefault="008D6A1A" w:rsidP="008D6A1A">
      <w:pPr>
        <w:spacing w:line="360" w:lineRule="auto" w:after="120"/>
        <w:jc w:val="left"/>
        <w:rPr>
          <w:rFonts w:ascii="Times New Roman" w:hAnsi="Times New Roman" w:cs="Times New Roman"/>
          <w:sz w:val="24"/>
          <w:szCs w:val="24"/>
        </w:rPr>
      </w:pPr>
    </w:p>
    <w:p w14:paraId="3F30A77C"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For this project, the literature supports treating BI as more than simple reporting. The dashboard should not only show </w:t>
      </w:r>
      <w:proofErr w:type="gramStart"/>
      <w:r w:rsidRPr="00335C63">
        <w:rPr>
          <w:rFonts w:ascii="Times New Roman" w:hAnsi="Times New Roman" w:cs="Times New Roman" w:eastAsia="Times New Roman"/>
          <w:sz w:val="24"/>
          <w:szCs w:val="24"/>
        </w:rPr>
        <w:t>totals, but</w:t>
      </w:r>
      <w:proofErr w:type="gramEnd"/>
      <w:r w:rsidRPr="00335C63">
        <w:rPr>
          <w:rFonts w:ascii="Times New Roman" w:hAnsi="Times New Roman" w:cs="Times New Roman" w:eastAsia="Times New Roman"/>
          <w:sz w:val="24"/>
          <w:szCs w:val="24"/>
        </w:rPr>
        <w:t xml:space="preserve"> also connect business questions across sources: which ad sources produce better customers, which areas generate repeat problems, which service types cause higher refunds, and which package-fit recommendations are supported by historical patterns.</w:t>
      </w:r>
    </w:p>
    <w:p w14:paraId="4896275F" w14:textId="77777777" w:rsidR="00BF3F6C"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Schulze et al. (2023) </w:t>
      </w:r>
      <w:proofErr w:type="gramStart"/>
      <w:r w:rsidRPr="00EF6C0D">
        <w:rPr>
          <w:rFonts w:ascii="Times New Roman" w:hAnsi="Times New Roman" w:cs="Times New Roman" w:eastAsia="Times New Roman"/>
          <w:sz w:val="24"/>
          <w:szCs w:val="24"/>
        </w:rPr>
        <w:t>provide</w:t>
      </w:r>
      <w:proofErr w:type="gramEnd"/>
      <w:r w:rsidRPr="00EF6C0D">
        <w:rPr>
          <w:rFonts w:ascii="Times New Roman" w:hAnsi="Times New Roman" w:cs="Times New Roman" w:eastAsia="Times New Roman"/>
          <w:sz w:val="24"/>
          <w:szCs w:val="24"/>
        </w:rPr>
        <w:t xml:space="preserve"> a systematic review of digital dashboards and </w:t>
      </w:r>
      <w:proofErr w:type="gramStart"/>
      <w:r w:rsidRPr="00EF6C0D">
        <w:rPr>
          <w:rFonts w:ascii="Times New Roman" w:hAnsi="Times New Roman" w:cs="Times New Roman" w:eastAsia="Times New Roman"/>
          <w:sz w:val="24"/>
          <w:szCs w:val="24"/>
        </w:rPr>
        <w:t>show</w:t>
      </w:r>
      <w:proofErr w:type="gramEnd"/>
      <w:r w:rsidRPr="00EF6C0D">
        <w:rPr>
          <w:rFonts w:ascii="Times New Roman" w:hAnsi="Times New Roman" w:cs="Times New Roman" w:eastAsia="Times New Roman"/>
          <w:sz w:val="24"/>
          <w:szCs w:val="24"/>
        </w:rPr>
        <w:t xml:space="preserve"> that dashboards are most useful when they combine clear visual design, reliable data, and action-oriented communication. This supports the proposed use of Apache Superset dashboards for management users who need to scan key service, warranty, payment, and scheduling indicators quickly. Blacketer et al. (2021) further demonstrate the value of a dedicated data quality </w:t>
      </w:r>
      <w:r w:rsidRPr="00EF6C0D">
        <w:rPr>
          <w:rFonts w:ascii="Times New Roman" w:hAnsi="Times New Roman" w:cs="Times New Roman" w:eastAsia="Times New Roman"/>
          <w:sz w:val="24"/>
          <w:szCs w:val="24"/>
        </w:rPr>
        <w:lastRenderedPageBreak/>
        <w:t xml:space="preserve">dashboard, showing that decision-makers need visibility into completeness, conformance, and data reliability before trusting analytical outputs. For Nomobug, this </w:t>
      </w:r>
      <w:proofErr w:type="gramStart"/>
      <w:r w:rsidRPr="00EF6C0D">
        <w:rPr>
          <w:rFonts w:ascii="Times New Roman" w:hAnsi="Times New Roman" w:cs="Times New Roman" w:eastAsia="Times New Roman"/>
          <w:sz w:val="24"/>
          <w:szCs w:val="24"/>
        </w:rPr>
        <w:t>supports including</w:t>
      </w:r>
      <w:proofErr w:type="gramEnd"/>
      <w:r w:rsidRPr="00EF6C0D">
        <w:rPr>
          <w:rFonts w:ascii="Times New Roman" w:hAnsi="Times New Roman" w:cs="Times New Roman" w:eastAsia="Times New Roman"/>
          <w:sz w:val="24"/>
          <w:szCs w:val="24"/>
        </w:rPr>
        <w:t xml:space="preserve"> a Data Quality and Refresh module rather than treating cleaning as a hidden technical step.</w:t>
      </w:r>
    </w:p>
    <w:p w14:paraId="437153DC" w14:textId="77777777" w:rsidR="00EF6C0D" w:rsidRPr="00EF6C0D" w:rsidRDefault="00EF6C0D" w:rsidP="00EF6C0D">
      <w:pPr>
        <w:spacing w:line="360" w:lineRule="auto" w:after="120"/>
        <w:jc w:val="left"/>
        <w:rPr>
          <w:rFonts w:ascii="Times New Roman" w:hAnsi="Times New Roman" w:cs="Times New Roman"/>
          <w:sz w:val="24"/>
          <w:szCs w:val="24"/>
        </w:rPr>
      </w:pPr>
    </w:p>
    <w:p w14:paraId="6DAAEB6C"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Fu et al. (2024) argue that data quality in industry should be understood as part of a wider data-driven workflow, not only as a technical database issue. Their review is relevant because Nomobug's raw data comes from practical operational sources such as Google Sheets and Google Calendar, where inconsistent labels, missing identifiers, and unmatched records are expected. This reinforces the project's decision to preserve raw staging data, create cleaning flags, and show data-quality coverage before interpreting risk or performance results.</w:t>
      </w:r>
    </w:p>
    <w:p w14:paraId="51167988"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2.2 Weather-Aware Pest Management and Urban Pest Data</w:t>
      </w:r>
    </w:p>
    <w:p w14:paraId="66413470" w14:textId="77777777" w:rsidR="008D6A1A"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Hiscox et al. (2025) </w:t>
      </w:r>
      <w:proofErr w:type="gramStart"/>
      <w:r w:rsidRPr="00335C63">
        <w:rPr>
          <w:rFonts w:ascii="Times New Roman" w:hAnsi="Times New Roman" w:cs="Times New Roman" w:eastAsia="Times New Roman"/>
          <w:sz w:val="24"/>
          <w:szCs w:val="24"/>
        </w:rPr>
        <w:t>review</w:t>
      </w:r>
      <w:proofErr w:type="gramEnd"/>
      <w:r w:rsidRPr="00335C63">
        <w:rPr>
          <w:rFonts w:ascii="Times New Roman" w:hAnsi="Times New Roman" w:cs="Times New Roman" w:eastAsia="Times New Roman"/>
          <w:sz w:val="24"/>
          <w:szCs w:val="24"/>
        </w:rPr>
        <w:t xml:space="preserve"> the impact of adverse weather events on cockroaches and flies and </w:t>
      </w:r>
      <w:proofErr w:type="gramStart"/>
      <w:r w:rsidRPr="00335C63">
        <w:rPr>
          <w:rFonts w:ascii="Times New Roman" w:hAnsi="Times New Roman" w:cs="Times New Roman" w:eastAsia="Times New Roman"/>
          <w:sz w:val="24"/>
          <w:szCs w:val="24"/>
        </w:rPr>
        <w:t>report</w:t>
      </w:r>
      <w:proofErr w:type="gramEnd"/>
      <w:r w:rsidRPr="00335C63">
        <w:rPr>
          <w:rFonts w:ascii="Times New Roman" w:hAnsi="Times New Roman" w:cs="Times New Roman" w:eastAsia="Times New Roman"/>
          <w:sz w:val="24"/>
          <w:szCs w:val="24"/>
        </w:rPr>
        <w:t xml:space="preserve"> that increased temperature, extreme rainfall, and flooding can be associated with changes in pest population behaviour and human-pest interaction. This supports the need for weather-aware risk indicators in pest control planning. However, the same literature also shows that causal claims are difficult because pest behaviour depends on many confounding factors such as sanitation, habitat disruption, infrastructure condition, and pesticide use.</w:t>
      </w:r>
    </w:p>
    <w:p w14:paraId="6E85AB50" w14:textId="77777777" w:rsidR="008D6A1A" w:rsidRDefault="008D6A1A" w:rsidP="008D6A1A">
      <w:pPr>
        <w:spacing w:line="360" w:lineRule="auto" w:after="120"/>
        <w:jc w:val="left"/>
        <w:rPr>
          <w:rFonts w:ascii="Times New Roman" w:hAnsi="Times New Roman" w:cs="Times New Roman"/>
          <w:sz w:val="24"/>
          <w:szCs w:val="24"/>
        </w:rPr>
      </w:pPr>
    </w:p>
    <w:p w14:paraId="190A1B38"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Richardson et al. (2025) analyse urban rat reports across multiple cities and </w:t>
      </w:r>
      <w:proofErr w:type="gramStart"/>
      <w:r w:rsidRPr="00335C63">
        <w:rPr>
          <w:rFonts w:ascii="Times New Roman" w:hAnsi="Times New Roman" w:cs="Times New Roman" w:eastAsia="Times New Roman"/>
          <w:sz w:val="24"/>
          <w:szCs w:val="24"/>
        </w:rPr>
        <w:t>find</w:t>
      </w:r>
      <w:proofErr w:type="gramEnd"/>
      <w:r w:rsidRPr="00335C63">
        <w:rPr>
          <w:rFonts w:ascii="Times New Roman" w:hAnsi="Times New Roman" w:cs="Times New Roman" w:eastAsia="Times New Roman"/>
          <w:sz w:val="24"/>
          <w:szCs w:val="24"/>
        </w:rPr>
        <w:t xml:space="preserve"> that rat numbers are linked with climate warming, urbanization, and population density. While the study is not specific to Malaysian pest control service records, it demonstrates the importance of combining pest reports with environmental and urban context. Brimblecombe et al. (2023) also show that urban pest enquiry databases can reveal long-term patterns, but such records are heterogeneous and may be affected by reporting bias. These studies justify using Nomobug's internal service outcomes carefully as business evidence rather than as universal ecological proof.</w:t>
      </w:r>
    </w:p>
    <w:p w14:paraId="33C2F043"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2.3 Digital Pest Decision Support Systems</w:t>
      </w:r>
    </w:p>
    <w:p w14:paraId="588807AA" w14:textId="77777777" w:rsidR="008D6A1A"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Pinto et al. (2025) </w:t>
      </w:r>
      <w:proofErr w:type="gramStart"/>
      <w:r w:rsidRPr="00335C63">
        <w:rPr>
          <w:rFonts w:ascii="Times New Roman" w:hAnsi="Times New Roman" w:cs="Times New Roman" w:eastAsia="Times New Roman"/>
          <w:sz w:val="24"/>
          <w:szCs w:val="24"/>
        </w:rPr>
        <w:t>describe</w:t>
      </w:r>
      <w:proofErr w:type="gramEnd"/>
      <w:r w:rsidRPr="00335C63">
        <w:rPr>
          <w:rFonts w:ascii="Times New Roman" w:hAnsi="Times New Roman" w:cs="Times New Roman" w:eastAsia="Times New Roman"/>
          <w:sz w:val="24"/>
          <w:szCs w:val="24"/>
        </w:rPr>
        <w:t xml:space="preserve"> the Network for Environment and Weather Applications (NEWA), a weather-based pest and disease decision support platform that integrates historical and forecast weather data with risk models. Although NEWA focuses on agricultural integrated pest management, it demonstrates the value of combining weather data, dashboards, alerts, and </w:t>
      </w:r>
      <w:r w:rsidRPr="00335C63">
        <w:rPr>
          <w:rFonts w:ascii="Times New Roman" w:hAnsi="Times New Roman" w:cs="Times New Roman" w:eastAsia="Times New Roman"/>
          <w:sz w:val="24"/>
          <w:szCs w:val="24"/>
        </w:rPr>
        <w:lastRenderedPageBreak/>
        <w:t>decision-support outputs. The proposed Nomobug system adapts this idea to an urban pest-control SME context by combining service outcomes, warranty records, recurrence windows, and local weather indicators.</w:t>
      </w:r>
    </w:p>
    <w:p w14:paraId="759AEFFA" w14:textId="77777777" w:rsidR="008D6A1A" w:rsidRDefault="008D6A1A" w:rsidP="008D6A1A">
      <w:pPr>
        <w:spacing w:line="360" w:lineRule="auto" w:after="120"/>
        <w:jc w:val="left"/>
        <w:rPr>
          <w:rFonts w:ascii="Times New Roman" w:hAnsi="Times New Roman" w:cs="Times New Roman"/>
          <w:sz w:val="24"/>
          <w:szCs w:val="24"/>
        </w:rPr>
      </w:pPr>
    </w:p>
    <w:p w14:paraId="53F54740"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research gap is that most pest decision-support examples focus on agriculture or public-sector surveillance, while SME pest control operations need analytics around customer service outcomes, warranty costs, technician review indicators, and upsell planning. This project therefore contributes by applying weather-aware decision support to a real commercial service dataset rather than only biological pest observations.</w:t>
      </w:r>
    </w:p>
    <w:p w14:paraId="03BB3ECA" w14:textId="77777777" w:rsidR="00BF3F6C"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Tonle et al. (2024) </w:t>
      </w:r>
      <w:proofErr w:type="gramStart"/>
      <w:r w:rsidRPr="00EF6C0D">
        <w:rPr>
          <w:rFonts w:ascii="Times New Roman" w:hAnsi="Times New Roman" w:cs="Times New Roman" w:eastAsia="Times New Roman"/>
          <w:sz w:val="24"/>
          <w:szCs w:val="24"/>
        </w:rPr>
        <w:t>propose</w:t>
      </w:r>
      <w:proofErr w:type="gramEnd"/>
      <w:r w:rsidRPr="00EF6C0D">
        <w:rPr>
          <w:rFonts w:ascii="Times New Roman" w:hAnsi="Times New Roman" w:cs="Times New Roman" w:eastAsia="Times New Roman"/>
          <w:sz w:val="24"/>
          <w:szCs w:val="24"/>
        </w:rPr>
        <w:t xml:space="preserve"> a roadmap for developing decision support systems for integrated pest management and </w:t>
      </w:r>
      <w:proofErr w:type="gramStart"/>
      <w:r w:rsidRPr="00EF6C0D">
        <w:rPr>
          <w:rFonts w:ascii="Times New Roman" w:hAnsi="Times New Roman" w:cs="Times New Roman" w:eastAsia="Times New Roman"/>
          <w:sz w:val="24"/>
          <w:szCs w:val="24"/>
        </w:rPr>
        <w:t>highlight</w:t>
      </w:r>
      <w:proofErr w:type="gramEnd"/>
      <w:r w:rsidRPr="00EF6C0D">
        <w:rPr>
          <w:rFonts w:ascii="Times New Roman" w:hAnsi="Times New Roman" w:cs="Times New Roman" w:eastAsia="Times New Roman"/>
          <w:sz w:val="24"/>
          <w:szCs w:val="24"/>
        </w:rPr>
        <w:t xml:space="preserve"> the need for practical architectures that connect data sources, models, and user-facing decision outputs. Although their focus is agricultural IPM, the architecture principle is highly relevant to this project because the Nomobug system will connect operational data, weather enrichment, analytics marts, and dashboard recommendations. Marinko et al. (2024) also develop a typology for IPM decision support systems and implement it as a web application, showing that DSS features must be classified clearly so users understand whether the system provides monitoring, prediction, recommendation, or advisory support.</w:t>
      </w:r>
    </w:p>
    <w:p w14:paraId="41648B5F" w14:textId="77777777" w:rsidR="00EF6C0D" w:rsidRPr="00EF6C0D" w:rsidRDefault="00EF6C0D" w:rsidP="00EF6C0D">
      <w:pPr>
        <w:spacing w:line="360" w:lineRule="auto" w:after="120"/>
        <w:jc w:val="left"/>
        <w:rPr>
          <w:rFonts w:ascii="Times New Roman" w:hAnsi="Times New Roman" w:cs="Times New Roman"/>
          <w:sz w:val="24"/>
          <w:szCs w:val="24"/>
        </w:rPr>
      </w:pPr>
    </w:p>
    <w:p w14:paraId="494399FF"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Fiori et al. (2024) present SMARTerra, a high-resolution DSS for monitoring plant pests and diseases through risk maps and timely intervention support. This strengthens the justification for using weather-associated risk maps and area-level planning views in Nomobug. Marinko et al. (2025) examine barriers to DSS adoption in integrated pest management and show that practical uptake depends on trust, usability, data availability, and perceived usefulness. This is important for the capstone because the dashboard must be understandable to company users, </w:t>
      </w:r>
      <w:proofErr w:type="gramStart"/>
      <w:r w:rsidRPr="00EF6C0D">
        <w:rPr>
          <w:rFonts w:ascii="Times New Roman" w:hAnsi="Times New Roman" w:cs="Times New Roman" w:eastAsia="Times New Roman"/>
          <w:sz w:val="24"/>
          <w:szCs w:val="24"/>
        </w:rPr>
        <w:t>not only technically</w:t>
      </w:r>
      <w:proofErr w:type="gramEnd"/>
      <w:r w:rsidRPr="00EF6C0D">
        <w:rPr>
          <w:rFonts w:ascii="Times New Roman" w:hAnsi="Times New Roman" w:cs="Times New Roman" w:eastAsia="Times New Roman"/>
          <w:sz w:val="24"/>
          <w:szCs w:val="24"/>
        </w:rPr>
        <w:t xml:space="preserve"> impressive.</w:t>
      </w:r>
    </w:p>
    <w:p w14:paraId="4177A759"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2.4 Spatial-Temporal Hotspot Detection</w:t>
      </w:r>
    </w:p>
    <w:p w14:paraId="265BE7C3"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Spatial-temporal analytics are useful when the location and timing of events matter. Li et al. (2023) propose a spatiotemporal clustering algorithm for satellite hotspot data and discuss the importance of density-based clustering, arbitrary cluster shapes, noise handling, and parameter selection. Their work supports the use of DBSCAN-style clustering for Nomobug's repeat-</w:t>
      </w:r>
      <w:r w:rsidRPr="00335C63">
        <w:rPr>
          <w:rFonts w:ascii="Times New Roman" w:hAnsi="Times New Roman" w:cs="Times New Roman" w:eastAsia="Times New Roman"/>
          <w:sz w:val="24"/>
          <w:szCs w:val="24"/>
        </w:rPr>
        <w:lastRenderedPageBreak/>
        <w:t>problem data because warranty cases may form irregular clusters and random isolated claims should not automatically become hotspots.</w:t>
      </w:r>
    </w:p>
    <w:p w14:paraId="2ED6E2EE" w14:textId="77777777" w:rsidR="008D6A1A" w:rsidRPr="00335C63" w:rsidRDefault="008D6A1A" w:rsidP="008D6A1A">
      <w:pPr>
        <w:spacing w:line="360" w:lineRule="auto" w:after="120"/>
        <w:jc w:val="left"/>
        <w:rPr>
          <w:rFonts w:ascii="Times New Roman" w:hAnsi="Times New Roman" w:cs="Times New Roman"/>
          <w:sz w:val="24"/>
          <w:szCs w:val="24"/>
        </w:rPr>
      </w:pPr>
    </w:p>
    <w:p w14:paraId="04CC9C0E"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KDE heatmaps complement clustering because they provide a smoother visual layer for dashboard users. In this project, DBSCAN will be used as the main clustering method for detecting candidate repeat-problem hotspots, while KDE-style heatmaps will be used mainly for visual interpretation. This keeps the method understandable for management while still providing a stronger spatial analysis contribution than a simple area-count table.</w:t>
      </w:r>
    </w:p>
    <w:p w14:paraId="388B8586" w14:textId="77777777" w:rsidR="00EF6C0D" w:rsidRPr="00335C63" w:rsidRDefault="00EF6C0D" w:rsidP="008D6A1A">
      <w:pPr>
        <w:spacing w:line="360" w:lineRule="auto" w:after="120"/>
        <w:jc w:val="left"/>
        <w:rPr>
          <w:rFonts w:ascii="Times New Roman" w:hAnsi="Times New Roman" w:cs="Times New Roman"/>
          <w:sz w:val="24"/>
          <w:szCs w:val="24"/>
        </w:rPr>
      </w:pPr>
    </w:p>
    <w:p w14:paraId="5B8E479C"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Choi and Hong (2021) propose MDST-DBSCAN for multidimensional spatiotemporal data and show that density-based methods can identify clusters while supporting irregular cluster shapes and noise separation. This supports the choice of DBSCAN-style hotspot detection for repeat-problem and warranty records, because pest service outcomes may cluster around small local areas rather than fixed administrative boundaries. The proposed project will keep the method simpler than MDST-DBSCAN for implementation, but the study supports the suitability of density-based clustering for spatiotemporal analysis.</w:t>
      </w:r>
    </w:p>
    <w:p w14:paraId="7C5E1505"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2.5 Weather-Based Prediction and Explainable Modelling</w:t>
      </w:r>
    </w:p>
    <w:p w14:paraId="4059497E"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Sumido et al. (2023) demonstrate that pest occurrence can be modelled using weather variables and machine learning techniques, showing that weather can be a meaningful input for pest prediction. However, Nomobug's warranty dataset is expected to contain approximately 200+ warranty records, which is small for complex machine learning. Therefore, this project will use lightweight and explainable methods first, such as time-lag rainfall analysis, simple comparative recurrence rates, and logistic regression only if the feature set and target variable are sufficiently stable.</w:t>
      </w:r>
    </w:p>
    <w:p w14:paraId="3C65372C" w14:textId="77777777" w:rsidR="008D6A1A" w:rsidRPr="00335C63" w:rsidRDefault="008D6A1A" w:rsidP="008D6A1A">
      <w:pPr>
        <w:spacing w:line="360" w:lineRule="auto" w:after="120"/>
        <w:jc w:val="left"/>
        <w:rPr>
          <w:rFonts w:ascii="Times New Roman" w:hAnsi="Times New Roman" w:cs="Times New Roman"/>
          <w:sz w:val="24"/>
          <w:szCs w:val="24"/>
        </w:rPr>
      </w:pPr>
    </w:p>
    <w:p w14:paraId="12026901" w14:textId="77777777" w:rsidR="0084730D" w:rsidRDefault="00357319"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This choice is methodologically important. Complex models such as random forests, XGBoost, or deep learning may appear advanced, but they can overfit small datasets and reduce explainability. Because the expected warranty data volume is modest, the project will position complex ML as optional or future work and will focus first on defensible analytics: day/week/month descriptive trends, recurrence windows, DBSCAN/KDE hotspots, weather lag indicators, and simple logistic regression only where the data is sufficient.</w:t>
      </w:r>
    </w:p>
    <w:p w14:paraId="018312ED" w14:textId="77777777" w:rsidR="00EF6C0D" w:rsidRPr="00EF6C0D" w:rsidRDefault="00EF6C0D" w:rsidP="00EF6C0D">
      <w:pPr>
        <w:spacing w:line="360" w:lineRule="auto" w:after="120"/>
        <w:jc w:val="left"/>
        <w:rPr>
          <w:rFonts w:ascii="Times New Roman" w:hAnsi="Times New Roman" w:cs="Times New Roman"/>
          <w:sz w:val="28"/>
          <w:szCs w:val="28"/>
        </w:rPr>
      </w:pPr>
    </w:p>
    <w:p w14:paraId="1C79AD1F"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Ejike et al. (2025) compare logistic regression and random forest models for rainfall prediction in tropical and temperate climates, including Alor Setar as a tropical site. Their study supports the use of weather variables such as humidity, pressure, temperature, and rainfall in predictive modelling, but it also shows why model choice should match the problem and data size. For Nomobug, logistic regression and lag-based weather features are more defensible than heavier models because the warranty dataset is expected to contain only around 200+ records.</w:t>
      </w:r>
    </w:p>
    <w:p w14:paraId="02F33963"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Yao et al. (2026) use XGBoost and SHAP to analyse environmental, demographic, and socio-economic factors associated with mosquito density. This demonstrates the value of explainability when environmental factors are used in pest-related modelling. However, the proposed Nomobug system will treat SHAP-style explanations as future work or optional model interpretation, because the first implementation should prioritise robust descriptive, spatial, and recurrence analytics over complex models that may overfit limited warranty data.</w:t>
      </w:r>
    </w:p>
    <w:p w14:paraId="47ED2FA4"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2.6 AI-Assisted Recommendations for SMEs</w:t>
      </w:r>
    </w:p>
    <w:p w14:paraId="71499044"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Lu et al. (2022) review AI-enabled opportunities and transformation challenges for SMEs, showing that AI can support SME resilience and performance but must be adopted with attention to resource constraints, organizational readiness, and practical value. This directly supports the proposed future use of local Ollama-based recommendations. Rather than making AI the source of truth, the proposed system will calculate analytics-backed scores first and then use local AI to generate plain-language suggestions for management.</w:t>
      </w:r>
    </w:p>
    <w:p w14:paraId="2E306628" w14:textId="77777777" w:rsidR="008D6A1A" w:rsidRPr="00335C63" w:rsidRDefault="008D6A1A" w:rsidP="008D6A1A">
      <w:pPr>
        <w:spacing w:line="360" w:lineRule="auto" w:after="120"/>
        <w:jc w:val="left"/>
        <w:rPr>
          <w:rFonts w:ascii="Times New Roman" w:hAnsi="Times New Roman" w:cs="Times New Roman"/>
          <w:sz w:val="24"/>
          <w:szCs w:val="24"/>
        </w:rPr>
      </w:pPr>
    </w:p>
    <w:p w14:paraId="11CBE447"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This approach keeps the AI layer low-cost and </w:t>
      </w:r>
      <w:proofErr w:type="gramStart"/>
      <w:r w:rsidRPr="00335C63">
        <w:rPr>
          <w:rFonts w:ascii="Times New Roman" w:hAnsi="Times New Roman" w:cs="Times New Roman" w:eastAsia="Times New Roman"/>
          <w:sz w:val="24"/>
          <w:szCs w:val="24"/>
        </w:rPr>
        <w:t>privacy-conscious</w:t>
      </w:r>
      <w:proofErr w:type="gramEnd"/>
      <w:r w:rsidRPr="00335C63">
        <w:rPr>
          <w:rFonts w:ascii="Times New Roman" w:hAnsi="Times New Roman" w:cs="Times New Roman" w:eastAsia="Times New Roman"/>
          <w:sz w:val="24"/>
          <w:szCs w:val="24"/>
        </w:rPr>
        <w:t>. The company can run Ollama locally in the future to explain why a case is high risk, why an area needs closer monitoring, or which action may reduce repeat visits. This is aligned with prescriptive analytics while avoiding external AI API cost.</w:t>
      </w:r>
    </w:p>
    <w:p w14:paraId="56011FCE" w14:textId="77777777" w:rsidR="00EF6C0D" w:rsidRPr="00335C63" w:rsidRDefault="00EF6C0D" w:rsidP="008D6A1A">
      <w:pPr>
        <w:spacing w:line="360" w:lineRule="auto" w:after="120"/>
        <w:jc w:val="left"/>
        <w:rPr>
          <w:rFonts w:ascii="Times New Roman" w:hAnsi="Times New Roman" w:cs="Times New Roman"/>
          <w:sz w:val="24"/>
          <w:szCs w:val="24"/>
        </w:rPr>
      </w:pPr>
    </w:p>
    <w:p w14:paraId="042DFB87"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Leybourne et al. (2025) discuss whether AI can be integrated into pest monitoring schemes and emphasise that successful AI use requires both computational capability and practical acceptance by domain users. This supports the project's decision to keep Ollama as a future local explanation layer rather than making generative AI the main decision engine. Recommendations should first be produced by transparent analytics rules and stored in a </w:t>
      </w:r>
      <w:r w:rsidRPr="00EF6C0D">
        <w:rPr>
          <w:rFonts w:ascii="Times New Roman" w:hAnsi="Times New Roman" w:cs="Times New Roman" w:eastAsia="Times New Roman"/>
          <w:sz w:val="24"/>
          <w:szCs w:val="24"/>
        </w:rPr>
        <w:lastRenderedPageBreak/>
        <w:t>recommendation log; local AI can later translate those results into clearer management-facing explanations.</w:t>
      </w:r>
    </w:p>
    <w:p w14:paraId="73172DC6"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cs="Times New Roman"/>
          <w:b/>
          <w:color w:val="000000"/>
          <w:sz w:val="24"/>
        </w:rPr>
        <w:t>2.7 Comparative Review of Selected Studies</w:t>
      </w:r>
    </w:p>
    <w:p w14:paraId="5B440CEC"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 xml:space="preserve">Ragazou et al. (2023) proposed a business intelligence model for empowering SMEs to make better decisions and improve competitive advantage. Their work supports the idea that scattered operational data can become useful management information when it is organised into a structured analytics model. This is relevant to Nomobug because the company already records leads, services, payments, warranty claims, refunds, calendar events, and </w:t>
      </w:r>
      <w:proofErr w:type="gramStart"/>
      <w:r w:rsidRPr="008D6A1A">
        <w:rPr>
          <w:rFonts w:ascii="Times New Roman" w:hAnsi="Times New Roman" w:cs="Times New Roman" w:eastAsia="Times New Roman"/>
          <w:sz w:val="24"/>
          <w:szCs w:val="24"/>
        </w:rPr>
        <w:t>upsell</w:t>
      </w:r>
      <w:proofErr w:type="gramEnd"/>
      <w:r w:rsidRPr="008D6A1A">
        <w:rPr>
          <w:rFonts w:ascii="Times New Roman" w:hAnsi="Times New Roman" w:cs="Times New Roman" w:eastAsia="Times New Roman"/>
          <w:sz w:val="24"/>
          <w:szCs w:val="24"/>
        </w:rPr>
        <w:t xml:space="preserve"> activity, but these records are not yet integrated for decision-making.</w:t>
      </w:r>
    </w:p>
    <w:p w14:paraId="5CB0ADA6" w14:textId="77777777" w:rsidR="008D6A1A" w:rsidRPr="008D6A1A" w:rsidRDefault="008D6A1A" w:rsidP="008D6A1A">
      <w:pPr>
        <w:spacing w:line="360" w:lineRule="auto" w:after="120"/>
        <w:jc w:val="left"/>
        <w:rPr>
          <w:rFonts w:ascii="Times New Roman" w:hAnsi="Times New Roman" w:cs="Times New Roman"/>
          <w:sz w:val="24"/>
          <w:szCs w:val="24"/>
        </w:rPr>
      </w:pPr>
    </w:p>
    <w:p w14:paraId="01029313"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 xml:space="preserve">Gurcan et al. (2023) analysed business intelligence trends and showed that recent BI work increasingly combines visualisation, data mining, big data analytics, and AI. This supports the proposed layered dashboard design, where descriptive analytics will be combined with predictive indicators and prescriptive recommendations. It also supports the decision to use Apache Superset and BigQuery as </w:t>
      </w:r>
      <w:proofErr w:type="gramStart"/>
      <w:r w:rsidRPr="008D6A1A">
        <w:rPr>
          <w:rFonts w:ascii="Times New Roman" w:hAnsi="Times New Roman" w:cs="Times New Roman" w:eastAsia="Times New Roman"/>
          <w:sz w:val="24"/>
          <w:szCs w:val="24"/>
        </w:rPr>
        <w:t>a practical</w:t>
      </w:r>
      <w:proofErr w:type="gramEnd"/>
      <w:r w:rsidRPr="008D6A1A">
        <w:rPr>
          <w:rFonts w:ascii="Times New Roman" w:hAnsi="Times New Roman" w:cs="Times New Roman" w:eastAsia="Times New Roman"/>
          <w:sz w:val="24"/>
          <w:szCs w:val="24"/>
        </w:rPr>
        <w:t xml:space="preserve"> analytics architecture rather than building a full CRM system.</w:t>
      </w:r>
    </w:p>
    <w:p w14:paraId="5AD0E43E" w14:textId="77777777" w:rsidR="008D6A1A" w:rsidRPr="008D6A1A" w:rsidRDefault="008D6A1A" w:rsidP="008D6A1A">
      <w:pPr>
        <w:spacing w:line="360" w:lineRule="auto" w:after="120"/>
        <w:jc w:val="left"/>
        <w:rPr>
          <w:rFonts w:ascii="Times New Roman" w:hAnsi="Times New Roman" w:cs="Times New Roman"/>
          <w:sz w:val="24"/>
          <w:szCs w:val="24"/>
        </w:rPr>
      </w:pPr>
    </w:p>
    <w:p w14:paraId="1AD0FC0A"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Cordon (2026) presented predictive heat maps for Periplaneta americana infestation in urban sanitation networks. This source is directly relevant because it demonstrates how urban cockroach infestation risk can be represented spatially over time. However, it is best used as supporting evidence for heatmap and temporal visualisation concepts rather than as the main modelling reference because the proposed Nomobug system must analyse company service outcomes, not only infestation observations.</w:t>
      </w:r>
    </w:p>
    <w:p w14:paraId="5E61BE95" w14:textId="77777777" w:rsidR="008D6A1A" w:rsidRPr="008D6A1A" w:rsidRDefault="008D6A1A" w:rsidP="008D6A1A">
      <w:pPr>
        <w:spacing w:line="360" w:lineRule="auto" w:after="120"/>
        <w:jc w:val="left"/>
        <w:rPr>
          <w:rFonts w:ascii="Times New Roman" w:hAnsi="Times New Roman" w:cs="Times New Roman"/>
          <w:sz w:val="24"/>
          <w:szCs w:val="24"/>
        </w:rPr>
      </w:pPr>
    </w:p>
    <w:p w14:paraId="66D947BF"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Calatayud et al. (2023) proposed a population model for urban infestations, showing that urban pest problems can be represented using mathematical and spatial modelling approaches. This is relevant to the project because it supports the idea that urban infestation risk is not random and can be modelled using environmental and location-based information. The limitation is that the study is more theoretical than the planned company dashboard, so the project will apply simpler operational analytics first.</w:t>
      </w:r>
    </w:p>
    <w:p w14:paraId="38A260A0" w14:textId="77777777" w:rsidR="008D6A1A" w:rsidRPr="008D6A1A" w:rsidRDefault="008D6A1A" w:rsidP="008D6A1A">
      <w:pPr>
        <w:spacing w:line="360" w:lineRule="auto" w:after="120"/>
        <w:jc w:val="left"/>
        <w:rPr>
          <w:rFonts w:ascii="Times New Roman" w:hAnsi="Times New Roman" w:cs="Times New Roman"/>
          <w:sz w:val="24"/>
          <w:szCs w:val="24"/>
        </w:rPr>
      </w:pPr>
    </w:p>
    <w:p w14:paraId="4861A5BA" w14:textId="77777777" w:rsidR="00984EB3" w:rsidRPr="008D6A1A"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lastRenderedPageBreak/>
        <w:t>Hiscox et al. (2025) reviewed the impact of adverse weather events on cockroaches and flies and reported that temperature, extreme rainfall, and flooding may influence pest ecology and human-pest interaction. This supports the inclusion of rainfall, humidity, and temperature as weather-associated indicators. The study also supports cautious wording because pest activity can be affected by sanitation, building condition, habitat disturbance, and other confounding factors.</w:t>
      </w:r>
    </w:p>
    <w:p w14:paraId="651FB4F9"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Richardson et al. (2025) examined urban rat reports and linked increasing rat numbers with climate warming, urbanisation, and human population. Although the study is not based on Malaysian pest-control service records, it supports the broader idea that urban pest issues should be analysed together with environmental and urban context. This is relevant to the proposed area risk, treatment difficulty, and recurrence analytics modules.</w:t>
      </w:r>
    </w:p>
    <w:p w14:paraId="0C6E9D96" w14:textId="77777777" w:rsidR="008D6A1A" w:rsidRPr="008D6A1A" w:rsidRDefault="008D6A1A" w:rsidP="008D6A1A">
      <w:pPr>
        <w:spacing w:line="360" w:lineRule="auto" w:after="120"/>
        <w:jc w:val="left"/>
        <w:rPr>
          <w:rFonts w:ascii="Times New Roman" w:hAnsi="Times New Roman" w:cs="Times New Roman"/>
          <w:sz w:val="24"/>
          <w:szCs w:val="24"/>
        </w:rPr>
      </w:pPr>
    </w:p>
    <w:p w14:paraId="0AA030E7"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Brimblecombe et al. (2023) analysed long-term urban pest enquiries in Zurich and showed that public enquiry and complaint data can reveal useful patterns in urban pest abundance. This supports the use of Nomobug warranty, complaint, and refund records as operational evidence. However, the study also highlights that such records may be incomplete, biased, or inconsistent, which supports the need for data quality flags and careful interpretation.</w:t>
      </w:r>
    </w:p>
    <w:p w14:paraId="3E80C43E" w14:textId="77777777" w:rsidR="008D6A1A" w:rsidRPr="008D6A1A" w:rsidRDefault="008D6A1A" w:rsidP="008D6A1A">
      <w:pPr>
        <w:spacing w:line="360" w:lineRule="auto" w:after="120"/>
        <w:jc w:val="left"/>
        <w:rPr>
          <w:rFonts w:ascii="Times New Roman" w:hAnsi="Times New Roman" w:cs="Times New Roman"/>
          <w:sz w:val="24"/>
          <w:szCs w:val="24"/>
        </w:rPr>
      </w:pPr>
    </w:p>
    <w:p w14:paraId="6CF54C72"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Pinto et al. (2025) described the Network for Environment and Weather Applications as a digital pest management decision-support tool that combines weather data, dashboards, alerts, and risk models. Although the system focuses on agricultural pest management, it provides a useful reference for weather-aware decision support. The Nomobug project adapts this concept into an urban pest-control SME context using service outcomes, warranty claims, and scheduling data.</w:t>
      </w:r>
    </w:p>
    <w:p w14:paraId="1982AE06" w14:textId="77777777" w:rsidR="008D6A1A" w:rsidRPr="008D6A1A" w:rsidRDefault="008D6A1A" w:rsidP="008D6A1A">
      <w:pPr>
        <w:spacing w:line="360" w:lineRule="auto" w:after="120"/>
        <w:jc w:val="left"/>
        <w:rPr>
          <w:rFonts w:ascii="Times New Roman" w:hAnsi="Times New Roman" w:cs="Times New Roman"/>
          <w:sz w:val="24"/>
          <w:szCs w:val="24"/>
        </w:rPr>
      </w:pPr>
    </w:p>
    <w:p w14:paraId="455AD25A"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Erguler et al. (2024) developed VEClim, an early warning decision-support system for climate-sensitive vector activity and vector-borne disease risk assessment. This source is highly relevant because it demonstrates how climate-sensitive modelling can support warning systems and planning decisions. The proposed Nomobug dashboard follows a similar decision-support direction but applies it to pest-control operations and management planning rather than public health vector surveillance.</w:t>
      </w:r>
    </w:p>
    <w:p w14:paraId="4844AD0C" w14:textId="77777777" w:rsidR="008D6A1A" w:rsidRPr="008D6A1A" w:rsidRDefault="008D6A1A" w:rsidP="008D6A1A">
      <w:pPr>
        <w:spacing w:line="360" w:lineRule="auto" w:after="120"/>
        <w:jc w:val="left"/>
        <w:rPr>
          <w:rFonts w:ascii="Times New Roman" w:hAnsi="Times New Roman" w:cs="Times New Roman"/>
          <w:sz w:val="24"/>
          <w:szCs w:val="24"/>
        </w:rPr>
      </w:pPr>
    </w:p>
    <w:p w14:paraId="0DAF83D9"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Yao et al. (2026) analysed environmental, demographic, and socio-economic factors influencing Aedes albopictus mosquito density using XGBoost and SHAP. The study supports the value of combining environmental variables with interpretable machine-learning explanations. However, because Nomobug has a smaller warranty dataset, the project will not rely on complex XGBoost modelling as the main approach; instead, it will use the study to justify explainable features and future model improvement.</w:t>
      </w:r>
    </w:p>
    <w:p w14:paraId="2161D12F" w14:textId="77777777" w:rsidR="008D6A1A" w:rsidRPr="008D6A1A" w:rsidRDefault="008D6A1A" w:rsidP="008D6A1A">
      <w:pPr>
        <w:spacing w:line="360" w:lineRule="auto" w:after="120"/>
        <w:jc w:val="left"/>
        <w:rPr>
          <w:rFonts w:ascii="Times New Roman" w:hAnsi="Times New Roman" w:cs="Times New Roman"/>
          <w:sz w:val="24"/>
          <w:szCs w:val="24"/>
        </w:rPr>
      </w:pPr>
    </w:p>
    <w:p w14:paraId="40A2B823"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 xml:space="preserve">Kaloudis et al. (2026) proposed a temperature-driven population dynamics model using biweekly insect trap counts for stored-product pest management. This source supports the relevance of temperature and time-window features in pest analytics. Since it is a preprint and focuses on stored-product pests, it will be treated as supporting evidence rather than as the main evaluation standard for the </w:t>
      </w:r>
      <w:proofErr w:type="spellStart"/>
      <w:r w:rsidRPr="008D6A1A">
        <w:rPr>
          <w:rFonts w:ascii="Times New Roman" w:hAnsi="Times New Roman" w:cs="Times New Roman" w:eastAsia="Times New Roman"/>
          <w:sz w:val="24"/>
          <w:szCs w:val="24"/>
        </w:rPr>
        <w:t>Nomobug</w:t>
      </w:r>
      <w:proofErr w:type="spellEnd"/>
      <w:r w:rsidRPr="008D6A1A">
        <w:rPr>
          <w:rFonts w:ascii="Times New Roman" w:hAnsi="Times New Roman" w:cs="Times New Roman" w:eastAsia="Times New Roman"/>
          <w:sz w:val="24"/>
          <w:szCs w:val="24"/>
        </w:rPr>
        <w:t xml:space="preserve"> dashboard.</w:t>
      </w:r>
    </w:p>
    <w:p w14:paraId="3D7EFC2B" w14:textId="77777777" w:rsidR="008D6A1A" w:rsidRPr="008D6A1A" w:rsidRDefault="008D6A1A" w:rsidP="008D6A1A">
      <w:pPr>
        <w:spacing w:line="360" w:lineRule="auto" w:after="120"/>
        <w:jc w:val="left"/>
        <w:rPr>
          <w:rFonts w:ascii="Times New Roman" w:hAnsi="Times New Roman" w:cs="Times New Roman"/>
          <w:sz w:val="24"/>
          <w:szCs w:val="24"/>
        </w:rPr>
      </w:pPr>
    </w:p>
    <w:p w14:paraId="4B9CD536"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Sumido et al. (2023) examined pest classification and prediction using weather variables and machine-learning techniques. This supports the use of rainfall, humidity, and temperature as features for pest-related analytics. The study is relevant to the proposed weather-associated warranty and repeat-problem analysis, although the Nomobug system will prioritise transparent and explainable scoring due to limited labelled warranty data.</w:t>
      </w:r>
    </w:p>
    <w:p w14:paraId="5AAC5F6B" w14:textId="77777777" w:rsidR="008D6A1A" w:rsidRPr="008D6A1A" w:rsidRDefault="008D6A1A" w:rsidP="008D6A1A">
      <w:pPr>
        <w:spacing w:line="360" w:lineRule="auto" w:after="120"/>
        <w:jc w:val="left"/>
        <w:rPr>
          <w:rFonts w:ascii="Times New Roman" w:hAnsi="Times New Roman" w:cs="Times New Roman"/>
          <w:sz w:val="24"/>
          <w:szCs w:val="24"/>
        </w:rPr>
      </w:pPr>
    </w:p>
    <w:p w14:paraId="21D56DCE"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Biswas et al. (2022) described a pest forecasting system using historical pesticide usage information. Although it is patent literature rather than an academic evaluation paper, it shows that historical operational records can be used as inputs for pest forecasting. This is relevant because the proposed project similarly uses historical service, warranty, refund, and calendar records to generate planning indicators.</w:t>
      </w:r>
    </w:p>
    <w:p w14:paraId="13E23AD3" w14:textId="77777777" w:rsidR="008D6A1A" w:rsidRPr="008D6A1A" w:rsidRDefault="008D6A1A" w:rsidP="008D6A1A">
      <w:pPr>
        <w:spacing w:line="360" w:lineRule="auto" w:after="120"/>
        <w:jc w:val="left"/>
        <w:rPr>
          <w:rFonts w:ascii="Times New Roman" w:hAnsi="Times New Roman" w:cs="Times New Roman"/>
          <w:sz w:val="24"/>
          <w:szCs w:val="24"/>
        </w:rPr>
      </w:pPr>
    </w:p>
    <w:p w14:paraId="68F772F6"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Dey and Roy (2025) discussed the use of AI and IoT for pest management in smart agriculture. This source is relevant as a broader technology reference because it connects pest management with automated monitoring and intelligent decision support. However, the Nomobug project will avoid expensive IoT deployment and will instead focus on existing company data, dashboard analytics, and optional local AI explanations.</w:t>
      </w:r>
    </w:p>
    <w:p w14:paraId="78023E0D" w14:textId="77777777" w:rsidR="008D6A1A" w:rsidRPr="008D6A1A" w:rsidRDefault="008D6A1A" w:rsidP="008D6A1A">
      <w:pPr>
        <w:spacing w:line="360" w:lineRule="auto" w:after="120"/>
        <w:jc w:val="left"/>
        <w:rPr>
          <w:rFonts w:ascii="Times New Roman" w:hAnsi="Times New Roman" w:cs="Times New Roman"/>
          <w:sz w:val="24"/>
          <w:szCs w:val="24"/>
        </w:rPr>
      </w:pPr>
    </w:p>
    <w:p w14:paraId="09136E24"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Google Calendar API documentation shows that calendar events can be retrieved and processed through API calls. This supports using Google Calendar as an operational data source for scheduling capacity, service stage, team workload, and warranty or extra-service identification. Because calendar titles and descriptions are semi-structured, the methodology will include parsing rules and match-confidence flags.</w:t>
      </w:r>
    </w:p>
    <w:p w14:paraId="49750078" w14:textId="77777777" w:rsidR="008D6A1A" w:rsidRPr="008D6A1A" w:rsidRDefault="008D6A1A" w:rsidP="008D6A1A">
      <w:pPr>
        <w:spacing w:line="360" w:lineRule="auto" w:after="120"/>
        <w:jc w:val="left"/>
        <w:rPr>
          <w:rFonts w:ascii="Times New Roman" w:hAnsi="Times New Roman" w:cs="Times New Roman"/>
          <w:sz w:val="24"/>
          <w:szCs w:val="24"/>
        </w:rPr>
      </w:pPr>
    </w:p>
    <w:p w14:paraId="289FC793" w14:textId="77777777" w:rsidR="00984EB3" w:rsidRDefault="003C0C08" w:rsidP="008D6A1A">
      <w:pPr>
        <w:spacing w:line="360" w:lineRule="auto" w:after="120"/>
        <w:jc w:val="both"/>
      </w:pPr>
      <w:r w:rsidRPr="008D6A1A">
        <w:rPr>
          <w:rFonts w:ascii="Times New Roman" w:hAnsi="Times New Roman" w:cs="Times New Roman" w:eastAsia="Times New Roman"/>
          <w:sz w:val="24"/>
          <w:szCs w:val="24"/>
        </w:rPr>
        <w:t>Open-Meteo documentation explains how historical and forecast weather data can be retrieved using coordinates and date ranges. This is important because Nomobug service areas can be matched to area or postcode centroids without exposing full customer addresses. Malaysia OpenAPI and MET Malaysia documentation provide official forecast and warning support that can be used as a live planning layer</w:t>
      </w:r>
      <w:r>
        <w:rPr>
          <w:rFonts w:ascii="Times New Roman" w:hAnsi="Times New Roman" w:eastAsia="Times New Roman" w:cs="Times New Roman"/>
          <w:sz w:val="24"/>
        </w:rPr>
        <w:t>.</w:t>
      </w:r>
    </w:p>
    <w:p w14:paraId="14B80CED" w14:textId="77777777" w:rsidR="00984EB3" w:rsidRDefault="003C0C08">
      <w:pPr>
        <w:pStyle w:val="Heading2"/>
        <w:spacing w:line="360" w:lineRule="auto" w:after="120" w:before="160"/>
        <w:jc w:val="left"/>
      </w:pPr>
      <w:r>
        <w:rPr>
          <w:rFonts w:ascii="Times New Roman" w:hAnsi="Times New Roman" w:eastAsia="Times New Roman" w:cs="Times New Roman"/>
          <w:b/>
          <w:color w:val="000000"/>
          <w:sz w:val="24"/>
        </w:rPr>
        <w:t>2.8 Literature Matrix</w:t>
      </w:r>
    </w:p>
    <w:tbl>
      <w:tblPr>
        <w:tblStyle w:val="TableGrid"/>
        <w:tblW w:w="0" w:type="auto"/>
        <w:jc w:val="center"/>
        <w:tblLook w:val="04A0" w:firstRow="1" w:lastRow="0" w:firstColumn="1" w:lastColumn="0" w:noHBand="0" w:noVBand="1"/>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48"/>
        <w:gridCol w:w="2251"/>
        <w:gridCol w:w="2269"/>
        <w:gridCol w:w="2248"/>
      </w:tblGrid>
      <w:tr w:rsidR="00984EB3" w14:paraId="53CB9D67" w14:textId="77777777">
        <w:trPr>
          <w:jc w:val="center"/>
        </w:trPr>
        <w:tc>
          <w:tcPr>
            <w:tcW w:w="2256" w:type="dxa"/>
            <w:shd w:val="clear" w:color="auto" w:fill="D9EAF7"/>
            <w:vAlign w:val="center"/>
            <w:shd w:fill="DCEAF7"/>
          </w:tcPr>
          <w:p w14:paraId="73D48E40"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1"/>
                <w:szCs w:val="24"/>
              </w:rPr>
              <w:t>Study / Source</w:t>
            </w:r>
          </w:p>
        </w:tc>
        <w:tc>
          <w:tcPr>
            <w:tcW w:w="2256" w:type="dxa"/>
            <w:shd w:val="clear" w:color="auto" w:fill="D9EAF7"/>
            <w:vAlign w:val="center"/>
            <w:shd w:fill="DCEAF7"/>
          </w:tcPr>
          <w:p w14:paraId="3C62294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1"/>
                <w:szCs w:val="24"/>
              </w:rPr>
              <w:t>Focus</w:t>
            </w:r>
          </w:p>
        </w:tc>
        <w:tc>
          <w:tcPr>
            <w:tcW w:w="2256" w:type="dxa"/>
            <w:shd w:val="clear" w:color="auto" w:fill="D9EAF7"/>
            <w:vAlign w:val="center"/>
            <w:shd w:fill="DCEAF7"/>
          </w:tcPr>
          <w:p w14:paraId="1CD5942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1"/>
                <w:szCs w:val="24"/>
              </w:rPr>
              <w:t>How It Supports This Project</w:t>
            </w:r>
          </w:p>
        </w:tc>
        <w:tc>
          <w:tcPr>
            <w:tcW w:w="2256" w:type="dxa"/>
            <w:shd w:val="clear" w:color="auto" w:fill="D9EAF7"/>
            <w:vAlign w:val="center"/>
            <w:shd w:fill="DCEAF7"/>
          </w:tcPr>
          <w:p w14:paraId="48A096F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1"/>
                <w:szCs w:val="24"/>
              </w:rPr>
              <w:t>Use / Limitation</w:t>
            </w:r>
          </w:p>
        </w:tc>
      </w:tr>
      <w:tr w:rsidR="00984EB3" w14:paraId="0E34A2A0" w14:textId="77777777">
        <w:trPr>
          <w:jc w:val="center"/>
        </w:trPr>
        <w:tc>
          <w:tcPr>
            <w:tcW w:w="2256" w:type="dxa"/>
            <w:vAlign w:val="center"/>
          </w:tcPr>
          <w:p w14:paraId="456249F1"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Ragazou et al. (2023)</w:t>
            </w:r>
          </w:p>
        </w:tc>
        <w:tc>
          <w:tcPr>
            <w:tcW w:w="2256" w:type="dxa"/>
            <w:vAlign w:val="center"/>
          </w:tcPr>
          <w:p w14:paraId="66BB6E00"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BI for SMEs</w:t>
            </w:r>
          </w:p>
        </w:tc>
        <w:tc>
          <w:tcPr>
            <w:tcW w:w="2256" w:type="dxa"/>
            <w:vAlign w:val="center"/>
          </w:tcPr>
          <w:p w14:paraId="3F77F2D5"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SME decision-support dashboard framing</w:t>
            </w:r>
          </w:p>
        </w:tc>
        <w:tc>
          <w:tcPr>
            <w:tcW w:w="2256" w:type="dxa"/>
            <w:vAlign w:val="center"/>
          </w:tcPr>
          <w:p w14:paraId="77ABA061"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Core BI reference</w:t>
            </w:r>
          </w:p>
        </w:tc>
      </w:tr>
      <w:tr w:rsidR="00984EB3" w14:paraId="50000622" w14:textId="77777777">
        <w:trPr>
          <w:jc w:val="center"/>
        </w:trPr>
        <w:tc>
          <w:tcPr>
            <w:tcW w:w="2256" w:type="dxa"/>
            <w:vAlign w:val="center"/>
          </w:tcPr>
          <w:p w14:paraId="144F917F"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Gurcan et al. (2023)</w:t>
            </w:r>
          </w:p>
        </w:tc>
        <w:tc>
          <w:tcPr>
            <w:tcW w:w="2256" w:type="dxa"/>
            <w:vAlign w:val="center"/>
          </w:tcPr>
          <w:p w14:paraId="4B8D5F8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BI trends, AI, data mining</w:t>
            </w:r>
          </w:p>
        </w:tc>
        <w:tc>
          <w:tcPr>
            <w:tcW w:w="2256" w:type="dxa"/>
            <w:vAlign w:val="center"/>
          </w:tcPr>
          <w:p w14:paraId="0997505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layered descriptive, predictive, prescriptive analytics</w:t>
            </w:r>
          </w:p>
        </w:tc>
        <w:tc>
          <w:tcPr>
            <w:tcW w:w="2256" w:type="dxa"/>
            <w:vAlign w:val="center"/>
          </w:tcPr>
          <w:p w14:paraId="0CF28C60"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Core BI reference</w:t>
            </w:r>
          </w:p>
        </w:tc>
      </w:tr>
      <w:tr w:rsidR="00984EB3" w14:paraId="1FEA69A1" w14:textId="77777777">
        <w:trPr>
          <w:jc w:val="center"/>
        </w:trPr>
        <w:tc>
          <w:tcPr>
            <w:tcW w:w="2256" w:type="dxa"/>
            <w:vAlign w:val="center"/>
          </w:tcPr>
          <w:p w14:paraId="2BF8163A"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Cordon (2026)</w:t>
            </w:r>
          </w:p>
        </w:tc>
        <w:tc>
          <w:tcPr>
            <w:tcW w:w="2256" w:type="dxa"/>
            <w:vAlign w:val="center"/>
          </w:tcPr>
          <w:p w14:paraId="67797AA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Predictive heat maps for urban cockroach infestation</w:t>
            </w:r>
          </w:p>
        </w:tc>
        <w:tc>
          <w:tcPr>
            <w:tcW w:w="2256" w:type="dxa"/>
            <w:vAlign w:val="center"/>
          </w:tcPr>
          <w:p w14:paraId="3A63FCE4"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spatial-temporal heatmap concept</w:t>
            </w:r>
          </w:p>
        </w:tc>
        <w:tc>
          <w:tcPr>
            <w:tcW w:w="2256" w:type="dxa"/>
            <w:vAlign w:val="center"/>
          </w:tcPr>
          <w:p w14:paraId="28E97997"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Supporting source, not main model</w:t>
            </w:r>
          </w:p>
        </w:tc>
      </w:tr>
      <w:tr w:rsidR="00984EB3" w14:paraId="480CE986" w14:textId="77777777">
        <w:trPr>
          <w:jc w:val="center"/>
        </w:trPr>
        <w:tc>
          <w:tcPr>
            <w:tcW w:w="2256" w:type="dxa"/>
            <w:vAlign w:val="center"/>
          </w:tcPr>
          <w:p w14:paraId="7EE2FBCF"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Calatayud et al. (2023)</w:t>
            </w:r>
          </w:p>
        </w:tc>
        <w:tc>
          <w:tcPr>
            <w:tcW w:w="2256" w:type="dxa"/>
            <w:vAlign w:val="center"/>
          </w:tcPr>
          <w:p w14:paraId="64E3287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Urban infestation population model</w:t>
            </w:r>
          </w:p>
        </w:tc>
        <w:tc>
          <w:tcPr>
            <w:tcW w:w="2256" w:type="dxa"/>
            <w:vAlign w:val="center"/>
          </w:tcPr>
          <w:p w14:paraId="799519A6"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modelling urban pest dynamics</w:t>
            </w:r>
          </w:p>
        </w:tc>
        <w:tc>
          <w:tcPr>
            <w:tcW w:w="2256" w:type="dxa"/>
            <w:vAlign w:val="center"/>
          </w:tcPr>
          <w:p w14:paraId="6805F821"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More theoretical than dashboard use</w:t>
            </w:r>
          </w:p>
        </w:tc>
      </w:tr>
      <w:tr w:rsidR="00984EB3" w14:paraId="350E6D2A" w14:textId="77777777">
        <w:trPr>
          <w:jc w:val="center"/>
        </w:trPr>
        <w:tc>
          <w:tcPr>
            <w:tcW w:w="2256" w:type="dxa"/>
            <w:vAlign w:val="center"/>
          </w:tcPr>
          <w:p w14:paraId="326783D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Hiscox et al. (2025)</w:t>
            </w:r>
          </w:p>
        </w:tc>
        <w:tc>
          <w:tcPr>
            <w:tcW w:w="2256" w:type="dxa"/>
            <w:vAlign w:val="center"/>
          </w:tcPr>
          <w:p w14:paraId="483A6204"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Weather events and cockroaches/flies</w:t>
            </w:r>
          </w:p>
        </w:tc>
        <w:tc>
          <w:tcPr>
            <w:tcW w:w="2256" w:type="dxa"/>
            <w:vAlign w:val="center"/>
          </w:tcPr>
          <w:p w14:paraId="02CF1E28"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weather-associated risk indicators</w:t>
            </w:r>
          </w:p>
        </w:tc>
        <w:tc>
          <w:tcPr>
            <w:tcW w:w="2256" w:type="dxa"/>
            <w:vAlign w:val="center"/>
          </w:tcPr>
          <w:p w14:paraId="5EC48AD1"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Avoid causal claims</w:t>
            </w:r>
          </w:p>
        </w:tc>
      </w:tr>
      <w:tr w:rsidR="00984EB3" w14:paraId="0E2FAB9E" w14:textId="77777777">
        <w:trPr>
          <w:jc w:val="center"/>
        </w:trPr>
        <w:tc>
          <w:tcPr>
            <w:tcW w:w="2256" w:type="dxa"/>
            <w:vAlign w:val="center"/>
          </w:tcPr>
          <w:p w14:paraId="057EAAB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lastRenderedPageBreak/>
              <w:t>Richardson et al. (2025)</w:t>
            </w:r>
          </w:p>
        </w:tc>
        <w:tc>
          <w:tcPr>
            <w:tcW w:w="2256" w:type="dxa"/>
            <w:vAlign w:val="center"/>
          </w:tcPr>
          <w:p w14:paraId="6767183F"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Urban rats, climate, urbanisation</w:t>
            </w:r>
          </w:p>
        </w:tc>
        <w:tc>
          <w:tcPr>
            <w:tcW w:w="2256" w:type="dxa"/>
            <w:vAlign w:val="center"/>
          </w:tcPr>
          <w:p w14:paraId="791A21D1"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environmental and urban context analysis</w:t>
            </w:r>
          </w:p>
        </w:tc>
        <w:tc>
          <w:tcPr>
            <w:tcW w:w="2256" w:type="dxa"/>
            <w:vAlign w:val="center"/>
          </w:tcPr>
          <w:p w14:paraId="7A90559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Different pest and setting</w:t>
            </w:r>
          </w:p>
        </w:tc>
      </w:tr>
      <w:tr w:rsidR="00984EB3" w14:paraId="745A3A2D" w14:textId="77777777">
        <w:trPr>
          <w:jc w:val="center"/>
        </w:trPr>
        <w:tc>
          <w:tcPr>
            <w:tcW w:w="2256" w:type="dxa"/>
            <w:vAlign w:val="center"/>
          </w:tcPr>
          <w:p w14:paraId="55D77D53"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Brimblecombe et al. (2023)</w:t>
            </w:r>
          </w:p>
        </w:tc>
        <w:tc>
          <w:tcPr>
            <w:tcW w:w="2256" w:type="dxa"/>
            <w:vAlign w:val="center"/>
          </w:tcPr>
          <w:p w14:paraId="46EFCA7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Urban pest enquiry data</w:t>
            </w:r>
          </w:p>
        </w:tc>
        <w:tc>
          <w:tcPr>
            <w:tcW w:w="2256" w:type="dxa"/>
            <w:vAlign w:val="center"/>
          </w:tcPr>
          <w:p w14:paraId="78364377"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use of complaints/warranty-style records</w:t>
            </w:r>
          </w:p>
        </w:tc>
        <w:tc>
          <w:tcPr>
            <w:tcW w:w="2256" w:type="dxa"/>
            <w:vAlign w:val="center"/>
          </w:tcPr>
          <w:p w14:paraId="54C71415"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Records can be biased</w:t>
            </w:r>
          </w:p>
        </w:tc>
      </w:tr>
      <w:tr w:rsidR="00984EB3" w14:paraId="2718C31B" w14:textId="77777777">
        <w:trPr>
          <w:jc w:val="center"/>
        </w:trPr>
        <w:tc>
          <w:tcPr>
            <w:tcW w:w="2256" w:type="dxa"/>
            <w:vAlign w:val="center"/>
          </w:tcPr>
          <w:p w14:paraId="4476B44D"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Pinto et al. (2025)</w:t>
            </w:r>
          </w:p>
        </w:tc>
        <w:tc>
          <w:tcPr>
            <w:tcW w:w="2256" w:type="dxa"/>
            <w:vAlign w:val="center"/>
          </w:tcPr>
          <w:p w14:paraId="18EFD3CE"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Weather-based pest DSS</w:t>
            </w:r>
          </w:p>
        </w:tc>
        <w:tc>
          <w:tcPr>
            <w:tcW w:w="2256" w:type="dxa"/>
            <w:vAlign w:val="center"/>
          </w:tcPr>
          <w:p w14:paraId="439D338B"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decision-support architecture</w:t>
            </w:r>
          </w:p>
        </w:tc>
        <w:tc>
          <w:tcPr>
            <w:tcW w:w="2256" w:type="dxa"/>
            <w:vAlign w:val="center"/>
          </w:tcPr>
          <w:p w14:paraId="00CF2DB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Agricultural focus</w:t>
            </w:r>
          </w:p>
        </w:tc>
      </w:tr>
      <w:tr w:rsidR="00984EB3" w14:paraId="4033D9F6" w14:textId="77777777">
        <w:trPr>
          <w:jc w:val="center"/>
        </w:trPr>
        <w:tc>
          <w:tcPr>
            <w:tcW w:w="2256" w:type="dxa"/>
            <w:vAlign w:val="center"/>
          </w:tcPr>
          <w:p w14:paraId="7C01BA8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Erguler et al. (2024)</w:t>
            </w:r>
          </w:p>
        </w:tc>
        <w:tc>
          <w:tcPr>
            <w:tcW w:w="2256" w:type="dxa"/>
            <w:vAlign w:val="center"/>
          </w:tcPr>
          <w:p w14:paraId="695E8D19"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VEClim early warning DSS</w:t>
            </w:r>
          </w:p>
        </w:tc>
        <w:tc>
          <w:tcPr>
            <w:tcW w:w="2256" w:type="dxa"/>
            <w:vAlign w:val="center"/>
          </w:tcPr>
          <w:p w14:paraId="6B57E074"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climate-sensitive warning and planning layer</w:t>
            </w:r>
          </w:p>
        </w:tc>
        <w:tc>
          <w:tcPr>
            <w:tcW w:w="2256" w:type="dxa"/>
            <w:vAlign w:val="center"/>
          </w:tcPr>
          <w:p w14:paraId="254AC35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Vector/public health context</w:t>
            </w:r>
          </w:p>
        </w:tc>
      </w:tr>
      <w:tr w:rsidR="00984EB3" w14:paraId="65CD44D8" w14:textId="77777777">
        <w:trPr>
          <w:jc w:val="center"/>
        </w:trPr>
        <w:tc>
          <w:tcPr>
            <w:tcW w:w="2256" w:type="dxa"/>
            <w:vAlign w:val="center"/>
          </w:tcPr>
          <w:p w14:paraId="203D7C8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Yao et al. (2026)</w:t>
            </w:r>
          </w:p>
        </w:tc>
        <w:tc>
          <w:tcPr>
            <w:tcW w:w="2256" w:type="dxa"/>
            <w:vAlign w:val="center"/>
          </w:tcPr>
          <w:p w14:paraId="71DFD9F4"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XGBoost and SHAP mosquito density</w:t>
            </w:r>
          </w:p>
        </w:tc>
        <w:tc>
          <w:tcPr>
            <w:tcW w:w="2256" w:type="dxa"/>
            <w:vAlign w:val="center"/>
          </w:tcPr>
          <w:p w14:paraId="33B95057"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explainable environmental modelling</w:t>
            </w:r>
          </w:p>
        </w:tc>
        <w:tc>
          <w:tcPr>
            <w:tcW w:w="2256" w:type="dxa"/>
            <w:vAlign w:val="center"/>
          </w:tcPr>
          <w:p w14:paraId="674BE641"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Too complex for small warranty dataset</w:t>
            </w:r>
          </w:p>
        </w:tc>
      </w:tr>
      <w:tr w:rsidR="00984EB3" w14:paraId="2C033311" w14:textId="77777777">
        <w:trPr>
          <w:jc w:val="center"/>
        </w:trPr>
        <w:tc>
          <w:tcPr>
            <w:tcW w:w="2256" w:type="dxa"/>
            <w:vAlign w:val="center"/>
          </w:tcPr>
          <w:p w14:paraId="0ED70EA1"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Kaloudis et al. (2026)</w:t>
            </w:r>
          </w:p>
        </w:tc>
        <w:tc>
          <w:tcPr>
            <w:tcW w:w="2256" w:type="dxa"/>
            <w:vAlign w:val="center"/>
          </w:tcPr>
          <w:p w14:paraId="6B58E923"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Temperature-driven pest population model</w:t>
            </w:r>
          </w:p>
        </w:tc>
        <w:tc>
          <w:tcPr>
            <w:tcW w:w="2256" w:type="dxa"/>
            <w:vAlign w:val="center"/>
          </w:tcPr>
          <w:p w14:paraId="4CF4DBD3"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time-window and temperature features</w:t>
            </w:r>
          </w:p>
        </w:tc>
        <w:tc>
          <w:tcPr>
            <w:tcW w:w="2256" w:type="dxa"/>
            <w:vAlign w:val="center"/>
          </w:tcPr>
          <w:p w14:paraId="68A20E15"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Preprint, stored-product pest context</w:t>
            </w:r>
          </w:p>
        </w:tc>
      </w:tr>
      <w:tr w:rsidR="00984EB3" w14:paraId="25543125" w14:textId="77777777">
        <w:trPr>
          <w:jc w:val="center"/>
        </w:trPr>
        <w:tc>
          <w:tcPr>
            <w:tcW w:w="2256" w:type="dxa"/>
            <w:vAlign w:val="center"/>
          </w:tcPr>
          <w:p w14:paraId="11CADB2F"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Sumido et al. (2023)</w:t>
            </w:r>
          </w:p>
        </w:tc>
        <w:tc>
          <w:tcPr>
            <w:tcW w:w="2256" w:type="dxa"/>
            <w:vAlign w:val="center"/>
          </w:tcPr>
          <w:p w14:paraId="2E4762E8"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Weather variables and pest prediction</w:t>
            </w:r>
          </w:p>
        </w:tc>
        <w:tc>
          <w:tcPr>
            <w:tcW w:w="2256" w:type="dxa"/>
            <w:vAlign w:val="center"/>
          </w:tcPr>
          <w:p w14:paraId="03AA270A"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weather features in ML analytics</w:t>
            </w:r>
          </w:p>
        </w:tc>
        <w:tc>
          <w:tcPr>
            <w:tcW w:w="2256" w:type="dxa"/>
            <w:vAlign w:val="center"/>
          </w:tcPr>
          <w:p w14:paraId="31A86C6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Different data domain</w:t>
            </w:r>
          </w:p>
        </w:tc>
      </w:tr>
      <w:tr w:rsidR="00984EB3" w14:paraId="5AC2567B" w14:textId="77777777">
        <w:trPr>
          <w:jc w:val="center"/>
        </w:trPr>
        <w:tc>
          <w:tcPr>
            <w:tcW w:w="2256" w:type="dxa"/>
            <w:vAlign w:val="center"/>
          </w:tcPr>
          <w:p w14:paraId="29EE1DFA"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Biswas et al. (2022)</w:t>
            </w:r>
          </w:p>
        </w:tc>
        <w:tc>
          <w:tcPr>
            <w:tcW w:w="2256" w:type="dxa"/>
            <w:vAlign w:val="center"/>
          </w:tcPr>
          <w:p w14:paraId="2F00C8E0"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Pest forecasting using historical usage records</w:t>
            </w:r>
          </w:p>
        </w:tc>
        <w:tc>
          <w:tcPr>
            <w:tcW w:w="2256" w:type="dxa"/>
            <w:vAlign w:val="center"/>
          </w:tcPr>
          <w:p w14:paraId="4C271709"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use of historical operational records</w:t>
            </w:r>
          </w:p>
        </w:tc>
        <w:tc>
          <w:tcPr>
            <w:tcW w:w="2256" w:type="dxa"/>
            <w:vAlign w:val="center"/>
          </w:tcPr>
          <w:p w14:paraId="12AB900F"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Patent/source not academic validation</w:t>
            </w:r>
          </w:p>
        </w:tc>
      </w:tr>
      <w:tr w:rsidR="00984EB3" w14:paraId="633F0C46" w14:textId="77777777">
        <w:trPr>
          <w:jc w:val="center"/>
        </w:trPr>
        <w:tc>
          <w:tcPr>
            <w:tcW w:w="2256" w:type="dxa"/>
            <w:vAlign w:val="center"/>
          </w:tcPr>
          <w:p w14:paraId="6C7C8E03"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Dey &amp; Roy (2025)</w:t>
            </w:r>
          </w:p>
        </w:tc>
        <w:tc>
          <w:tcPr>
            <w:tcW w:w="2256" w:type="dxa"/>
            <w:vAlign w:val="center"/>
          </w:tcPr>
          <w:p w14:paraId="0161076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AI and IoT pest management</w:t>
            </w:r>
          </w:p>
        </w:tc>
        <w:tc>
          <w:tcPr>
            <w:tcW w:w="2256" w:type="dxa"/>
            <w:vAlign w:val="center"/>
          </w:tcPr>
          <w:p w14:paraId="0266774E"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future intelligent decision support</w:t>
            </w:r>
          </w:p>
        </w:tc>
        <w:tc>
          <w:tcPr>
            <w:tcW w:w="2256" w:type="dxa"/>
            <w:vAlign w:val="center"/>
          </w:tcPr>
          <w:p w14:paraId="2FFBA03D"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Broader smart agriculture context</w:t>
            </w:r>
          </w:p>
        </w:tc>
      </w:tr>
      <w:tr w:rsidR="00984EB3" w14:paraId="691DCD73" w14:textId="77777777">
        <w:trPr>
          <w:jc w:val="center"/>
        </w:trPr>
        <w:tc>
          <w:tcPr>
            <w:tcW w:w="2256" w:type="dxa"/>
            <w:vAlign w:val="center"/>
          </w:tcPr>
          <w:p w14:paraId="04C6CF4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Open-Meteo (2026)</w:t>
            </w:r>
          </w:p>
        </w:tc>
        <w:tc>
          <w:tcPr>
            <w:tcW w:w="2256" w:type="dxa"/>
            <w:vAlign w:val="center"/>
          </w:tcPr>
          <w:p w14:paraId="5A09CF79"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Historical and forecast weather API</w:t>
            </w:r>
          </w:p>
        </w:tc>
        <w:tc>
          <w:tcPr>
            <w:tcW w:w="2256" w:type="dxa"/>
            <w:vAlign w:val="center"/>
          </w:tcPr>
          <w:p w14:paraId="45692D26"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coordinate-based weather matching</w:t>
            </w:r>
          </w:p>
        </w:tc>
        <w:tc>
          <w:tcPr>
            <w:tcW w:w="2256" w:type="dxa"/>
            <w:vAlign w:val="center"/>
          </w:tcPr>
          <w:p w14:paraId="6EF5DCA0"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Weather remains an indicator</w:t>
            </w:r>
          </w:p>
        </w:tc>
      </w:tr>
      <w:tr w:rsidR="00984EB3" w14:paraId="2649F334" w14:textId="77777777">
        <w:trPr>
          <w:jc w:val="center"/>
        </w:trPr>
        <w:tc>
          <w:tcPr>
            <w:tcW w:w="2256" w:type="dxa"/>
            <w:vAlign w:val="center"/>
          </w:tcPr>
          <w:p w14:paraId="375FA133"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Google Calendar API (2026)</w:t>
            </w:r>
          </w:p>
        </w:tc>
        <w:tc>
          <w:tcPr>
            <w:tcW w:w="2256" w:type="dxa"/>
            <w:vAlign w:val="center"/>
          </w:tcPr>
          <w:p w14:paraId="6AB7F4FF"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Calendar event extraction</w:t>
            </w:r>
          </w:p>
        </w:tc>
        <w:tc>
          <w:tcPr>
            <w:tcW w:w="2256" w:type="dxa"/>
            <w:vAlign w:val="center"/>
          </w:tcPr>
          <w:p w14:paraId="2E3EC1D0"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scheduling and capacity analytics</w:t>
            </w:r>
          </w:p>
        </w:tc>
        <w:tc>
          <w:tcPr>
            <w:tcW w:w="2256" w:type="dxa"/>
            <w:vAlign w:val="center"/>
          </w:tcPr>
          <w:p w14:paraId="389E26F9"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Requires parsing confidence</w:t>
            </w:r>
          </w:p>
        </w:tc>
      </w:tr>
      <w:tr w:rsidR="00984EB3" w14:paraId="64F6277C" w14:textId="77777777">
        <w:trPr>
          <w:jc w:val="center"/>
        </w:trPr>
        <w:tc>
          <w:tcPr>
            <w:tcW w:w="2256" w:type="dxa"/>
            <w:vAlign w:val="center"/>
          </w:tcPr>
          <w:p w14:paraId="7E03D61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lastRenderedPageBreak/>
              <w:t>Google Cloud / Superset (2026)</w:t>
            </w:r>
          </w:p>
        </w:tc>
        <w:tc>
          <w:tcPr>
            <w:tcW w:w="2256" w:type="dxa"/>
            <w:vAlign w:val="center"/>
          </w:tcPr>
          <w:p w14:paraId="74387BFA"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Warehouse and dashboard tools</w:t>
            </w:r>
          </w:p>
        </w:tc>
        <w:tc>
          <w:tcPr>
            <w:tcW w:w="2256" w:type="dxa"/>
            <w:vAlign w:val="center"/>
          </w:tcPr>
          <w:p w14:paraId="35F9275F"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BigQuery and dashboard implementation</w:t>
            </w:r>
          </w:p>
        </w:tc>
        <w:tc>
          <w:tcPr>
            <w:tcW w:w="2256" w:type="dxa"/>
            <w:vAlign w:val="center"/>
          </w:tcPr>
          <w:p w14:paraId="3268439A"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Technical documentation</w:t>
            </w:r>
          </w:p>
        </w:tc>
      </w:tr>
      <w:tr w:rsidR="00BF3F6C" w14:paraId="654B0EAB" w14:textId="77777777">
        <w:trPr>
          <w:jc w:val="center"/>
        </w:trPr>
        <w:tc>
          <w:tcPr>
            <w:tcW w:w="2248" w:type="dxa"/>
            <w:vAlign w:val="center"/>
          </w:tcPr>
          <w:p w14:paraId="5255B742"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Schulze et al. (2023)</w:t>
            </w:r>
          </w:p>
        </w:tc>
        <w:tc>
          <w:tcPr>
            <w:tcW w:w="2251" w:type="dxa"/>
            <w:vAlign w:val="center"/>
          </w:tcPr>
          <w:p w14:paraId="3D643871"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Digital dashboard systematic review</w:t>
            </w:r>
          </w:p>
        </w:tc>
        <w:tc>
          <w:tcPr>
            <w:tcW w:w="2269" w:type="dxa"/>
            <w:vAlign w:val="center"/>
          </w:tcPr>
          <w:p w14:paraId="48D61C3E"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dashboard design and action-oriented visual communication</w:t>
            </w:r>
          </w:p>
        </w:tc>
        <w:tc>
          <w:tcPr>
            <w:tcW w:w="2248" w:type="dxa"/>
            <w:vAlign w:val="center"/>
          </w:tcPr>
          <w:p w14:paraId="59066484"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General public-health context</w:t>
            </w:r>
          </w:p>
        </w:tc>
      </w:tr>
      <w:tr w:rsidR="00BF3F6C" w14:paraId="2FDB5AE1" w14:textId="77777777">
        <w:trPr>
          <w:jc w:val="center"/>
        </w:trPr>
        <w:tc>
          <w:tcPr>
            <w:tcW w:w="2248" w:type="dxa"/>
            <w:vAlign w:val="center"/>
          </w:tcPr>
          <w:p w14:paraId="0B7E937C"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Blacketer et al. (2021)</w:t>
            </w:r>
          </w:p>
        </w:tc>
        <w:tc>
          <w:tcPr>
            <w:tcW w:w="2251" w:type="dxa"/>
            <w:vAlign w:val="center"/>
          </w:tcPr>
          <w:p w14:paraId="11ECBBF7"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Data Quality Dashboard</w:t>
            </w:r>
          </w:p>
        </w:tc>
        <w:tc>
          <w:tcPr>
            <w:tcW w:w="2269" w:type="dxa"/>
            <w:vAlign w:val="center"/>
          </w:tcPr>
          <w:p w14:paraId="41F3A3E2"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data quality reporting before analytics interpretation</w:t>
            </w:r>
          </w:p>
        </w:tc>
        <w:tc>
          <w:tcPr>
            <w:tcW w:w="2248" w:type="dxa"/>
            <w:vAlign w:val="center"/>
          </w:tcPr>
          <w:p w14:paraId="3AE2F4EF"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Healthcare context but transferable</w:t>
            </w:r>
          </w:p>
        </w:tc>
      </w:tr>
      <w:tr w:rsidR="00BF3F6C" w14:paraId="73D13A23" w14:textId="77777777">
        <w:trPr>
          <w:jc w:val="center"/>
        </w:trPr>
        <w:tc>
          <w:tcPr>
            <w:tcW w:w="2248" w:type="dxa"/>
            <w:vAlign w:val="center"/>
          </w:tcPr>
          <w:p w14:paraId="0D3A2C5A"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Fu et al. (2024)</w:t>
            </w:r>
          </w:p>
        </w:tc>
        <w:tc>
          <w:tcPr>
            <w:tcW w:w="2251" w:type="dxa"/>
            <w:vAlign w:val="center"/>
          </w:tcPr>
          <w:p w14:paraId="0BC43E88"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Industrial data quality review</w:t>
            </w:r>
          </w:p>
        </w:tc>
        <w:tc>
          <w:tcPr>
            <w:tcW w:w="2269" w:type="dxa"/>
            <w:vAlign w:val="center"/>
          </w:tcPr>
          <w:p w14:paraId="029FA5FA"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staging, cleaning flags, and governance workflow</w:t>
            </w:r>
          </w:p>
        </w:tc>
        <w:tc>
          <w:tcPr>
            <w:tcW w:w="2248" w:type="dxa"/>
            <w:vAlign w:val="center"/>
          </w:tcPr>
          <w:p w14:paraId="41AF0EA2"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Conceptual review</w:t>
            </w:r>
          </w:p>
        </w:tc>
      </w:tr>
      <w:tr w:rsidR="00BF3F6C" w14:paraId="50122F0C" w14:textId="77777777">
        <w:trPr>
          <w:jc w:val="center"/>
        </w:trPr>
        <w:tc>
          <w:tcPr>
            <w:tcW w:w="2248" w:type="dxa"/>
            <w:vAlign w:val="center"/>
          </w:tcPr>
          <w:p w14:paraId="3CB04707"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Tonle et al. (2024)</w:t>
            </w:r>
          </w:p>
        </w:tc>
        <w:tc>
          <w:tcPr>
            <w:tcW w:w="2251" w:type="dxa"/>
            <w:vAlign w:val="center"/>
          </w:tcPr>
          <w:p w14:paraId="51A1AA30"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Pest management DSS roadmap</w:t>
            </w:r>
          </w:p>
        </w:tc>
        <w:tc>
          <w:tcPr>
            <w:tcW w:w="2269" w:type="dxa"/>
            <w:vAlign w:val="center"/>
          </w:tcPr>
          <w:p w14:paraId="420ADAB0"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architecture connecting data, models, and decision outputs</w:t>
            </w:r>
          </w:p>
        </w:tc>
        <w:tc>
          <w:tcPr>
            <w:tcW w:w="2248" w:type="dxa"/>
            <w:vAlign w:val="center"/>
          </w:tcPr>
          <w:p w14:paraId="35747751"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Agricultural IPM context</w:t>
            </w:r>
          </w:p>
        </w:tc>
      </w:tr>
      <w:tr w:rsidR="00BF3F6C" w14:paraId="18A4B657" w14:textId="77777777">
        <w:trPr>
          <w:jc w:val="center"/>
        </w:trPr>
        <w:tc>
          <w:tcPr>
            <w:tcW w:w="2248" w:type="dxa"/>
            <w:vAlign w:val="center"/>
          </w:tcPr>
          <w:p w14:paraId="64A3CA48"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Marinko et al. (2024)</w:t>
            </w:r>
          </w:p>
        </w:tc>
        <w:tc>
          <w:tcPr>
            <w:tcW w:w="2251" w:type="dxa"/>
            <w:vAlign w:val="center"/>
          </w:tcPr>
          <w:p w14:paraId="7A940DB6"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IPM DSS typology web app</w:t>
            </w:r>
          </w:p>
        </w:tc>
        <w:tc>
          <w:tcPr>
            <w:tcW w:w="2269" w:type="dxa"/>
            <w:vAlign w:val="center"/>
          </w:tcPr>
          <w:p w14:paraId="1CDEEBFE"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classifying monitoring, prediction, and recommendation features</w:t>
            </w:r>
          </w:p>
        </w:tc>
        <w:tc>
          <w:tcPr>
            <w:tcW w:w="2248" w:type="dxa"/>
            <w:vAlign w:val="center"/>
          </w:tcPr>
          <w:p w14:paraId="2F101FE7"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Agricultural DSS focus</w:t>
            </w:r>
          </w:p>
        </w:tc>
      </w:tr>
      <w:tr w:rsidR="00BF3F6C" w14:paraId="2CC0036A" w14:textId="77777777">
        <w:trPr>
          <w:jc w:val="center"/>
        </w:trPr>
        <w:tc>
          <w:tcPr>
            <w:tcW w:w="2248" w:type="dxa"/>
            <w:vAlign w:val="center"/>
          </w:tcPr>
          <w:p w14:paraId="01F3DDC8"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Fiori et al. (2024)</w:t>
            </w:r>
          </w:p>
        </w:tc>
        <w:tc>
          <w:tcPr>
            <w:tcW w:w="2251" w:type="dxa"/>
            <w:vAlign w:val="center"/>
          </w:tcPr>
          <w:p w14:paraId="039001A6"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SMARTerra pest/disease DSS</w:t>
            </w:r>
          </w:p>
        </w:tc>
        <w:tc>
          <w:tcPr>
            <w:tcW w:w="2269" w:type="dxa"/>
            <w:vAlign w:val="center"/>
          </w:tcPr>
          <w:p w14:paraId="469BF56E"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high-resolution risk maps and planning dashboards</w:t>
            </w:r>
          </w:p>
        </w:tc>
        <w:tc>
          <w:tcPr>
            <w:tcW w:w="2248" w:type="dxa"/>
            <w:vAlign w:val="center"/>
          </w:tcPr>
          <w:p w14:paraId="6823494D"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Plant pest/disease context</w:t>
            </w:r>
          </w:p>
        </w:tc>
      </w:tr>
      <w:tr w:rsidR="00BF3F6C" w14:paraId="2D2E055B" w14:textId="77777777">
        <w:trPr>
          <w:jc w:val="center"/>
        </w:trPr>
        <w:tc>
          <w:tcPr>
            <w:tcW w:w="2248" w:type="dxa"/>
            <w:vAlign w:val="center"/>
          </w:tcPr>
          <w:p w14:paraId="5D4FB752"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Marinko et al. (2025)</w:t>
            </w:r>
          </w:p>
        </w:tc>
        <w:tc>
          <w:tcPr>
            <w:tcW w:w="2251" w:type="dxa"/>
            <w:vAlign w:val="center"/>
          </w:tcPr>
          <w:p w14:paraId="5638BF5F"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DSS adoption barriers</w:t>
            </w:r>
          </w:p>
        </w:tc>
        <w:tc>
          <w:tcPr>
            <w:tcW w:w="2269" w:type="dxa"/>
            <w:vAlign w:val="center"/>
          </w:tcPr>
          <w:p w14:paraId="5A127FA5"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usability, trust, and adoption evaluation</w:t>
            </w:r>
          </w:p>
        </w:tc>
        <w:tc>
          <w:tcPr>
            <w:tcW w:w="2248" w:type="dxa"/>
            <w:vAlign w:val="center"/>
          </w:tcPr>
          <w:p w14:paraId="12B7B882"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European IPM setting</w:t>
            </w:r>
          </w:p>
        </w:tc>
      </w:tr>
      <w:tr w:rsidR="00BF3F6C" w14:paraId="290BA555" w14:textId="77777777">
        <w:trPr>
          <w:jc w:val="center"/>
        </w:trPr>
        <w:tc>
          <w:tcPr>
            <w:tcW w:w="2248" w:type="dxa"/>
            <w:vAlign w:val="center"/>
          </w:tcPr>
          <w:p w14:paraId="59903B64"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lastRenderedPageBreak/>
              <w:t>Choi &amp; Hong (2021)</w:t>
            </w:r>
          </w:p>
        </w:tc>
        <w:tc>
          <w:tcPr>
            <w:tcW w:w="2251" w:type="dxa"/>
            <w:vAlign w:val="center"/>
          </w:tcPr>
          <w:p w14:paraId="0D43422C"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MDST-DBSCAN spatiotemporal clustering</w:t>
            </w:r>
          </w:p>
        </w:tc>
        <w:tc>
          <w:tcPr>
            <w:tcW w:w="2269" w:type="dxa"/>
            <w:vAlign w:val="center"/>
          </w:tcPr>
          <w:p w14:paraId="684E5977"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density-based hotspot detection with noisy spatial data</w:t>
            </w:r>
          </w:p>
        </w:tc>
        <w:tc>
          <w:tcPr>
            <w:tcW w:w="2248" w:type="dxa"/>
            <w:vAlign w:val="center"/>
          </w:tcPr>
          <w:p w14:paraId="20CB0F03"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More advanced than required</w:t>
            </w:r>
          </w:p>
        </w:tc>
      </w:tr>
      <w:tr w:rsidR="00BF3F6C" w14:paraId="7A24A48D" w14:textId="77777777">
        <w:trPr>
          <w:jc w:val="center"/>
        </w:trPr>
        <w:tc>
          <w:tcPr>
            <w:tcW w:w="2248" w:type="dxa"/>
            <w:vAlign w:val="center"/>
          </w:tcPr>
          <w:p w14:paraId="3ED26D0B"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Ejike et al. (2025)</w:t>
            </w:r>
          </w:p>
        </w:tc>
        <w:tc>
          <w:tcPr>
            <w:tcW w:w="2251" w:type="dxa"/>
            <w:vAlign w:val="center"/>
          </w:tcPr>
          <w:p w14:paraId="29AE1D8F"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Rainfall prediction using ML</w:t>
            </w:r>
          </w:p>
        </w:tc>
        <w:tc>
          <w:tcPr>
            <w:tcW w:w="2269" w:type="dxa"/>
            <w:vAlign w:val="center"/>
          </w:tcPr>
          <w:p w14:paraId="17B0B345"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lightweight weather modelling and logistic regression comparison</w:t>
            </w:r>
          </w:p>
        </w:tc>
        <w:tc>
          <w:tcPr>
            <w:tcW w:w="2248" w:type="dxa"/>
            <w:vAlign w:val="center"/>
          </w:tcPr>
          <w:p w14:paraId="70DA1A02"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Weather prediction, not pest outcome</w:t>
            </w:r>
          </w:p>
        </w:tc>
      </w:tr>
      <w:tr w:rsidR="00BF3F6C" w14:paraId="0CF311BD" w14:textId="77777777">
        <w:trPr>
          <w:jc w:val="center"/>
        </w:trPr>
        <w:tc>
          <w:tcPr>
            <w:tcW w:w="2248" w:type="dxa"/>
            <w:vAlign w:val="center"/>
          </w:tcPr>
          <w:p w14:paraId="6AC9AFBA"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Leybourne et al. (2025)</w:t>
            </w:r>
          </w:p>
        </w:tc>
        <w:tc>
          <w:tcPr>
            <w:tcW w:w="2251" w:type="dxa"/>
            <w:vAlign w:val="center"/>
          </w:tcPr>
          <w:p w14:paraId="5667722C"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AI in pest monitoring schemes</w:t>
            </w:r>
          </w:p>
        </w:tc>
        <w:tc>
          <w:tcPr>
            <w:tcW w:w="2269" w:type="dxa"/>
            <w:vAlign w:val="center"/>
          </w:tcPr>
          <w:p w14:paraId="5993E8B6"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future AI explanation layer and adoption caution</w:t>
            </w:r>
          </w:p>
        </w:tc>
        <w:tc>
          <w:tcPr>
            <w:tcW w:w="2248" w:type="dxa"/>
            <w:vAlign w:val="center"/>
          </w:tcPr>
          <w:p w14:paraId="1A536915"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Agricultural monitoring focus</w:t>
            </w:r>
          </w:p>
        </w:tc>
      </w:tr>
    </w:tbl>
    <w:p w14:paraId="63FC4198" w14:textId="77777777" w:rsidR="0084730D" w:rsidRPr="00335C63" w:rsidRDefault="0084730D" w:rsidP="000F4170">
      <w:pPr>
        <w:spacing w:line="360" w:lineRule="auto" w:after="120"/>
        <w:jc w:val="left"/>
        <w:rPr>
          <w:rFonts w:ascii="Times New Roman" w:hAnsi="Times New Roman" w:cs="Times New Roman"/>
          <w:sz w:val="24"/>
          <w:szCs w:val="24"/>
        </w:rPr>
      </w:pPr>
    </w:p>
    <w:p w14:paraId="5F6D5E6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cs="Times New Roman"/>
          <w:b/>
          <w:color w:val="000000"/>
          <w:sz w:val="24"/>
        </w:rPr>
        <w:t>2.9 Research Gap</w:t>
      </w:r>
    </w:p>
    <w:p w14:paraId="01CC5F42"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reviewed literature shows that BI can improve SME decision-making, weather can be an important pest-risk indicator, spatial-temporal clustering can detect emerging hotspots, and AI can support SME decision processes. However, there is limited work that combines these areas into a single practical system for an urban pest-control SME using real operational records such as warranty claims, refunds, payment links, Google Calendar service slots, technician assignments, and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windows.</w:t>
      </w:r>
    </w:p>
    <w:p w14:paraId="186F0A6C" w14:textId="77777777" w:rsidR="008D6A1A" w:rsidRPr="00335C63" w:rsidRDefault="008D6A1A" w:rsidP="008D6A1A">
      <w:pPr>
        <w:spacing w:line="360" w:lineRule="auto" w:after="120"/>
        <w:jc w:val="left"/>
        <w:rPr>
          <w:rFonts w:ascii="Times New Roman" w:hAnsi="Times New Roman" w:cs="Times New Roman"/>
          <w:sz w:val="24"/>
          <w:szCs w:val="24"/>
        </w:rPr>
      </w:pPr>
    </w:p>
    <w:p w14:paraId="76EF817D"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This project fills that gap by building a company-specific decision-support dashboard that integrates operational, environmental, spatial, and financial data. The contribution is not a heavy machine learning model; it is a usable analytics architecture that helps management understand where problems occur, when recurrence happens, which factors require review, and what actions may improve planning.</w:t>
      </w:r>
    </w:p>
    <w:p w14:paraId="5D47885A"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Chapter 3: Methodology</w:t>
      </w:r>
    </w:p>
    <w:p w14:paraId="1C46CCEC"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3.1 Overall Research and Development Approach</w:t>
      </w:r>
    </w:p>
    <w:p w14:paraId="6330469C" w14:textId="77777777" w:rsidR="0084730D" w:rsidRPr="003E4481" w:rsidRDefault="00357319" w:rsidP="008D6A1A">
      <w:pPr>
        <w:spacing w:line="360" w:lineRule="auto" w:after="120"/>
        <w:jc w:val="both"/>
        <w:rPr>
          <w:rFonts w:ascii="Times New Roman" w:hAnsi="Times New Roman" w:cs="Times New Roman"/>
          <w:sz w:val="28"/>
          <w:szCs w:val="28"/>
        </w:rPr>
      </w:pPr>
      <w:r>
        <w:rPr>
          <w:rFonts w:ascii="Times New Roman" w:hAnsi="Times New Roman" w:eastAsia="Times New Roman"/>
          <w:sz w:val="24"/>
        </w:rPr>
        <w:t>The project will follow an applied data engineering and analytics development methodology. Since CP1 is the planning phase and the final Google Sheet structures may still change, the process begins with data understanding and source profiling before any final warehouse model is fixed. CP2 will then move into flexible data contracts, extraction, raw loading, warehouse transformation, data quality testing, weather enrichment, analytics modelling, dashboard development, and evaluation with company users. The methodology is designed to suit messy SME data and a limited warranty dataset, so explainability and data reliability are prioritised over complex black-box machine learning.</w:t>
      </w:r>
    </w:p>
    <w:tbl>
      <w:tblPr>
        <w:tblStyle w:val="TableGrid"/>
        <w:tblW w:w="0" w:type="auto"/>
        <w:jc w:val="center"/>
        <w:tblLook w:val="04A0" w:firstRow="1" w:lastRow="0" w:firstColumn="1" w:lastColumn="0" w:noHBand="0" w:noVBand="1"/>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16"/>
        <w:gridCol w:w="4179"/>
        <w:gridCol w:w="2721"/>
      </w:tblGrid>
      <w:tr w:rsidR="0084730D" w:rsidRPr="00335C63" w14:paraId="159723E0" w14:textId="77777777" w:rsidTr="00CD7B49">
        <w:trPr>
          <w:cantSplit/>
          <w:tblHeader/>
          <w:jc w:val="center"/>
        </w:trPr>
        <w:tc>
          <w:tcPr>
            <w:tcW w:w="0" w:type="auto"/>
            <w:shd w:val="clear" w:color="auto" w:fill="E8F1FA"/>
            <w:tcMar>
              <w:top w:w="90" w:type="dxa"/>
              <w:left w:w="90" w:type="dxa"/>
              <w:bottom w:w="90" w:type="dxa"/>
              <w:right w:w="90" w:type="dxa"/>
            </w:tcMar>
            <w:vAlign w:val="center"/>
            <w:shd w:fill="DCEAF7"/>
          </w:tcPr>
          <w:p w14:paraId="4E11B67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Phase</w:t>
            </w:r>
          </w:p>
        </w:tc>
        <w:tc>
          <w:tcPr>
            <w:tcW w:w="0" w:type="auto"/>
            <w:shd w:val="clear" w:color="auto" w:fill="E8F1FA"/>
            <w:tcMar>
              <w:top w:w="90" w:type="dxa"/>
              <w:left w:w="90" w:type="dxa"/>
              <w:bottom w:w="90" w:type="dxa"/>
              <w:right w:w="90" w:type="dxa"/>
            </w:tcMar>
            <w:vAlign w:val="center"/>
            <w:shd w:fill="DCEAF7"/>
          </w:tcPr>
          <w:p w14:paraId="1891233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Main Activities</w:t>
            </w:r>
          </w:p>
        </w:tc>
        <w:tc>
          <w:tcPr>
            <w:tcW w:w="0" w:type="auto"/>
            <w:shd w:val="clear" w:color="auto" w:fill="E8F1FA"/>
            <w:tcMar>
              <w:top w:w="90" w:type="dxa"/>
              <w:left w:w="90" w:type="dxa"/>
              <w:bottom w:w="90" w:type="dxa"/>
              <w:right w:w="90" w:type="dxa"/>
            </w:tcMar>
            <w:vAlign w:val="center"/>
            <w:shd w:fill="DCEAF7"/>
          </w:tcPr>
          <w:p w14:paraId="1300826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Main Output</w:t>
            </w:r>
          </w:p>
        </w:tc>
      </w:tr>
      <w:tr w:rsidR="0084730D" w:rsidRPr="00335C63" w14:paraId="7A4710D9" w14:textId="77777777" w:rsidTr="00CD7B49">
        <w:trPr>
          <w:cantSplit/>
          <w:jc w:val="center"/>
        </w:trPr>
        <w:tc>
          <w:tcPr>
            <w:tcW w:w="0" w:type="auto"/>
            <w:tcMar>
              <w:top w:w="90" w:type="dxa"/>
              <w:left w:w="90" w:type="dxa"/>
              <w:bottom w:w="90" w:type="dxa"/>
              <w:right w:w="90" w:type="dxa"/>
            </w:tcMar>
            <w:vAlign w:val="center"/>
          </w:tcPr>
          <w:p w14:paraId="6248114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1. Data understanding</w:t>
            </w:r>
          </w:p>
        </w:tc>
        <w:tc>
          <w:tcPr>
            <w:tcW w:w="0" w:type="auto"/>
            <w:tcMar>
              <w:top w:w="90" w:type="dxa"/>
              <w:left w:w="90" w:type="dxa"/>
              <w:bottom w:w="90" w:type="dxa"/>
              <w:right w:w="90" w:type="dxa"/>
            </w:tcMar>
            <w:vAlign w:val="center"/>
          </w:tcPr>
          <w:p w14:paraId="01CBC6E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Profile Google Sheets, Calendar data, weather sources, missing values, duplicates, inconsistent labels</w:t>
            </w:r>
          </w:p>
        </w:tc>
        <w:tc>
          <w:tcPr>
            <w:tcW w:w="0" w:type="auto"/>
            <w:tcMar>
              <w:top w:w="90" w:type="dxa"/>
              <w:left w:w="90" w:type="dxa"/>
              <w:bottom w:w="90" w:type="dxa"/>
              <w:right w:w="90" w:type="dxa"/>
            </w:tcMar>
            <w:vAlign w:val="center"/>
          </w:tcPr>
          <w:p w14:paraId="019989C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Data quality report and field mapping</w:t>
            </w:r>
          </w:p>
        </w:tc>
      </w:tr>
      <w:tr w:rsidR="0084730D" w:rsidRPr="00335C63" w14:paraId="50E6A24C" w14:textId="77777777" w:rsidTr="00CD7B49">
        <w:trPr>
          <w:cantSplit/>
          <w:jc w:val="center"/>
        </w:trPr>
        <w:tc>
          <w:tcPr>
            <w:tcW w:w="0" w:type="auto"/>
            <w:tcMar>
              <w:top w:w="90" w:type="dxa"/>
              <w:left w:w="90" w:type="dxa"/>
              <w:bottom w:w="90" w:type="dxa"/>
              <w:right w:w="90" w:type="dxa"/>
            </w:tcMar>
            <w:vAlign w:val="center"/>
          </w:tcPr>
          <w:p w14:paraId="135E543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2. Data preparation</w:t>
            </w:r>
          </w:p>
        </w:tc>
        <w:tc>
          <w:tcPr>
            <w:tcW w:w="0" w:type="auto"/>
            <w:tcMar>
              <w:top w:w="90" w:type="dxa"/>
              <w:left w:w="90" w:type="dxa"/>
              <w:bottom w:w="90" w:type="dxa"/>
              <w:right w:w="90" w:type="dxa"/>
            </w:tcMar>
            <w:vAlign w:val="center"/>
          </w:tcPr>
          <w:p w14:paraId="24D133F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Clean dates, IDs, phone numbers, areas, pest types, packages, refund categories, calendar event types</w:t>
            </w:r>
          </w:p>
        </w:tc>
        <w:tc>
          <w:tcPr>
            <w:tcW w:w="0" w:type="auto"/>
            <w:tcMar>
              <w:top w:w="90" w:type="dxa"/>
              <w:left w:w="90" w:type="dxa"/>
              <w:bottom w:w="90" w:type="dxa"/>
              <w:right w:w="90" w:type="dxa"/>
            </w:tcMar>
            <w:vAlign w:val="center"/>
          </w:tcPr>
          <w:p w14:paraId="08C38C3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Cleaned staging tables and validation flags</w:t>
            </w:r>
          </w:p>
        </w:tc>
      </w:tr>
      <w:tr w:rsidR="0084730D" w:rsidRPr="00335C63" w14:paraId="00A789AE" w14:textId="77777777" w:rsidTr="00CD7B49">
        <w:trPr>
          <w:cantSplit/>
          <w:jc w:val="center"/>
        </w:trPr>
        <w:tc>
          <w:tcPr>
            <w:tcW w:w="0" w:type="auto"/>
            <w:tcMar>
              <w:top w:w="90" w:type="dxa"/>
              <w:left w:w="90" w:type="dxa"/>
              <w:bottom w:w="90" w:type="dxa"/>
              <w:right w:w="90" w:type="dxa"/>
            </w:tcMar>
            <w:vAlign w:val="center"/>
          </w:tcPr>
          <w:p w14:paraId="3AED1DA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3. Data integration</w:t>
            </w:r>
          </w:p>
        </w:tc>
        <w:tc>
          <w:tcPr>
            <w:tcW w:w="0" w:type="auto"/>
            <w:tcMar>
              <w:top w:w="90" w:type="dxa"/>
              <w:left w:w="90" w:type="dxa"/>
              <w:bottom w:w="90" w:type="dxa"/>
              <w:right w:w="90" w:type="dxa"/>
            </w:tcMar>
            <w:vAlign w:val="center"/>
          </w:tcPr>
          <w:p w14:paraId="3597FDB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Join data by customer ID, phone number, service date, area, and calendar event matching</w:t>
            </w:r>
          </w:p>
        </w:tc>
        <w:tc>
          <w:tcPr>
            <w:tcW w:w="0" w:type="auto"/>
            <w:tcMar>
              <w:top w:w="90" w:type="dxa"/>
              <w:left w:w="90" w:type="dxa"/>
              <w:bottom w:w="90" w:type="dxa"/>
              <w:right w:w="90" w:type="dxa"/>
            </w:tcMar>
            <w:vAlign w:val="center"/>
          </w:tcPr>
          <w:p w14:paraId="22ED321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Analytics-ready fact/dimension model</w:t>
            </w:r>
          </w:p>
        </w:tc>
      </w:tr>
      <w:tr w:rsidR="0084730D" w:rsidRPr="00335C63" w14:paraId="55EC73AB" w14:textId="77777777" w:rsidTr="00CD7B49">
        <w:trPr>
          <w:cantSplit/>
          <w:jc w:val="center"/>
        </w:trPr>
        <w:tc>
          <w:tcPr>
            <w:tcW w:w="0" w:type="auto"/>
            <w:tcMar>
              <w:top w:w="90" w:type="dxa"/>
              <w:left w:w="90" w:type="dxa"/>
              <w:bottom w:w="90" w:type="dxa"/>
              <w:right w:w="90" w:type="dxa"/>
            </w:tcMar>
            <w:vAlign w:val="center"/>
          </w:tcPr>
          <w:p w14:paraId="36598C3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4. Weather enrichment</w:t>
            </w:r>
          </w:p>
        </w:tc>
        <w:tc>
          <w:tcPr>
            <w:tcW w:w="0" w:type="auto"/>
            <w:tcMar>
              <w:top w:w="90" w:type="dxa"/>
              <w:left w:w="90" w:type="dxa"/>
              <w:bottom w:w="90" w:type="dxa"/>
              <w:right w:w="90" w:type="dxa"/>
            </w:tcMar>
            <w:vAlign w:val="center"/>
          </w:tcPr>
          <w:p w14:paraId="2464CFB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Map area/postcode to coordinates and retrieve rainfall, humidity, and temperature windows</w:t>
            </w:r>
          </w:p>
        </w:tc>
        <w:tc>
          <w:tcPr>
            <w:tcW w:w="0" w:type="auto"/>
            <w:tcMar>
              <w:top w:w="90" w:type="dxa"/>
              <w:left w:w="90" w:type="dxa"/>
              <w:bottom w:w="90" w:type="dxa"/>
              <w:right w:w="90" w:type="dxa"/>
            </w:tcMar>
            <w:vAlign w:val="center"/>
          </w:tcPr>
          <w:p w14:paraId="4A811AC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Weather-enriched service table and coverage report</w:t>
            </w:r>
          </w:p>
        </w:tc>
      </w:tr>
      <w:tr w:rsidR="0084730D" w:rsidRPr="00335C63" w14:paraId="4BF569BB" w14:textId="77777777" w:rsidTr="00CD7B49">
        <w:trPr>
          <w:cantSplit/>
          <w:jc w:val="center"/>
        </w:trPr>
        <w:tc>
          <w:tcPr>
            <w:tcW w:w="0" w:type="auto"/>
            <w:tcMar>
              <w:top w:w="90" w:type="dxa"/>
              <w:left w:w="90" w:type="dxa"/>
              <w:bottom w:w="90" w:type="dxa"/>
              <w:right w:w="90" w:type="dxa"/>
            </w:tcMar>
            <w:vAlign w:val="center"/>
          </w:tcPr>
          <w:p w14:paraId="6B1E563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5. Analytics modelling</w:t>
            </w:r>
          </w:p>
        </w:tc>
        <w:tc>
          <w:tcPr>
            <w:tcW w:w="0" w:type="auto"/>
            <w:tcMar>
              <w:top w:w="90" w:type="dxa"/>
              <w:left w:w="90" w:type="dxa"/>
              <w:bottom w:w="90" w:type="dxa"/>
              <w:right w:w="90" w:type="dxa"/>
            </w:tcMar>
            <w:vAlign w:val="center"/>
          </w:tcPr>
          <w:p w14:paraId="05DF4A5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Compute KPIs, recurrence windows, treatment difficulty, hotspot clusters, upsell package fit, warranty review factors</w:t>
            </w:r>
          </w:p>
        </w:tc>
        <w:tc>
          <w:tcPr>
            <w:tcW w:w="0" w:type="auto"/>
            <w:tcMar>
              <w:top w:w="90" w:type="dxa"/>
              <w:left w:w="90" w:type="dxa"/>
              <w:bottom w:w="90" w:type="dxa"/>
              <w:right w:w="90" w:type="dxa"/>
            </w:tcMar>
            <w:vAlign w:val="center"/>
          </w:tcPr>
          <w:p w14:paraId="6232A51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Dashboard marts and scoring tables</w:t>
            </w:r>
          </w:p>
        </w:tc>
      </w:tr>
      <w:tr w:rsidR="0084730D" w:rsidRPr="00335C63" w14:paraId="30A7C790" w14:textId="77777777" w:rsidTr="00CD7B49">
        <w:trPr>
          <w:cantSplit/>
          <w:jc w:val="center"/>
        </w:trPr>
        <w:tc>
          <w:tcPr>
            <w:tcW w:w="0" w:type="auto"/>
            <w:tcMar>
              <w:top w:w="90" w:type="dxa"/>
              <w:left w:w="90" w:type="dxa"/>
              <w:bottom w:w="90" w:type="dxa"/>
              <w:right w:w="90" w:type="dxa"/>
            </w:tcMar>
            <w:vAlign w:val="center"/>
          </w:tcPr>
          <w:p w14:paraId="20E6121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6. Scheduled refresh</w:t>
            </w:r>
          </w:p>
        </w:tc>
        <w:tc>
          <w:tcPr>
            <w:tcW w:w="0" w:type="auto"/>
            <w:tcMar>
              <w:top w:w="90" w:type="dxa"/>
              <w:left w:w="90" w:type="dxa"/>
              <w:bottom w:w="90" w:type="dxa"/>
              <w:right w:w="90" w:type="dxa"/>
            </w:tcMar>
            <w:vAlign w:val="center"/>
          </w:tcPr>
          <w:p w14:paraId="35519A9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Run Python ETL or BigQuery scheduled queries on a planned interval</w:t>
            </w:r>
          </w:p>
        </w:tc>
        <w:tc>
          <w:tcPr>
            <w:tcW w:w="0" w:type="auto"/>
            <w:tcMar>
              <w:top w:w="90" w:type="dxa"/>
              <w:left w:w="90" w:type="dxa"/>
              <w:bottom w:w="90" w:type="dxa"/>
              <w:right w:w="90" w:type="dxa"/>
            </w:tcMar>
            <w:vAlign w:val="center"/>
          </w:tcPr>
          <w:p w14:paraId="16A41AE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Near-real-time refreshed analytics tables</w:t>
            </w:r>
          </w:p>
        </w:tc>
      </w:tr>
      <w:tr w:rsidR="0084730D" w:rsidRPr="00335C63" w14:paraId="522DE7F6" w14:textId="77777777" w:rsidTr="00CD7B49">
        <w:trPr>
          <w:cantSplit/>
          <w:jc w:val="center"/>
        </w:trPr>
        <w:tc>
          <w:tcPr>
            <w:tcW w:w="0" w:type="auto"/>
            <w:tcMar>
              <w:top w:w="90" w:type="dxa"/>
              <w:left w:w="90" w:type="dxa"/>
              <w:bottom w:w="90" w:type="dxa"/>
              <w:right w:w="90" w:type="dxa"/>
            </w:tcMar>
            <w:vAlign w:val="center"/>
          </w:tcPr>
          <w:p w14:paraId="2F9F9E0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lastRenderedPageBreak/>
              <w:t>7. Dashboard development</w:t>
            </w:r>
          </w:p>
        </w:tc>
        <w:tc>
          <w:tcPr>
            <w:tcW w:w="0" w:type="auto"/>
            <w:tcMar>
              <w:top w:w="90" w:type="dxa"/>
              <w:left w:w="90" w:type="dxa"/>
              <w:bottom w:w="90" w:type="dxa"/>
              <w:right w:w="90" w:type="dxa"/>
            </w:tcMar>
            <w:vAlign w:val="center"/>
          </w:tcPr>
          <w:p w14:paraId="197E4DA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Build Superset dashboards connected to BigQuery with filters and charts</w:t>
            </w:r>
          </w:p>
        </w:tc>
        <w:tc>
          <w:tcPr>
            <w:tcW w:w="0" w:type="auto"/>
            <w:tcMar>
              <w:top w:w="90" w:type="dxa"/>
              <w:left w:w="90" w:type="dxa"/>
              <w:bottom w:w="90" w:type="dxa"/>
              <w:right w:w="90" w:type="dxa"/>
            </w:tcMar>
            <w:vAlign w:val="center"/>
          </w:tcPr>
          <w:p w14:paraId="1D75FB1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Browser-based BI dashboard</w:t>
            </w:r>
          </w:p>
        </w:tc>
      </w:tr>
      <w:tr w:rsidR="0084730D" w:rsidRPr="00335C63" w14:paraId="3A82E071" w14:textId="77777777" w:rsidTr="00CD7B49">
        <w:trPr>
          <w:cantSplit/>
          <w:jc w:val="center"/>
        </w:trPr>
        <w:tc>
          <w:tcPr>
            <w:tcW w:w="0" w:type="auto"/>
            <w:tcMar>
              <w:top w:w="90" w:type="dxa"/>
              <w:left w:w="90" w:type="dxa"/>
              <w:bottom w:w="90" w:type="dxa"/>
              <w:right w:w="90" w:type="dxa"/>
            </w:tcMar>
            <w:vAlign w:val="center"/>
          </w:tcPr>
          <w:p w14:paraId="46289CF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8. Recommendation logging</w:t>
            </w:r>
          </w:p>
        </w:tc>
        <w:tc>
          <w:tcPr>
            <w:tcW w:w="0" w:type="auto"/>
            <w:tcMar>
              <w:top w:w="90" w:type="dxa"/>
              <w:left w:w="90" w:type="dxa"/>
              <w:bottom w:w="90" w:type="dxa"/>
              <w:right w:w="90" w:type="dxa"/>
            </w:tcMar>
            <w:vAlign w:val="center"/>
          </w:tcPr>
          <w:p w14:paraId="1F1A65F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Store generated recommendations, reasons, management response, and later outcome</w:t>
            </w:r>
          </w:p>
        </w:tc>
        <w:tc>
          <w:tcPr>
            <w:tcW w:w="0" w:type="auto"/>
            <w:tcMar>
              <w:top w:w="90" w:type="dxa"/>
              <w:left w:w="90" w:type="dxa"/>
              <w:bottom w:w="90" w:type="dxa"/>
              <w:right w:w="90" w:type="dxa"/>
            </w:tcMar>
            <w:vAlign w:val="center"/>
          </w:tcPr>
          <w:p w14:paraId="52C7152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Recommendation log for review and future AI learning</w:t>
            </w:r>
          </w:p>
        </w:tc>
      </w:tr>
      <w:tr w:rsidR="0084730D" w:rsidRPr="00335C63" w14:paraId="368A8E23" w14:textId="77777777" w:rsidTr="00CD7B49">
        <w:trPr>
          <w:cantSplit/>
          <w:jc w:val="center"/>
        </w:trPr>
        <w:tc>
          <w:tcPr>
            <w:tcW w:w="0" w:type="auto"/>
            <w:tcMar>
              <w:top w:w="90" w:type="dxa"/>
              <w:left w:w="90" w:type="dxa"/>
              <w:bottom w:w="90" w:type="dxa"/>
              <w:right w:w="90" w:type="dxa"/>
            </w:tcMar>
            <w:vAlign w:val="center"/>
          </w:tcPr>
          <w:p w14:paraId="49E92B2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9. Evaluation</w:t>
            </w:r>
          </w:p>
        </w:tc>
        <w:tc>
          <w:tcPr>
            <w:tcW w:w="0" w:type="auto"/>
            <w:tcMar>
              <w:top w:w="90" w:type="dxa"/>
              <w:left w:w="90" w:type="dxa"/>
              <w:bottom w:w="90" w:type="dxa"/>
              <w:right w:w="90" w:type="dxa"/>
            </w:tcMar>
            <w:vAlign w:val="center"/>
          </w:tcPr>
          <w:p w14:paraId="1128C0A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Review dashboard with management, compare manual vs dashboard analysis, collect feedback</w:t>
            </w:r>
          </w:p>
        </w:tc>
        <w:tc>
          <w:tcPr>
            <w:tcW w:w="0" w:type="auto"/>
            <w:tcMar>
              <w:top w:w="90" w:type="dxa"/>
              <w:left w:w="90" w:type="dxa"/>
              <w:bottom w:w="90" w:type="dxa"/>
              <w:right w:w="90" w:type="dxa"/>
            </w:tcMar>
            <w:vAlign w:val="center"/>
          </w:tcPr>
          <w:p w14:paraId="6372649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Evaluation findings and improvement list</w:t>
            </w:r>
          </w:p>
        </w:tc>
      </w:tr>
    </w:tbl>
    <w:p w14:paraId="7C7BA9E8" w14:textId="77777777" w:rsidR="0084730D" w:rsidRPr="00335C63" w:rsidRDefault="0084730D" w:rsidP="000F4170">
      <w:pPr>
        <w:spacing w:line="360" w:lineRule="auto" w:after="120"/>
        <w:jc w:val="left"/>
        <w:rPr>
          <w:rFonts w:ascii="Times New Roman" w:hAnsi="Times New Roman" w:cs="Times New Roman"/>
          <w:sz w:val="24"/>
          <w:szCs w:val="24"/>
        </w:rPr>
      </w:pPr>
    </w:p>
    <w:p w14:paraId="2F321747"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3.2 Proposed Technical Architecture</w:t>
      </w:r>
    </w:p>
    <w:p>
      <w:pPr>
        <w:pStyle w:val="Heading3"/>
        <w:spacing w:line="360" w:lineRule="auto" w:after="120" w:before="160"/>
        <w:jc w:val="left"/>
      </w:pPr>
      <w:r>
        <w:rPr>
          <w:rFonts w:ascii="Times New Roman" w:hAnsi="Times New Roman" w:eastAsia="Times New Roman"/>
          <w:b/>
          <w:color w:val="000000"/>
          <w:sz w:val="24"/>
        </w:rPr>
        <w:t>3.2.1 Project Tech Stack Flow</w:t>
      </w:r>
    </w:p>
    <w:p>
      <w:pPr>
        <w:spacing w:line="360" w:lineRule="auto" w:after="120"/>
        <w:jc w:val="both"/>
      </w:pPr>
      <w:r>
        <w:rPr>
          <w:rFonts w:ascii="Times New Roman" w:hAnsi="Times New Roman" w:eastAsia="Times New Roman"/>
          <w:sz w:val="24"/>
        </w:rPr>
        <w:t>The proposed project workflow follows a data engineering and analytics architecture. Raw operational sources are first orchestrated through Apache Airflow, extracted and validated using Python, stored in BigQuery layers, transformed and tested using dbt Core, and visualised in Apache Superset. The final outputs support treatment difficulty analysis, recurrence monitoring, weather-associated risk review, warranty quality review, and upsell decision support.</w:t>
      </w:r>
    </w:p>
    <w:p>
      <w:pPr>
        <w:spacing w:line="360" w:lineRule="auto" w:after="120"/>
        <w:jc w:val="left"/>
      </w:pPr>
      <w:r>
        <w:rPr>
          <w:rFonts w:ascii="Times New Roman" w:hAnsi="Times New Roman" w:eastAsia="Times New Roman"/>
          <w:sz w:val="24"/>
        </w:rPr>
        <w:drawing>
          <wp:inline xmlns:a="http://schemas.openxmlformats.org/drawingml/2006/main" xmlns:pic="http://schemas.openxmlformats.org/drawingml/2006/picture">
            <wp:extent cx="5760720" cy="7296912"/>
            <wp:docPr id="1" name="Picture 1"/>
            <wp:cNvGraphicFramePr>
              <a:graphicFrameLocks noChangeAspect="1"/>
            </wp:cNvGraphicFramePr>
            <a:graphic>
              <a:graphicData uri="http://schemas.openxmlformats.org/drawingml/2006/picture">
                <pic:pic>
                  <pic:nvPicPr>
                    <pic:cNvPr id="0" name="nomobug_project_tech_stack_flow.png"/>
                    <pic:cNvPicPr/>
                  </pic:nvPicPr>
                  <pic:blipFill>
                    <a:blip r:embed="rId11"/>
                    <a:stretch>
                      <a:fillRect/>
                    </a:stretch>
                  </pic:blipFill>
                  <pic:spPr>
                    <a:xfrm>
                      <a:off x="0" y="0"/>
                      <a:ext cx="5760720" cy="7296912"/>
                    </a:xfrm>
                    <a:prstGeom prst="rect"/>
                  </pic:spPr>
                </pic:pic>
              </a:graphicData>
            </a:graphic>
          </wp:inline>
        </w:drawing>
      </w:r>
    </w:p>
    <w:p>
      <w:pPr>
        <w:spacing w:line="360" w:lineRule="auto" w:after="120"/>
        <w:jc w:val="center"/>
      </w:pPr>
      <w:r>
        <w:rPr>
          <w:rFonts w:ascii="Times New Roman" w:hAnsi="Times New Roman" w:eastAsia="Times New Roman"/>
          <w:i/>
          <w:sz w:val="24"/>
        </w:rPr>
        <w:t>Figure 3.1: Proposed technical stack flow for the Nomobug analytics and decision-support dashboard.</w:t>
      </w:r>
    </w:p>
    <w:p w14:paraId="2FB3CB25" w14:textId="77777777" w:rsidR="0084730D"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The selected architecture is Google Sheets or CSV/Excel as the raw data source, Google Calendar as a scheduling source, Python as the extraction/loading layer, Apache Airflow as the pipeline orchestrator, BigQuery as the cloud analytics warehouse, dbt Core as the warehouse transformation and testing layer, Apache Superset as the visualization layer, and optional local Ollama as a future AI recommendation layer. Docker will be used to package local services such as Airflow, Superset, and future Ollama where practical.</w:t>
      </w:r>
    </w:p>
    <w:p w14:paraId="1F8527CE" w14:textId="77777777" w:rsidR="008D6A1A" w:rsidRPr="00335C63" w:rsidRDefault="008D6A1A" w:rsidP="008D6A1A">
      <w:pPr>
        <w:spacing w:line="360" w:lineRule="auto" w:after="120"/>
        <w:jc w:val="left"/>
        <w:rPr>
          <w:rFonts w:ascii="Times New Roman" w:hAnsi="Times New Roman" w:cs="Times New Roman"/>
          <w:sz w:val="24"/>
          <w:szCs w:val="24"/>
        </w:rPr>
      </w:pPr>
    </w:p>
    <w:p w14:paraId="5254C9C0" w14:textId="77777777" w:rsidR="0084730D" w:rsidRPr="003E4481" w:rsidRDefault="00357319" w:rsidP="008D6A1A">
      <w:pPr>
        <w:spacing w:line="360" w:lineRule="auto" w:after="120"/>
        <w:jc w:val="both"/>
        <w:rPr>
          <w:rFonts w:ascii="Times New Roman" w:hAnsi="Times New Roman" w:cs="Times New Roman"/>
          <w:sz w:val="28"/>
          <w:szCs w:val="28"/>
        </w:rPr>
      </w:pPr>
      <w:r w:rsidRPr="003E4481">
        <w:rPr>
          <w:rFonts w:ascii="Times New Roman" w:hAnsi="Times New Roman" w:cs="Times New Roman" w:eastAsia="Times New Roman"/>
          <w:sz w:val="24"/>
          <w:szCs w:val="24"/>
        </w:rPr>
        <w:t>The workflow is designed as a controlled ELT pipeline. Raw data is first extracted from Google Sheets, CSV/Excel exports, Google Calendar, and weather APIs. Python loaders write the raw source records into BigQuery Bronze tables with source metadata. dbt Core then transforms these records into Silver cleaned tables and Gold dashboard marts, while dbt tests and validation tables record data quality issues. Apache Airflow orchestrates the extraction, loading, dbt transformation, testing, weather enrichment, and refresh-log tasks so that the dashboard can show whether the latest data is fresh and reliable.</w:t>
      </w:r>
    </w:p>
    <w:tbl>
      <w:tblPr>
        <w:tblStyle w:val="TableGrid"/>
        <w:tblW w:w="5000" w:type="pct"/>
        <w:jc w:val="center"/>
        <w:tblLook w:val="04A0" w:firstRow="1" w:lastRow="0" w:firstColumn="1" w:lastColumn="0" w:noHBand="0" w:noVBand="1"/>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38"/>
        <w:gridCol w:w="2862"/>
        <w:gridCol w:w="3116"/>
      </w:tblGrid>
      <w:tr w:rsidR="0084730D" w:rsidRPr="00335C63" w14:paraId="0DF9B444" w14:textId="77777777" w:rsidTr="00997D20">
        <w:trPr>
          <w:cantSplit/>
          <w:tblHeader/>
          <w:jc w:val="center"/>
        </w:trPr>
        <w:tc>
          <w:tcPr>
            <w:tcW w:w="1685" w:type="pct"/>
            <w:shd w:val="clear" w:color="auto" w:fill="E8F1FA"/>
            <w:tcMar>
              <w:top w:w="90" w:type="dxa"/>
              <w:left w:w="90" w:type="dxa"/>
              <w:bottom w:w="90" w:type="dxa"/>
              <w:right w:w="90" w:type="dxa"/>
            </w:tcMar>
            <w:vAlign w:val="center"/>
            <w:shd w:fill="DCEAF7"/>
          </w:tcPr>
          <w:p w14:paraId="19CCA24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Layer</w:t>
            </w:r>
          </w:p>
        </w:tc>
        <w:tc>
          <w:tcPr>
            <w:tcW w:w="1587" w:type="pct"/>
            <w:shd w:val="clear" w:color="auto" w:fill="E8F1FA"/>
            <w:tcMar>
              <w:top w:w="90" w:type="dxa"/>
              <w:left w:w="90" w:type="dxa"/>
              <w:bottom w:w="90" w:type="dxa"/>
              <w:right w:w="90" w:type="dxa"/>
            </w:tcMar>
            <w:vAlign w:val="center"/>
            <w:shd w:fill="DCEAF7"/>
          </w:tcPr>
          <w:p w14:paraId="5A79EA8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Technology</w:t>
            </w:r>
          </w:p>
        </w:tc>
        <w:tc>
          <w:tcPr>
            <w:tcW w:w="1729" w:type="pct"/>
            <w:shd w:val="clear" w:color="auto" w:fill="E8F1FA"/>
            <w:tcMar>
              <w:top w:w="90" w:type="dxa"/>
              <w:left w:w="90" w:type="dxa"/>
              <w:bottom w:w="90" w:type="dxa"/>
              <w:right w:w="90" w:type="dxa"/>
            </w:tcMar>
            <w:vAlign w:val="center"/>
            <w:shd w:fill="DCEAF7"/>
          </w:tcPr>
          <w:p w14:paraId="12276FD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Purpose</w:t>
            </w:r>
          </w:p>
        </w:tc>
      </w:tr>
      <w:tr w:rsidR="0084730D" w:rsidRPr="00335C63" w14:paraId="021E5655" w14:textId="77777777" w:rsidTr="00997D20">
        <w:trPr>
          <w:cantSplit/>
          <w:jc w:val="center"/>
        </w:trPr>
        <w:tc>
          <w:tcPr>
            <w:tcW w:w="1685" w:type="pct"/>
            <w:tcMar>
              <w:top w:w="90" w:type="dxa"/>
              <w:left w:w="90" w:type="dxa"/>
              <w:bottom w:w="90" w:type="dxa"/>
              <w:right w:w="90" w:type="dxa"/>
            </w:tcMar>
            <w:vAlign w:val="center"/>
          </w:tcPr>
          <w:p w14:paraId="3F855A8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Data source</w:t>
            </w:r>
          </w:p>
        </w:tc>
        <w:tc>
          <w:tcPr>
            <w:tcW w:w="1587" w:type="pct"/>
            <w:tcMar>
              <w:top w:w="90" w:type="dxa"/>
              <w:left w:w="90" w:type="dxa"/>
              <w:bottom w:w="90" w:type="dxa"/>
              <w:right w:w="90" w:type="dxa"/>
            </w:tcMar>
            <w:vAlign w:val="center"/>
          </w:tcPr>
          <w:p w14:paraId="79EF1EB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Google Sheets, CSV/Excel, Google Calendar</w:t>
            </w:r>
          </w:p>
        </w:tc>
        <w:tc>
          <w:tcPr>
            <w:tcW w:w="1729" w:type="pct"/>
            <w:tcMar>
              <w:top w:w="90" w:type="dxa"/>
              <w:left w:w="90" w:type="dxa"/>
              <w:bottom w:w="90" w:type="dxa"/>
              <w:right w:w="90" w:type="dxa"/>
            </w:tcMar>
            <w:vAlign w:val="center"/>
          </w:tcPr>
          <w:p w14:paraId="6579863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Company-facing raw data entry and operational records</w:t>
            </w:r>
          </w:p>
        </w:tc>
      </w:tr>
      <w:tr w:rsidR="0084730D" w:rsidRPr="00335C63" w14:paraId="0CD9F074" w14:textId="77777777" w:rsidTr="00997D20">
        <w:trPr>
          <w:cantSplit/>
          <w:jc w:val="center"/>
        </w:trPr>
        <w:tc>
          <w:tcPr>
            <w:tcW w:w="1685" w:type="pct"/>
            <w:tcMar>
              <w:top w:w="90" w:type="dxa"/>
              <w:left w:w="90" w:type="dxa"/>
              <w:bottom w:w="90" w:type="dxa"/>
              <w:right w:w="90" w:type="dxa"/>
            </w:tcMar>
            <w:vAlign w:val="center"/>
          </w:tcPr>
          <w:p w14:paraId="60E29B65" w14:textId="77777777" w:rsidR="00BB18A2" w:rsidRDefault="00000000">
            <w:pPr>
              <w:spacing w:line="276" w:lineRule="auto" w:after="60"/>
              <w:jc w:val="left"/>
            </w:pPr>
            <w:r>
              <w:rPr>
                <w:rFonts w:ascii="Times New Roman" w:hAnsi="Times New Roman" w:eastAsia="Times New Roman" w:cs="Times New Roman"/>
                <w:sz w:val="21"/>
              </w:rPr>
              <w:lastRenderedPageBreak/>
              <w:t>Extract/load and analytics</w:t>
            </w:r>
          </w:p>
        </w:tc>
        <w:tc>
          <w:tcPr>
            <w:tcW w:w="1587" w:type="pct"/>
            <w:tcMar>
              <w:top w:w="90" w:type="dxa"/>
              <w:left w:w="90" w:type="dxa"/>
              <w:bottom w:w="90" w:type="dxa"/>
              <w:right w:w="90" w:type="dxa"/>
            </w:tcMar>
            <w:vAlign w:val="center"/>
          </w:tcPr>
          <w:p w14:paraId="70706B73" w14:textId="77777777" w:rsidR="00BB18A2" w:rsidRDefault="00000000">
            <w:pPr>
              <w:spacing w:line="276" w:lineRule="auto" w:after="60"/>
              <w:jc w:val="left"/>
            </w:pPr>
            <w:r>
              <w:rPr>
                <w:rFonts w:ascii="Times New Roman" w:hAnsi="Times New Roman" w:eastAsia="Times New Roman" w:cs="Times New Roman"/>
                <w:sz w:val="21"/>
              </w:rPr>
              <w:t>Python, Pandas, BigQuery client, scikit-learn where appropriate</w:t>
            </w:r>
          </w:p>
        </w:tc>
        <w:tc>
          <w:tcPr>
            <w:tcW w:w="1729" w:type="pct"/>
            <w:tcMar>
              <w:top w:w="90" w:type="dxa"/>
              <w:left w:w="90" w:type="dxa"/>
              <w:bottom w:w="90" w:type="dxa"/>
              <w:right w:w="90" w:type="dxa"/>
            </w:tcMar>
            <w:vAlign w:val="center"/>
          </w:tcPr>
          <w:p w14:paraId="23D711FE" w14:textId="77777777" w:rsidR="00BB18A2" w:rsidRDefault="00000000">
            <w:pPr>
              <w:spacing w:line="276" w:lineRule="auto" w:after="60"/>
              <w:jc w:val="left"/>
            </w:pPr>
            <w:r>
              <w:rPr>
                <w:rFonts w:ascii="Times New Roman" w:hAnsi="Times New Roman" w:eastAsia="Times New Roman" w:cs="Times New Roman"/>
                <w:sz w:val="21"/>
              </w:rPr>
              <w:t>Extract source data, load Bronze tables, run weather enrichment, and compute selected analytics outputs</w:t>
            </w:r>
          </w:p>
        </w:tc>
      </w:tr>
      <w:tr w:rsidR="0084730D" w:rsidRPr="00335C63" w14:paraId="2B9BBDF9" w14:textId="77777777" w:rsidTr="00997D20">
        <w:trPr>
          <w:cantSplit/>
          <w:jc w:val="center"/>
        </w:trPr>
        <w:tc>
          <w:tcPr>
            <w:tcW w:w="1685" w:type="pct"/>
            <w:tcMar>
              <w:top w:w="90" w:type="dxa"/>
              <w:left w:w="90" w:type="dxa"/>
              <w:bottom w:w="90" w:type="dxa"/>
              <w:right w:w="90" w:type="dxa"/>
            </w:tcMar>
            <w:vAlign w:val="center"/>
          </w:tcPr>
          <w:p w14:paraId="1FEA47F1" w14:textId="77777777" w:rsidR="00BB18A2" w:rsidRDefault="00000000">
            <w:pPr>
              <w:spacing w:line="276" w:lineRule="auto" w:after="60"/>
              <w:jc w:val="left"/>
            </w:pPr>
            <w:r>
              <w:rPr>
                <w:rFonts w:ascii="Times New Roman" w:hAnsi="Times New Roman" w:eastAsia="Times New Roman" w:cs="Times New Roman"/>
                <w:sz w:val="21"/>
              </w:rPr>
              <w:t>Cloud warehouse</w:t>
            </w:r>
          </w:p>
        </w:tc>
        <w:tc>
          <w:tcPr>
            <w:tcW w:w="1587" w:type="pct"/>
            <w:tcMar>
              <w:top w:w="90" w:type="dxa"/>
              <w:left w:w="90" w:type="dxa"/>
              <w:bottom w:w="90" w:type="dxa"/>
              <w:right w:w="90" w:type="dxa"/>
            </w:tcMar>
            <w:vAlign w:val="center"/>
          </w:tcPr>
          <w:p w14:paraId="79D6AC0F" w14:textId="77777777" w:rsidR="00BB18A2" w:rsidRDefault="00000000">
            <w:pPr>
              <w:spacing w:line="276" w:lineRule="auto" w:after="60"/>
              <w:jc w:val="left"/>
            </w:pPr>
            <w:r>
              <w:rPr>
                <w:rFonts w:ascii="Times New Roman" w:hAnsi="Times New Roman" w:eastAsia="Times New Roman" w:cs="Times New Roman"/>
                <w:sz w:val="21"/>
              </w:rPr>
              <w:t>Google BigQuery</w:t>
            </w:r>
          </w:p>
        </w:tc>
        <w:tc>
          <w:tcPr>
            <w:tcW w:w="1729" w:type="pct"/>
            <w:tcMar>
              <w:top w:w="90" w:type="dxa"/>
              <w:left w:w="90" w:type="dxa"/>
              <w:bottom w:w="90" w:type="dxa"/>
              <w:right w:w="90" w:type="dxa"/>
            </w:tcMar>
            <w:vAlign w:val="center"/>
          </w:tcPr>
          <w:p w14:paraId="3B93AE8A" w14:textId="77777777" w:rsidR="00BB18A2" w:rsidRDefault="00000000">
            <w:pPr>
              <w:spacing w:line="276" w:lineRule="auto" w:after="60"/>
              <w:jc w:val="left"/>
            </w:pPr>
            <w:r>
              <w:rPr>
                <w:rFonts w:ascii="Times New Roman" w:hAnsi="Times New Roman" w:eastAsia="Times New Roman" w:cs="Times New Roman"/>
                <w:sz w:val="21"/>
              </w:rPr>
              <w:t>Store Bronze raw, Silver cleaned, and Gold dashboard-ready analytics tables</w:t>
            </w:r>
          </w:p>
        </w:tc>
      </w:tr>
      <w:tr w:rsidR="0084730D" w:rsidRPr="00335C63" w14:paraId="778995FB" w14:textId="77777777" w:rsidTr="00997D20">
        <w:trPr>
          <w:cantSplit/>
          <w:jc w:val="center"/>
        </w:trPr>
        <w:tc>
          <w:tcPr>
            <w:tcW w:w="1685" w:type="pct"/>
            <w:tcMar>
              <w:top w:w="90" w:type="dxa"/>
              <w:left w:w="90" w:type="dxa"/>
              <w:bottom w:w="90" w:type="dxa"/>
              <w:right w:w="90" w:type="dxa"/>
            </w:tcMar>
            <w:vAlign w:val="center"/>
          </w:tcPr>
          <w:p w14:paraId="10D3CB2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Visualization</w:t>
            </w:r>
          </w:p>
        </w:tc>
        <w:tc>
          <w:tcPr>
            <w:tcW w:w="1587" w:type="pct"/>
            <w:tcMar>
              <w:top w:w="90" w:type="dxa"/>
              <w:left w:w="90" w:type="dxa"/>
              <w:bottom w:w="90" w:type="dxa"/>
              <w:right w:w="90" w:type="dxa"/>
            </w:tcMar>
            <w:vAlign w:val="center"/>
          </w:tcPr>
          <w:p w14:paraId="28248A6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Apache Superset</w:t>
            </w:r>
          </w:p>
        </w:tc>
        <w:tc>
          <w:tcPr>
            <w:tcW w:w="1729" w:type="pct"/>
            <w:tcMar>
              <w:top w:w="90" w:type="dxa"/>
              <w:left w:w="90" w:type="dxa"/>
              <w:bottom w:w="90" w:type="dxa"/>
              <w:right w:w="90" w:type="dxa"/>
            </w:tcMar>
            <w:vAlign w:val="center"/>
          </w:tcPr>
          <w:p w14:paraId="1CDD797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Browser-based dashboards, charts, filters, maps, and tables</w:t>
            </w:r>
          </w:p>
        </w:tc>
      </w:tr>
      <w:tr w:rsidR="0084730D" w:rsidRPr="00335C63" w14:paraId="526809AC" w14:textId="77777777" w:rsidTr="00997D20">
        <w:trPr>
          <w:cantSplit/>
          <w:jc w:val="center"/>
        </w:trPr>
        <w:tc>
          <w:tcPr>
            <w:tcW w:w="1685" w:type="pct"/>
            <w:tcMar>
              <w:top w:w="90" w:type="dxa"/>
              <w:left w:w="90" w:type="dxa"/>
              <w:bottom w:w="90" w:type="dxa"/>
              <w:right w:w="90" w:type="dxa"/>
            </w:tcMar>
            <w:vAlign w:val="center"/>
          </w:tcPr>
          <w:p w14:paraId="744BB085" w14:textId="77777777" w:rsidR="00BB18A2" w:rsidRDefault="00000000">
            <w:pPr>
              <w:spacing w:line="276" w:lineRule="auto" w:after="60"/>
              <w:jc w:val="left"/>
            </w:pPr>
            <w:r>
              <w:rPr>
                <w:rFonts w:ascii="Times New Roman" w:hAnsi="Times New Roman" w:eastAsia="Times New Roman" w:cs="Times New Roman"/>
                <w:sz w:val="21"/>
              </w:rPr>
              <w:t>Orchestration</w:t>
            </w:r>
          </w:p>
        </w:tc>
        <w:tc>
          <w:tcPr>
            <w:tcW w:w="1587" w:type="pct"/>
            <w:tcMar>
              <w:top w:w="90" w:type="dxa"/>
              <w:left w:w="90" w:type="dxa"/>
              <w:bottom w:w="90" w:type="dxa"/>
              <w:right w:w="90" w:type="dxa"/>
            </w:tcMar>
            <w:vAlign w:val="center"/>
          </w:tcPr>
          <w:p w14:paraId="16BFE5B7" w14:textId="77777777" w:rsidR="00BB18A2" w:rsidRDefault="00000000">
            <w:pPr>
              <w:spacing w:line="276" w:lineRule="auto" w:after="60"/>
              <w:jc w:val="left"/>
            </w:pPr>
            <w:r>
              <w:rPr>
                <w:rFonts w:ascii="Times New Roman" w:hAnsi="Times New Roman" w:eastAsia="Times New Roman" w:cs="Times New Roman"/>
                <w:sz w:val="21"/>
              </w:rPr>
              <w:t>Apache Airflow</w:t>
            </w:r>
          </w:p>
        </w:tc>
        <w:tc>
          <w:tcPr>
            <w:tcW w:w="1729" w:type="pct"/>
            <w:tcMar>
              <w:top w:w="90" w:type="dxa"/>
              <w:left w:w="90" w:type="dxa"/>
              <w:bottom w:w="90" w:type="dxa"/>
              <w:right w:w="90" w:type="dxa"/>
            </w:tcMar>
            <w:vAlign w:val="center"/>
          </w:tcPr>
          <w:p w14:paraId="5ADC59A6" w14:textId="77777777" w:rsidR="00BB18A2" w:rsidRDefault="00000000">
            <w:pPr>
              <w:spacing w:line="276" w:lineRule="auto" w:after="60"/>
              <w:jc w:val="left"/>
            </w:pPr>
            <w:r>
              <w:rPr>
                <w:rFonts w:ascii="Times New Roman" w:hAnsi="Times New Roman" w:eastAsia="Times New Roman" w:cs="Times New Roman"/>
                <w:sz w:val="21"/>
              </w:rPr>
              <w:t>Schedule, monitor, retry, and log ELT pipeline tasks</w:t>
            </w:r>
          </w:p>
        </w:tc>
      </w:tr>
      <w:tr w:rsidR="0084730D" w:rsidRPr="00335C63" w14:paraId="50A3250B" w14:textId="77777777" w:rsidTr="00997D20">
        <w:trPr>
          <w:cantSplit/>
          <w:jc w:val="center"/>
        </w:trPr>
        <w:tc>
          <w:tcPr>
            <w:tcW w:w="1685" w:type="pct"/>
            <w:tcMar>
              <w:top w:w="90" w:type="dxa"/>
              <w:left w:w="90" w:type="dxa"/>
              <w:bottom w:w="90" w:type="dxa"/>
              <w:right w:w="90" w:type="dxa"/>
            </w:tcMar>
            <w:vAlign w:val="center"/>
          </w:tcPr>
          <w:p w14:paraId="7C47F98D" w14:textId="77777777" w:rsidR="00BB18A2" w:rsidRDefault="00000000">
            <w:pPr>
              <w:spacing w:line="276" w:lineRule="auto" w:after="60"/>
              <w:jc w:val="left"/>
            </w:pPr>
            <w:r>
              <w:rPr>
                <w:rFonts w:ascii="Times New Roman" w:hAnsi="Times New Roman" w:eastAsia="Times New Roman" w:cs="Times New Roman"/>
                <w:sz w:val="21"/>
              </w:rPr>
              <w:t>Transformation and testing</w:t>
            </w:r>
          </w:p>
        </w:tc>
        <w:tc>
          <w:tcPr>
            <w:tcW w:w="1587" w:type="pct"/>
            <w:tcMar>
              <w:top w:w="90" w:type="dxa"/>
              <w:left w:w="90" w:type="dxa"/>
              <w:bottom w:w="90" w:type="dxa"/>
              <w:right w:w="90" w:type="dxa"/>
            </w:tcMar>
            <w:vAlign w:val="center"/>
          </w:tcPr>
          <w:p w14:paraId="703D8FE7" w14:textId="77777777" w:rsidR="00BB18A2" w:rsidRDefault="00000000">
            <w:pPr>
              <w:spacing w:line="276" w:lineRule="auto" w:after="60"/>
              <w:jc w:val="left"/>
            </w:pPr>
            <w:r>
              <w:rPr>
                <w:rFonts w:ascii="Times New Roman" w:hAnsi="Times New Roman" w:eastAsia="Times New Roman" w:cs="Times New Roman"/>
                <w:sz w:val="21"/>
              </w:rPr>
              <w:t>dbt Core</w:t>
            </w:r>
          </w:p>
        </w:tc>
        <w:tc>
          <w:tcPr>
            <w:tcW w:w="1729" w:type="pct"/>
            <w:tcMar>
              <w:top w:w="90" w:type="dxa"/>
              <w:left w:w="90" w:type="dxa"/>
              <w:bottom w:w="90" w:type="dxa"/>
              <w:right w:w="90" w:type="dxa"/>
            </w:tcMar>
            <w:vAlign w:val="center"/>
          </w:tcPr>
          <w:p w14:paraId="04C69086" w14:textId="77777777" w:rsidR="00BB18A2" w:rsidRDefault="00000000">
            <w:pPr>
              <w:spacing w:line="276" w:lineRule="auto" w:after="60"/>
              <w:jc w:val="left"/>
            </w:pPr>
            <w:r>
              <w:rPr>
                <w:rFonts w:ascii="Times New Roman" w:hAnsi="Times New Roman" w:eastAsia="Times New Roman" w:cs="Times New Roman"/>
                <w:sz w:val="21"/>
              </w:rPr>
              <w:t>Build SQL models, data tests, documentation, and lineage for BigQuery tables</w:t>
            </w:r>
          </w:p>
        </w:tc>
      </w:tr>
      <w:tr w:rsidR="0084730D" w:rsidRPr="00335C63" w14:paraId="6143D2D2" w14:textId="77777777" w:rsidTr="00997D20">
        <w:trPr>
          <w:cantSplit/>
          <w:jc w:val="center"/>
        </w:trPr>
        <w:tc>
          <w:tcPr>
            <w:tcW w:w="1685" w:type="pct"/>
            <w:tcMar>
              <w:top w:w="90" w:type="dxa"/>
              <w:left w:w="90" w:type="dxa"/>
              <w:bottom w:w="90" w:type="dxa"/>
              <w:right w:w="90" w:type="dxa"/>
            </w:tcMar>
            <w:vAlign w:val="center"/>
          </w:tcPr>
          <w:p w14:paraId="1DD0F1F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AI recommendation</w:t>
            </w:r>
          </w:p>
        </w:tc>
        <w:tc>
          <w:tcPr>
            <w:tcW w:w="1587" w:type="pct"/>
            <w:tcMar>
              <w:top w:w="90" w:type="dxa"/>
              <w:left w:w="90" w:type="dxa"/>
              <w:bottom w:w="90" w:type="dxa"/>
              <w:right w:w="90" w:type="dxa"/>
            </w:tcMar>
            <w:vAlign w:val="center"/>
          </w:tcPr>
          <w:p w14:paraId="73DF317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Local Ollama (future phase)</w:t>
            </w:r>
          </w:p>
        </w:tc>
        <w:tc>
          <w:tcPr>
            <w:tcW w:w="1729" w:type="pct"/>
            <w:tcMar>
              <w:top w:w="90" w:type="dxa"/>
              <w:left w:w="90" w:type="dxa"/>
              <w:bottom w:w="90" w:type="dxa"/>
              <w:right w:w="90" w:type="dxa"/>
            </w:tcMar>
            <w:vAlign w:val="center"/>
          </w:tcPr>
          <w:p w14:paraId="5479D74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Generate plain-language suggestions from analytics outputs without paid API calls</w:t>
            </w:r>
          </w:p>
        </w:tc>
      </w:tr>
      <w:tr w:rsidR="0084730D" w:rsidRPr="00335C63" w14:paraId="5D5131CF" w14:textId="77777777" w:rsidTr="00997D20">
        <w:trPr>
          <w:cantSplit/>
          <w:jc w:val="center"/>
        </w:trPr>
        <w:tc>
          <w:tcPr>
            <w:tcW w:w="1685" w:type="pct"/>
            <w:tcMar>
              <w:top w:w="90" w:type="dxa"/>
              <w:left w:w="90" w:type="dxa"/>
              <w:bottom w:w="90" w:type="dxa"/>
              <w:right w:w="90" w:type="dxa"/>
            </w:tcMar>
            <w:vAlign w:val="center"/>
          </w:tcPr>
          <w:p w14:paraId="01FBA5F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Deployment</w:t>
            </w:r>
          </w:p>
        </w:tc>
        <w:tc>
          <w:tcPr>
            <w:tcW w:w="1587" w:type="pct"/>
            <w:tcMar>
              <w:top w:w="90" w:type="dxa"/>
              <w:left w:w="90" w:type="dxa"/>
              <w:bottom w:w="90" w:type="dxa"/>
              <w:right w:w="90" w:type="dxa"/>
            </w:tcMar>
            <w:vAlign w:val="center"/>
          </w:tcPr>
          <w:p w14:paraId="2E19FEB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Docker Compose for local services; BigQuery hosted by Google Cloud</w:t>
            </w:r>
          </w:p>
        </w:tc>
        <w:tc>
          <w:tcPr>
            <w:tcW w:w="1729" w:type="pct"/>
            <w:tcMar>
              <w:top w:w="90" w:type="dxa"/>
              <w:left w:w="90" w:type="dxa"/>
              <w:bottom w:w="90" w:type="dxa"/>
              <w:right w:w="90" w:type="dxa"/>
            </w:tcMar>
            <w:vAlign w:val="center"/>
          </w:tcPr>
          <w:p w14:paraId="364DAF7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Reproducible setup for demo and company handover</w:t>
            </w:r>
          </w:p>
        </w:tc>
      </w:tr>
      <w:tr w:rsidR="00BB18A2" w14:paraId="5E29EE52" w14:textId="77777777">
        <w:trPr>
          <w:jc w:val="center"/>
        </w:trPr>
        <w:tc>
          <w:tcPr>
            <w:tcW w:w="3038" w:type="dxa"/>
            <w:vAlign w:val="center"/>
          </w:tcPr>
          <w:p w14:paraId="0EF0BA47" w14:textId="77777777" w:rsidR="00BB18A2" w:rsidRPr="003E4481" w:rsidRDefault="00000000">
            <w:pPr>
              <w:spacing w:line="276" w:lineRule="auto" w:after="60"/>
              <w:jc w:val="left"/>
              <w:rPr>
                <w:rFonts w:ascii="Times New Roman" w:hAnsi="Times New Roman" w:cs="Times New Roman"/>
                <w:sz w:val="24"/>
                <w:szCs w:val="24"/>
              </w:rPr>
            </w:pPr>
            <w:r w:rsidRPr="003E4481">
              <w:rPr>
                <w:rFonts w:ascii="Times New Roman" w:hAnsi="Times New Roman" w:cs="Times New Roman" w:eastAsia="Times New Roman"/>
                <w:sz w:val="21"/>
                <w:szCs w:val="24"/>
              </w:rPr>
              <w:t>Governance and quality</w:t>
            </w:r>
          </w:p>
        </w:tc>
        <w:tc>
          <w:tcPr>
            <w:tcW w:w="2862" w:type="dxa"/>
            <w:vAlign w:val="center"/>
          </w:tcPr>
          <w:p w14:paraId="4426F4BC" w14:textId="77777777" w:rsidR="00BB18A2" w:rsidRPr="003E4481" w:rsidRDefault="00000000">
            <w:pPr>
              <w:spacing w:line="276" w:lineRule="auto" w:after="60"/>
              <w:jc w:val="left"/>
              <w:rPr>
                <w:rFonts w:ascii="Times New Roman" w:hAnsi="Times New Roman" w:cs="Times New Roman"/>
                <w:sz w:val="24"/>
                <w:szCs w:val="24"/>
              </w:rPr>
            </w:pPr>
            <w:r w:rsidRPr="003E4481">
              <w:rPr>
                <w:rFonts w:ascii="Times New Roman" w:hAnsi="Times New Roman" w:cs="Times New Roman" w:eastAsia="Times New Roman"/>
                <w:sz w:val="21"/>
                <w:szCs w:val="24"/>
              </w:rPr>
              <w:t>dbt tests, validation logs, anonymised views</w:t>
            </w:r>
          </w:p>
        </w:tc>
        <w:tc>
          <w:tcPr>
            <w:tcW w:w="3116" w:type="dxa"/>
            <w:vAlign w:val="center"/>
          </w:tcPr>
          <w:p w14:paraId="258799F4" w14:textId="77777777" w:rsidR="00BB18A2" w:rsidRPr="003E4481" w:rsidRDefault="00000000">
            <w:pPr>
              <w:spacing w:line="276" w:lineRule="auto" w:after="60"/>
              <w:jc w:val="left"/>
              <w:rPr>
                <w:rFonts w:ascii="Times New Roman" w:hAnsi="Times New Roman" w:cs="Times New Roman"/>
                <w:sz w:val="24"/>
                <w:szCs w:val="24"/>
              </w:rPr>
            </w:pPr>
            <w:r w:rsidRPr="003E4481">
              <w:rPr>
                <w:rFonts w:ascii="Times New Roman" w:hAnsi="Times New Roman" w:cs="Times New Roman" w:eastAsia="Times New Roman"/>
                <w:sz w:val="21"/>
                <w:szCs w:val="24"/>
              </w:rPr>
              <w:t>Protect customer data and show data quality, contract, and refresh status</w:t>
            </w:r>
          </w:p>
        </w:tc>
      </w:tr>
    </w:tbl>
    <w:p w14:paraId="09A8A0FA" w14:textId="77777777" w:rsidR="0084730D" w:rsidRPr="00335C63" w:rsidRDefault="0084730D" w:rsidP="000F4170">
      <w:pPr>
        <w:spacing w:line="360" w:lineRule="auto" w:after="120"/>
        <w:jc w:val="left"/>
        <w:rPr>
          <w:rFonts w:ascii="Times New Roman" w:hAnsi="Times New Roman" w:cs="Times New Roman"/>
          <w:sz w:val="24"/>
          <w:szCs w:val="24"/>
        </w:rPr>
      </w:pPr>
    </w:p>
    <w:p w14:paraId="25343A7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3.3 BigQuery Data Warehouse Design</w:t>
      </w:r>
    </w:p>
    <w:p w14:paraId="5FB49291"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sz w:val="24"/>
        </w:rPr>
        <w:t>BigQuery is selected as the proposed analytics warehouse because the project is analytics-oriented and the company data is connected to the Google ecosystem. At CP1 stage, the warehouse design is a logical plan rather than a final physical schema. The exact table names, columns, and joins will be confirmed in CP2 after profiling the actual Google Sheets, CSV exports, Google Calendar fields, and weather data. The planned structure will still follow a Bronze, Silver, and Gold approach: Bronze preserves raw source records, Silver standardises usable fields, and Gold provides dashboard-ready views or marts for Superset.</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740"/>
        <w:gridCol w:w="2680"/>
        <w:gridCol w:w="4596"/>
      </w:tblGrid>
      <w:tr w:rsidR="0084730D" w:rsidRPr="00335C63" w14:paraId="54B3681B" w14:textId="77777777" w:rsidTr="00997D20">
        <w:trPr>
          <w:cantSplit/>
          <w:tblHeader/>
          <w:jc w:val="center"/>
        </w:trPr>
        <w:tc>
          <w:tcPr>
            <w:tcW w:w="965" w:type="pct"/>
            <w:shd w:val="clear" w:color="auto" w:fill="E8F1FA"/>
            <w:tcMar>
              <w:top w:w="90" w:type="dxa"/>
              <w:left w:w="90" w:type="dxa"/>
              <w:bottom w:w="90" w:type="dxa"/>
              <w:right w:w="90" w:type="dxa"/>
            </w:tcMar>
            <w:vAlign w:val="center"/>
            <w:shd w:fill="DCEAF7"/>
            <w:shd w:fill="DCEAF7"/>
          </w:tcPr>
          <w:p>
            <w:pPr>
              <w:spacing w:line="276" w:lineRule="auto" w:after="60"/>
              <w:jc w:val="left"/>
            </w:pPr>
            <w:r>
              <w:rPr>
                <w:rFonts w:ascii="Times New Roman" w:hAnsi="Times New Roman" w:eastAsia="Times New Roman"/>
                <w:b/>
                <w:sz w:val="21"/>
              </w:rPr>
              <w:t>Proposed Layer</w:t>
            </w:r>
          </w:p>
        </w:tc>
        <w:tc>
          <w:tcPr>
            <w:tcW w:w="1486" w:type="pct"/>
            <w:shd w:val="clear" w:color="auto" w:fill="E8F1FA"/>
            <w:tcMar>
              <w:top w:w="90" w:type="dxa"/>
              <w:left w:w="90" w:type="dxa"/>
              <w:bottom w:w="90" w:type="dxa"/>
              <w:right w:w="90" w:type="dxa"/>
            </w:tcMar>
            <w:vAlign w:val="center"/>
            <w:shd w:fill="DCEAF7"/>
            <w:shd w:fill="DCEAF7"/>
          </w:tcPr>
          <w:p>
            <w:pPr>
              <w:spacing w:line="276" w:lineRule="auto" w:after="60"/>
              <w:jc w:val="left"/>
            </w:pPr>
            <w:r>
              <w:rPr>
                <w:rFonts w:ascii="Times New Roman" w:hAnsi="Times New Roman" w:eastAsia="Times New Roman"/>
                <w:b/>
                <w:sz w:val="21"/>
              </w:rPr>
              <w:t>Purpose in CP2</w:t>
            </w:r>
          </w:p>
        </w:tc>
        <w:tc>
          <w:tcPr>
            <w:tcW w:w="2549" w:type="pct"/>
            <w:shd w:val="clear" w:color="auto" w:fill="E8F1FA"/>
            <w:tcMar>
              <w:top w:w="90" w:type="dxa"/>
              <w:left w:w="90" w:type="dxa"/>
              <w:bottom w:w="90" w:type="dxa"/>
              <w:right w:w="90" w:type="dxa"/>
            </w:tcMar>
            <w:vAlign w:val="center"/>
            <w:shd w:fill="DCEAF7"/>
            <w:shd w:fill="DCEAF7"/>
          </w:tcPr>
          <w:p>
            <w:pPr>
              <w:spacing w:line="276" w:lineRule="auto" w:after="60"/>
              <w:jc w:val="left"/>
            </w:pPr>
            <w:r>
              <w:rPr>
                <w:rFonts w:ascii="Times New Roman" w:hAnsi="Times New Roman" w:eastAsia="Times New Roman"/>
                <w:b/>
                <w:sz w:val="21"/>
              </w:rPr>
              <w:t>Example Output (to be refined after profiling)</w:t>
            </w:r>
          </w:p>
        </w:tc>
      </w:tr>
      <w:tr w:rsidR="0084730D" w:rsidRPr="00335C63" w14:paraId="2CDE4A8E" w14:textId="77777777" w:rsidTr="00997D20">
        <w:trPr>
          <w:cantSplit/>
          <w:jc w:val="center"/>
        </w:trPr>
        <w:tc>
          <w:tcPr>
            <w:tcW w:w="965"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Bronze raw layer</w:t>
            </w:r>
          </w:p>
        </w:tc>
        <w:tc>
          <w:tcPr>
            <w:tcW w:w="1486"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Preserve source extracts with minimal transformation and loading metadata.</w:t>
            </w:r>
          </w:p>
        </w:tc>
        <w:tc>
          <w:tcPr>
            <w:tcW w:w="2549"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Raw snapshots from Google Sheets, Calendar, CSV/Excel files, and weather APIs.</w:t>
            </w:r>
          </w:p>
        </w:tc>
      </w:tr>
      <w:tr w:rsidR="0084730D" w:rsidRPr="00335C63" w14:paraId="158C8F5E" w14:textId="77777777" w:rsidTr="00997D20">
        <w:trPr>
          <w:cantSplit/>
          <w:jc w:val="center"/>
        </w:trPr>
        <w:tc>
          <w:tcPr>
            <w:tcW w:w="965"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Silver cleaned layer</w:t>
            </w:r>
          </w:p>
        </w:tc>
        <w:tc>
          <w:tcPr>
            <w:tcW w:w="1486"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Standardise usable fields after data profiling, alias mapping, and validation.</w:t>
            </w:r>
          </w:p>
        </w:tc>
        <w:tc>
          <w:tcPr>
            <w:tcW w:w="2549"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Cleaned customer/service/payment/warranty/refund/calendar/weather records.</w:t>
            </w:r>
          </w:p>
        </w:tc>
      </w:tr>
      <w:tr w:rsidR="0084730D" w:rsidRPr="00335C63" w14:paraId="5702B7B8" w14:textId="77777777" w:rsidTr="00997D20">
        <w:trPr>
          <w:cantSplit/>
          <w:jc w:val="center"/>
        </w:trPr>
        <w:tc>
          <w:tcPr>
            <w:tcW w:w="965"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Gold analytics layer</w:t>
            </w:r>
          </w:p>
        </w:tc>
        <w:tc>
          <w:tcPr>
            <w:tcW w:w="1486"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Create dashboard-ready views for business questions and Superset charts.</w:t>
            </w:r>
          </w:p>
        </w:tc>
        <w:tc>
          <w:tcPr>
            <w:tcW w:w="2549"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Area risk, treatment difficulty, recurrence, upsell, data quality, and refresh-status outputs.</w:t>
            </w:r>
          </w:p>
        </w:tc>
      </w:tr>
      <w:tr w:rsidR="00BB18A2" w14:paraId="122A9E8A" w14:textId="77777777">
        <w:trPr>
          <w:jc w:val="center"/>
        </w:trPr>
        <w:tc>
          <w:tcPr>
            <w:tcW w:w="1740" w:type="dxa"/>
            <w:vAlign w:val="center"/>
          </w:tcPr>
          <w:p>
            <w:pPr>
              <w:spacing w:line="276" w:lineRule="auto" w:after="60"/>
              <w:jc w:val="left"/>
            </w:pPr>
            <w:r>
              <w:rPr>
                <w:rFonts w:ascii="Times New Roman" w:hAnsi="Times New Roman" w:eastAsia="Times New Roman"/>
                <w:sz w:val="21"/>
              </w:rPr>
              <w:t>Audit and quality layer</w:t>
            </w:r>
          </w:p>
        </w:tc>
        <w:tc>
          <w:tcPr>
            <w:tcW w:w="2680" w:type="dxa"/>
            <w:vAlign w:val="center"/>
          </w:tcPr>
          <w:p>
            <w:pPr>
              <w:spacing w:line="276" w:lineRule="auto" w:after="60"/>
              <w:jc w:val="left"/>
            </w:pPr>
            <w:r>
              <w:rPr>
                <w:rFonts w:ascii="Times New Roman" w:hAnsi="Times New Roman" w:eastAsia="Times New Roman"/>
                <w:sz w:val="21"/>
              </w:rPr>
              <w:t>Record pipeline runs, validation issues, match confidence, and source freshness.</w:t>
            </w:r>
          </w:p>
        </w:tc>
        <w:tc>
          <w:tcPr>
            <w:tcW w:w="4596" w:type="dxa"/>
            <w:vAlign w:val="center"/>
          </w:tcPr>
          <w:p>
            <w:pPr>
              <w:spacing w:line="276" w:lineRule="auto" w:after="60"/>
              <w:jc w:val="left"/>
            </w:pPr>
            <w:r>
              <w:rPr>
                <w:rFonts w:ascii="Times New Roman" w:hAnsi="Times New Roman" w:eastAsia="Times New Roman"/>
                <w:sz w:val="21"/>
              </w:rPr>
              <w:t>Data quality report, refresh log, matching log, and weather-enrichment coverage.</w:t>
            </w:r>
          </w:p>
        </w:tc>
      </w:tr>
    </w:tbl>
    <w:p w14:paraId="0810C224" w14:textId="77777777" w:rsidR="0084730D" w:rsidRPr="00335C63" w:rsidRDefault="0084730D" w:rsidP="000F4170">
      <w:pPr>
        <w:spacing w:line="360" w:lineRule="auto" w:after="120"/>
        <w:jc w:val="left"/>
        <w:rPr>
          <w:rFonts w:ascii="Times New Roman" w:hAnsi="Times New Roman" w:cs="Times New Roman"/>
          <w:sz w:val="24"/>
          <w:szCs w:val="24"/>
        </w:rPr>
      </w:pPr>
    </w:p>
    <w:p w14:paraId="05F4A6CA"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sz w:val="24"/>
        </w:rPr>
        <w:t>The planned design will use stable identifiers where available, such as customer ID, service/session reference, normalised phone number, date, area/postcode, pest type, package type, technician, and team. Because the exact source columns may differ across company sheets, CP2 will first create a field-mapping document and data quality report before finalising the warehouse model. BigQuery will be used as an analytics warehouse rather than a transaction-processing database, so relationships will be managed through SQL joins, dbt models, data tests, lineage documentation, and validation logs rather than transactional foreign-key enforcement.</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511"/>
        <w:gridCol w:w="3408"/>
        <w:gridCol w:w="2097"/>
      </w:tblGrid>
      <w:tr w:rsidR="0084730D" w:rsidRPr="00335C63" w14:paraId="4A5A3C68" w14:textId="77777777" w:rsidTr="00997D20">
        <w:trPr>
          <w:cantSplit/>
          <w:tblHeader/>
          <w:jc w:val="center"/>
        </w:trPr>
        <w:tc>
          <w:tcPr>
            <w:tcW w:w="1947" w:type="pct"/>
            <w:shd w:val="clear" w:color="auto" w:fill="E8F1FA"/>
            <w:tcMar>
              <w:top w:w="90" w:type="dxa"/>
              <w:left w:w="90" w:type="dxa"/>
              <w:bottom w:w="90" w:type="dxa"/>
              <w:right w:w="90" w:type="dxa"/>
            </w:tcMar>
            <w:vAlign w:val="center"/>
            <w:shd w:fill="DCEAF7"/>
            <w:shd w:fill="DCEAF7"/>
          </w:tcPr>
          <w:p>
            <w:pPr>
              <w:spacing w:line="276" w:lineRule="auto" w:after="60"/>
              <w:jc w:val="left"/>
            </w:pPr>
            <w:r>
              <w:rPr>
                <w:rFonts w:ascii="Times New Roman" w:hAnsi="Times New Roman" w:eastAsia="Times New Roman"/>
                <w:b/>
                <w:sz w:val="21"/>
              </w:rPr>
              <w:t>Planned Relationship</w:t>
            </w:r>
          </w:p>
        </w:tc>
        <w:tc>
          <w:tcPr>
            <w:tcW w:w="1890" w:type="pct"/>
            <w:shd w:val="clear" w:color="auto" w:fill="E8F1FA"/>
            <w:tcMar>
              <w:top w:w="90" w:type="dxa"/>
              <w:left w:w="90" w:type="dxa"/>
              <w:bottom w:w="90" w:type="dxa"/>
              <w:right w:w="90" w:type="dxa"/>
            </w:tcMar>
            <w:vAlign w:val="center"/>
            <w:shd w:fill="DCEAF7"/>
            <w:shd w:fill="DCEAF7"/>
          </w:tcPr>
          <w:p>
            <w:pPr>
              <w:spacing w:line="276" w:lineRule="auto" w:after="60"/>
              <w:jc w:val="left"/>
            </w:pPr>
            <w:r>
              <w:rPr>
                <w:rFonts w:ascii="Times New Roman" w:hAnsi="Times New Roman" w:eastAsia="Times New Roman"/>
                <w:b/>
                <w:sz w:val="21"/>
              </w:rPr>
              <w:t>Likely Matching Rule</w:t>
            </w:r>
          </w:p>
        </w:tc>
        <w:tc>
          <w:tcPr>
            <w:tcW w:w="1163" w:type="pct"/>
            <w:shd w:val="clear" w:color="auto" w:fill="E8F1FA"/>
            <w:tcMar>
              <w:top w:w="90" w:type="dxa"/>
              <w:left w:w="90" w:type="dxa"/>
              <w:bottom w:w="90" w:type="dxa"/>
              <w:right w:w="90" w:type="dxa"/>
            </w:tcMar>
            <w:vAlign w:val="center"/>
            <w:shd w:fill="DCEAF7"/>
            <w:shd w:fill="DCEAF7"/>
          </w:tcPr>
          <w:p>
            <w:pPr>
              <w:spacing w:line="276" w:lineRule="auto" w:after="60"/>
              <w:jc w:val="left"/>
            </w:pPr>
            <w:r>
              <w:rPr>
                <w:rFonts w:ascii="Times New Roman" w:hAnsi="Times New Roman" w:eastAsia="Times New Roman"/>
                <w:b/>
                <w:sz w:val="21"/>
              </w:rPr>
              <w:t>Reason for Matching</w:t>
            </w:r>
          </w:p>
        </w:tc>
      </w:tr>
      <w:tr w:rsidR="0084730D" w:rsidRPr="00335C63" w14:paraId="70693315" w14:textId="77777777" w:rsidTr="00997D20">
        <w:trPr>
          <w:cantSplit/>
          <w:jc w:val="center"/>
        </w:trPr>
        <w:tc>
          <w:tcPr>
            <w:tcW w:w="1947"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Customer to service/session records</w:t>
            </w:r>
          </w:p>
        </w:tc>
        <w:tc>
          <w:tcPr>
            <w:tcW w:w="1890"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Customer ID where available; otherwise normalised phone number or name/date fallback with confidence flag.</w:t>
            </w:r>
          </w:p>
        </w:tc>
        <w:tc>
          <w:tcPr>
            <w:tcW w:w="1163"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Connect service activity to customer type, premise type, and repeat behaviour.</w:t>
            </w:r>
          </w:p>
        </w:tc>
      </w:tr>
      <w:tr w:rsidR="0084730D" w:rsidRPr="00335C63" w14:paraId="6D8EBB70" w14:textId="77777777" w:rsidTr="00997D20">
        <w:trPr>
          <w:cantSplit/>
          <w:jc w:val="center"/>
        </w:trPr>
        <w:tc>
          <w:tcPr>
            <w:tcW w:w="1947"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Service/session to warranty claim</w:t>
            </w:r>
          </w:p>
        </w:tc>
        <w:tc>
          <w:tcPr>
            <w:tcW w:w="1890"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Service ID if available; otherwise customer/date/pest/area window with manual review flag.</w:t>
            </w:r>
          </w:p>
        </w:tc>
        <w:tc>
          <w:tcPr>
            <w:tcW w:w="1163"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Identify repeat or unresolved cases without assuming every claim has a perfect service link.</w:t>
            </w:r>
          </w:p>
        </w:tc>
      </w:tr>
      <w:tr w:rsidR="0084730D" w:rsidRPr="00335C63" w14:paraId="30DFC4CE" w14:textId="77777777" w:rsidTr="00997D20">
        <w:trPr>
          <w:cantSplit/>
          <w:jc w:val="center"/>
        </w:trPr>
        <w:tc>
          <w:tcPr>
            <w:tcW w:w="1947"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Service/session to refund</w:t>
            </w:r>
          </w:p>
        </w:tc>
        <w:tc>
          <w:tcPr>
            <w:tcW w:w="1890"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Customer or service reference plus refund date after service date.</w:t>
            </w:r>
          </w:p>
        </w:tc>
        <w:tc>
          <w:tcPr>
            <w:tcW w:w="1163"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Measure refund impact by area, pest type, package, and review category.</w:t>
            </w:r>
          </w:p>
        </w:tc>
      </w:tr>
      <w:tr w:rsidR="0084730D" w:rsidRPr="00335C63" w14:paraId="116B8FEC" w14:textId="77777777" w:rsidTr="00997D20">
        <w:trPr>
          <w:cantSplit/>
          <w:jc w:val="center"/>
        </w:trPr>
        <w:tc>
          <w:tcPr>
            <w:tcW w:w="1947"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Calendar event to service/session</w:t>
            </w:r>
          </w:p>
        </w:tc>
        <w:tc>
          <w:tcPr>
            <w:tcW w:w="1890"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Event title/description, date, team, customer name or phone, with match confidence.</w:t>
            </w:r>
          </w:p>
        </w:tc>
        <w:tc>
          <w:tcPr>
            <w:tcW w:w="1163"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Use scheduling data for capacity and extra/warranty session analysis.</w:t>
            </w:r>
          </w:p>
        </w:tc>
      </w:tr>
      <w:tr w:rsidR="0084730D" w:rsidRPr="00335C63" w14:paraId="42F51C3B" w14:textId="77777777" w:rsidTr="00997D20">
        <w:trPr>
          <w:cantSplit/>
          <w:jc w:val="center"/>
        </w:trPr>
        <w:tc>
          <w:tcPr>
            <w:tcW w:w="1947"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Service/session to area/weather</w:t>
            </w:r>
          </w:p>
        </w:tc>
        <w:tc>
          <w:tcPr>
            <w:tcW w:w="1890"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Standardised area or postcode mapped to centroid coordinate and service date.</w:t>
            </w:r>
          </w:p>
        </w:tc>
        <w:tc>
          <w:tcPr>
            <w:tcW w:w="1163"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Attach weather-associated indicators and area-level context.</w:t>
            </w:r>
          </w:p>
        </w:tc>
      </w:tr>
      <w:tr w:rsidR="0084730D" w:rsidRPr="00335C63" w14:paraId="77D20D60" w14:textId="77777777" w:rsidTr="00997D20">
        <w:trPr>
          <w:cantSplit/>
          <w:jc w:val="center"/>
        </w:trPr>
        <w:tc>
          <w:tcPr>
            <w:tcW w:w="1947"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Upsell to payment</w:t>
            </w:r>
          </w:p>
        </w:tc>
        <w:tc>
          <w:tcPr>
            <w:tcW w:w="1890"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Customer/payment reference and payment date near the offer or package window.</w:t>
            </w:r>
          </w:p>
        </w:tc>
        <w:tc>
          <w:tcPr>
            <w:tcW w:w="1163"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Estimate upsell window performance when rejected offers are not fully recorded.</w:t>
            </w:r>
          </w:p>
        </w:tc>
      </w:tr>
      <w:tr w:rsidR="0084730D" w:rsidRPr="00335C63" w14:paraId="7C20AE31" w14:textId="77777777" w:rsidTr="00997D20">
        <w:trPr>
          <w:cantSplit/>
          <w:jc w:val="center"/>
        </w:trPr>
        <w:tc>
          <w:tcPr>
            <w:tcW w:w="1947"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Recommendation to dashboard output</w:t>
            </w:r>
          </w:p>
        </w:tc>
        <w:tc>
          <w:tcPr>
            <w:tcW w:w="1890"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Related customer/service/area/pest/date where available.</w:t>
            </w:r>
          </w:p>
        </w:tc>
        <w:tc>
          <w:tcPr>
            <w:tcW w:w="1163" w:type="pct"/>
            <w:tcMar>
              <w:top w:w="90" w:type="dxa"/>
              <w:left w:w="90" w:type="dxa"/>
              <w:bottom w:w="90" w:type="dxa"/>
              <w:right w:w="90" w:type="dxa"/>
            </w:tcMar>
            <w:vAlign w:val="center"/>
          </w:tcPr>
          <w:p>
            <w:pPr>
              <w:spacing w:line="276" w:lineRule="auto" w:after="60"/>
              <w:jc w:val="left"/>
            </w:pPr>
            <w:r>
              <w:rPr>
                <w:rFonts w:ascii="Times New Roman" w:hAnsi="Times New Roman" w:eastAsia="Times New Roman"/>
                <w:sz w:val="21"/>
              </w:rPr>
              <w:t>Track suggested action, management response, and later outcome.</w:t>
            </w:r>
          </w:p>
        </w:tc>
      </w:tr>
    </w:tbl>
    <w:p w14:paraId="11382515" w14:textId="77777777" w:rsidR="0084730D" w:rsidRPr="00335C63" w:rsidRDefault="0084730D" w:rsidP="000F4170">
      <w:pPr>
        <w:spacing w:line="360" w:lineRule="auto" w:after="120"/>
        <w:jc w:val="left"/>
        <w:rPr>
          <w:rFonts w:ascii="Times New Roman" w:hAnsi="Times New Roman" w:cs="Times New Roman"/>
          <w:sz w:val="24"/>
          <w:szCs w:val="24"/>
        </w:rPr>
      </w:pPr>
    </w:p>
    <w:p w14:paraId="31F356D8"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3.4 Data Sources and Field Mapping</w:t>
      </w:r>
    </w:p>
    <w:p>
      <w:pPr>
        <w:spacing w:line="360" w:lineRule="auto" w:after="120"/>
        <w:jc w:val="both"/>
      </w:pPr>
      <w:r>
        <w:rPr>
          <w:rFonts w:ascii="Times New Roman" w:hAnsi="Times New Roman" w:eastAsia="Times New Roman"/>
          <w:sz w:val="24"/>
        </w:rPr>
        <w:t>The field mapping in this proposal is therefore indicative. In CP2, the first implementation task will be to profile the real Google Sheets, Calendar exports, and CSV files, then produce a confirmed data dictionary showing which fields are usable, which fields need cleaning, and which fields must be excluded or flagged for low confidence.</w:t>
      </w:r>
    </w:p>
    <w:tbl>
      <w:tblPr>
        <w:tblStyle w:val="TableGrid"/>
        <w:tblW w:w="5000" w:type="pct"/>
        <w:jc w:val="center"/>
        <w:tblLook w:val="04A0" w:firstRow="1" w:lastRow="0" w:firstColumn="1" w:lastColumn="0" w:noHBand="0" w:noVBand="1"/>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670"/>
        <w:gridCol w:w="3583"/>
        <w:gridCol w:w="2763"/>
      </w:tblGrid>
      <w:tr w:rsidR="0084730D" w:rsidRPr="00335C63" w14:paraId="0A73B079" w14:textId="77777777" w:rsidTr="00997D20">
        <w:trPr>
          <w:cantSplit/>
          <w:tblHeader/>
          <w:jc w:val="center"/>
        </w:trPr>
        <w:tc>
          <w:tcPr>
            <w:tcW w:w="1480" w:type="pct"/>
            <w:shd w:val="clear" w:color="auto" w:fill="E8F1FA"/>
            <w:tcMar>
              <w:top w:w="90" w:type="dxa"/>
              <w:left w:w="90" w:type="dxa"/>
              <w:bottom w:w="90" w:type="dxa"/>
              <w:right w:w="90" w:type="dxa"/>
            </w:tcMar>
            <w:vAlign w:val="center"/>
            <w:shd w:fill="DCEAF7"/>
          </w:tcPr>
          <w:p w14:paraId="5F57697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Data Source</w:t>
            </w:r>
          </w:p>
        </w:tc>
        <w:tc>
          <w:tcPr>
            <w:tcW w:w="1987" w:type="pct"/>
            <w:shd w:val="clear" w:color="auto" w:fill="E8F1FA"/>
            <w:tcMar>
              <w:top w:w="90" w:type="dxa"/>
              <w:left w:w="90" w:type="dxa"/>
              <w:bottom w:w="90" w:type="dxa"/>
              <w:right w:w="90" w:type="dxa"/>
            </w:tcMar>
            <w:vAlign w:val="center"/>
            <w:shd w:fill="DCEAF7"/>
          </w:tcPr>
          <w:p w14:paraId="3776FC7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Key Fields</w:t>
            </w:r>
          </w:p>
        </w:tc>
        <w:tc>
          <w:tcPr>
            <w:tcW w:w="1532" w:type="pct"/>
            <w:shd w:val="clear" w:color="auto" w:fill="E8F1FA"/>
            <w:tcMar>
              <w:top w:w="90" w:type="dxa"/>
              <w:left w:w="90" w:type="dxa"/>
              <w:bottom w:w="90" w:type="dxa"/>
              <w:right w:w="90" w:type="dxa"/>
            </w:tcMar>
            <w:vAlign w:val="center"/>
            <w:shd w:fill="DCEAF7"/>
          </w:tcPr>
          <w:p w14:paraId="6AC1089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Analytics Use</w:t>
            </w:r>
          </w:p>
        </w:tc>
      </w:tr>
      <w:tr w:rsidR="0084730D" w:rsidRPr="00335C63" w14:paraId="54A6C12F" w14:textId="77777777" w:rsidTr="00997D20">
        <w:trPr>
          <w:cantSplit/>
          <w:jc w:val="center"/>
        </w:trPr>
        <w:tc>
          <w:tcPr>
            <w:tcW w:w="1480" w:type="pct"/>
            <w:tcMar>
              <w:top w:w="90" w:type="dxa"/>
              <w:left w:w="90" w:type="dxa"/>
              <w:bottom w:w="90" w:type="dxa"/>
              <w:right w:w="90" w:type="dxa"/>
            </w:tcMar>
            <w:vAlign w:val="center"/>
          </w:tcPr>
          <w:p w14:paraId="1345D21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Prospects / leads</w:t>
            </w:r>
          </w:p>
        </w:tc>
        <w:tc>
          <w:tcPr>
            <w:tcW w:w="1987" w:type="pct"/>
            <w:tcMar>
              <w:top w:w="90" w:type="dxa"/>
              <w:left w:w="90" w:type="dxa"/>
              <w:bottom w:w="90" w:type="dxa"/>
              <w:right w:w="90" w:type="dxa"/>
            </w:tcMar>
            <w:vAlign w:val="center"/>
          </w:tcPr>
          <w:p w14:paraId="7899CF2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phone, lead date, ad source, campaign, status, PIC, follow-up count</w:t>
            </w:r>
          </w:p>
        </w:tc>
        <w:tc>
          <w:tcPr>
            <w:tcW w:w="1532" w:type="pct"/>
            <w:tcMar>
              <w:top w:w="90" w:type="dxa"/>
              <w:left w:w="90" w:type="dxa"/>
              <w:bottom w:w="90" w:type="dxa"/>
              <w:right w:w="90" w:type="dxa"/>
            </w:tcMar>
            <w:vAlign w:val="center"/>
          </w:tcPr>
          <w:p w14:paraId="3FAC6B8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Marketing attribution, lead conversion, funnel analysis</w:t>
            </w:r>
          </w:p>
        </w:tc>
      </w:tr>
      <w:tr w:rsidR="0084730D" w:rsidRPr="00335C63" w14:paraId="0FB17742" w14:textId="77777777" w:rsidTr="00997D20">
        <w:trPr>
          <w:cantSplit/>
          <w:jc w:val="center"/>
        </w:trPr>
        <w:tc>
          <w:tcPr>
            <w:tcW w:w="1480" w:type="pct"/>
            <w:tcMar>
              <w:top w:w="90" w:type="dxa"/>
              <w:left w:w="90" w:type="dxa"/>
              <w:bottom w:w="90" w:type="dxa"/>
              <w:right w:w="90" w:type="dxa"/>
            </w:tcMar>
            <w:vAlign w:val="center"/>
          </w:tcPr>
          <w:p w14:paraId="1C4E146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Services / sales</w:t>
            </w:r>
          </w:p>
        </w:tc>
        <w:tc>
          <w:tcPr>
            <w:tcW w:w="1987" w:type="pct"/>
            <w:tcMar>
              <w:top w:w="90" w:type="dxa"/>
              <w:left w:w="90" w:type="dxa"/>
              <w:bottom w:w="90" w:type="dxa"/>
              <w:right w:w="90" w:type="dxa"/>
            </w:tcMar>
            <w:vAlign w:val="center"/>
          </w:tcPr>
          <w:p w14:paraId="7A723FB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customer ID, service date, pest type, package, area, amount, payment status</w:t>
            </w:r>
          </w:p>
        </w:tc>
        <w:tc>
          <w:tcPr>
            <w:tcW w:w="1532" w:type="pct"/>
            <w:tcMar>
              <w:top w:w="90" w:type="dxa"/>
              <w:left w:w="90" w:type="dxa"/>
              <w:bottom w:w="90" w:type="dxa"/>
              <w:right w:w="90" w:type="dxa"/>
            </w:tcMar>
            <w:vAlign w:val="center"/>
          </w:tcPr>
          <w:p w14:paraId="0C03FA9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Service trends, revenue, customer segmentation, recurrence base</w:t>
            </w:r>
          </w:p>
        </w:tc>
      </w:tr>
      <w:tr w:rsidR="0084730D" w:rsidRPr="00335C63" w14:paraId="1A0D639C" w14:textId="77777777" w:rsidTr="00997D20">
        <w:trPr>
          <w:cantSplit/>
          <w:jc w:val="center"/>
        </w:trPr>
        <w:tc>
          <w:tcPr>
            <w:tcW w:w="1480" w:type="pct"/>
            <w:tcMar>
              <w:top w:w="90" w:type="dxa"/>
              <w:left w:w="90" w:type="dxa"/>
              <w:bottom w:w="90" w:type="dxa"/>
              <w:right w:w="90" w:type="dxa"/>
            </w:tcMar>
            <w:vAlign w:val="center"/>
          </w:tcPr>
          <w:p w14:paraId="2638D0E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Warranty claims</w:t>
            </w:r>
          </w:p>
        </w:tc>
        <w:tc>
          <w:tcPr>
            <w:tcW w:w="1987" w:type="pct"/>
            <w:tcMar>
              <w:top w:w="90" w:type="dxa"/>
              <w:left w:w="90" w:type="dxa"/>
              <w:bottom w:w="90" w:type="dxa"/>
              <w:right w:w="90" w:type="dxa"/>
            </w:tcMar>
            <w:vAlign w:val="center"/>
          </w:tcPr>
          <w:p w14:paraId="6CB2208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claim date, complaint reason, technician/team, repeat flag, complimentary service</w:t>
            </w:r>
          </w:p>
        </w:tc>
        <w:tc>
          <w:tcPr>
            <w:tcW w:w="1532" w:type="pct"/>
            <w:tcMar>
              <w:top w:w="90" w:type="dxa"/>
              <w:left w:w="90" w:type="dxa"/>
              <w:bottom w:w="90" w:type="dxa"/>
              <w:right w:w="90" w:type="dxa"/>
            </w:tcMar>
            <w:vAlign w:val="center"/>
          </w:tcPr>
          <w:p w14:paraId="0896BE4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Warranty review factors, repeat-problem analysis, treatment difficulty</w:t>
            </w:r>
          </w:p>
        </w:tc>
      </w:tr>
      <w:tr w:rsidR="0084730D" w:rsidRPr="00335C63" w14:paraId="2B420D8A" w14:textId="77777777" w:rsidTr="00997D20">
        <w:trPr>
          <w:cantSplit/>
          <w:jc w:val="center"/>
        </w:trPr>
        <w:tc>
          <w:tcPr>
            <w:tcW w:w="1480" w:type="pct"/>
            <w:tcMar>
              <w:top w:w="90" w:type="dxa"/>
              <w:left w:w="90" w:type="dxa"/>
              <w:bottom w:w="90" w:type="dxa"/>
              <w:right w:w="90" w:type="dxa"/>
            </w:tcMar>
            <w:vAlign w:val="center"/>
          </w:tcPr>
          <w:p w14:paraId="0EB320A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Refunds</w:t>
            </w:r>
          </w:p>
        </w:tc>
        <w:tc>
          <w:tcPr>
            <w:tcW w:w="1987" w:type="pct"/>
            <w:tcMar>
              <w:top w:w="90" w:type="dxa"/>
              <w:left w:w="90" w:type="dxa"/>
              <w:bottom w:w="90" w:type="dxa"/>
              <w:right w:w="90" w:type="dxa"/>
            </w:tcMar>
            <w:vAlign w:val="center"/>
          </w:tcPr>
          <w:p w14:paraId="08F87D5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refund date, reason, amount, status</w:t>
            </w:r>
          </w:p>
        </w:tc>
        <w:tc>
          <w:tcPr>
            <w:tcW w:w="1532" w:type="pct"/>
            <w:tcMar>
              <w:top w:w="90" w:type="dxa"/>
              <w:left w:w="90" w:type="dxa"/>
              <w:bottom w:w="90" w:type="dxa"/>
              <w:right w:w="90" w:type="dxa"/>
            </w:tcMar>
            <w:vAlign w:val="center"/>
          </w:tcPr>
          <w:p w14:paraId="3FEE125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Root cause categories, financial loss, difficulty score</w:t>
            </w:r>
          </w:p>
        </w:tc>
      </w:tr>
      <w:tr w:rsidR="0084730D" w:rsidRPr="00335C63" w14:paraId="1EA3AE75" w14:textId="77777777" w:rsidTr="00997D20">
        <w:trPr>
          <w:cantSplit/>
          <w:jc w:val="center"/>
        </w:trPr>
        <w:tc>
          <w:tcPr>
            <w:tcW w:w="1480" w:type="pct"/>
            <w:tcMar>
              <w:top w:w="90" w:type="dxa"/>
              <w:left w:w="90" w:type="dxa"/>
              <w:bottom w:w="90" w:type="dxa"/>
              <w:right w:w="90" w:type="dxa"/>
            </w:tcMar>
            <w:vAlign w:val="center"/>
          </w:tcPr>
          <w:p w14:paraId="200E25A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Payments and payment links</w:t>
            </w:r>
          </w:p>
        </w:tc>
        <w:tc>
          <w:tcPr>
            <w:tcW w:w="1987" w:type="pct"/>
            <w:tcMar>
              <w:top w:w="90" w:type="dxa"/>
              <w:left w:w="90" w:type="dxa"/>
              <w:bottom w:w="90" w:type="dxa"/>
              <w:right w:w="90" w:type="dxa"/>
            </w:tcMar>
            <w:vAlign w:val="center"/>
          </w:tcPr>
          <w:p w14:paraId="59C6315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received date, amount, method, sent date, won/pending</w:t>
            </w:r>
          </w:p>
        </w:tc>
        <w:tc>
          <w:tcPr>
            <w:tcW w:w="1532" w:type="pct"/>
            <w:tcMar>
              <w:top w:w="90" w:type="dxa"/>
              <w:left w:w="90" w:type="dxa"/>
              <w:bottom w:w="90" w:type="dxa"/>
              <w:right w:w="90" w:type="dxa"/>
            </w:tcMar>
            <w:vAlign w:val="center"/>
          </w:tcPr>
          <w:p w14:paraId="235F6B4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Payment completion and payment-link conversion</w:t>
            </w:r>
          </w:p>
        </w:tc>
      </w:tr>
      <w:tr w:rsidR="0084730D" w:rsidRPr="00335C63" w14:paraId="394ECBE6" w14:textId="77777777" w:rsidTr="00997D20">
        <w:trPr>
          <w:cantSplit/>
          <w:jc w:val="center"/>
        </w:trPr>
        <w:tc>
          <w:tcPr>
            <w:tcW w:w="1480" w:type="pct"/>
            <w:tcMar>
              <w:top w:w="90" w:type="dxa"/>
              <w:left w:w="90" w:type="dxa"/>
              <w:bottom w:w="90" w:type="dxa"/>
              <w:right w:w="90" w:type="dxa"/>
            </w:tcMar>
            <w:vAlign w:val="center"/>
          </w:tcPr>
          <w:p w14:paraId="0868774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Upsell records</w:t>
            </w:r>
          </w:p>
        </w:tc>
        <w:tc>
          <w:tcPr>
            <w:tcW w:w="1987" w:type="pct"/>
            <w:tcMar>
              <w:top w:w="90" w:type="dxa"/>
              <w:left w:w="90" w:type="dxa"/>
              <w:bottom w:w="90" w:type="dxa"/>
              <w:right w:w="90" w:type="dxa"/>
            </w:tcMar>
            <w:vAlign w:val="center"/>
          </w:tcPr>
          <w:p w14:paraId="2AB592A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upsell package, offer date/window, accepted/purchased package, amount</w:t>
            </w:r>
          </w:p>
        </w:tc>
        <w:tc>
          <w:tcPr>
            <w:tcW w:w="1532" w:type="pct"/>
            <w:tcMar>
              <w:top w:w="90" w:type="dxa"/>
              <w:left w:w="90" w:type="dxa"/>
              <w:bottom w:w="90" w:type="dxa"/>
              <w:right w:w="90" w:type="dxa"/>
            </w:tcMar>
            <w:vAlign w:val="center"/>
          </w:tcPr>
          <w:p w14:paraId="12C8B83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Package effectiveness and package-fit matrix</w:t>
            </w:r>
          </w:p>
        </w:tc>
      </w:tr>
      <w:tr w:rsidR="0084730D" w:rsidRPr="00335C63" w14:paraId="4786F189" w14:textId="77777777" w:rsidTr="00997D20">
        <w:trPr>
          <w:cantSplit/>
          <w:jc w:val="center"/>
        </w:trPr>
        <w:tc>
          <w:tcPr>
            <w:tcW w:w="1480" w:type="pct"/>
            <w:tcMar>
              <w:top w:w="90" w:type="dxa"/>
              <w:left w:w="90" w:type="dxa"/>
              <w:bottom w:w="90" w:type="dxa"/>
              <w:right w:w="90" w:type="dxa"/>
            </w:tcMar>
            <w:vAlign w:val="center"/>
          </w:tcPr>
          <w:p w14:paraId="1EF114D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Google Calendar</w:t>
            </w:r>
          </w:p>
        </w:tc>
        <w:tc>
          <w:tcPr>
            <w:tcW w:w="1987" w:type="pct"/>
            <w:tcMar>
              <w:top w:w="90" w:type="dxa"/>
              <w:left w:w="90" w:type="dxa"/>
              <w:bottom w:w="90" w:type="dxa"/>
              <w:right w:w="90" w:type="dxa"/>
            </w:tcMar>
            <w:vAlign w:val="center"/>
          </w:tcPr>
          <w:p w14:paraId="21B85CB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event title, start/end time, area, technician/team, session type</w:t>
            </w:r>
          </w:p>
        </w:tc>
        <w:tc>
          <w:tcPr>
            <w:tcW w:w="1532" w:type="pct"/>
            <w:tcMar>
              <w:top w:w="90" w:type="dxa"/>
              <w:left w:w="90" w:type="dxa"/>
              <w:bottom w:w="90" w:type="dxa"/>
              <w:right w:w="90" w:type="dxa"/>
            </w:tcMar>
            <w:vAlign w:val="center"/>
          </w:tcPr>
          <w:p w14:paraId="38CA64B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Capacity analytics, slot utilisation, warranty/extra session share</w:t>
            </w:r>
          </w:p>
        </w:tc>
      </w:tr>
      <w:tr w:rsidR="0084730D" w:rsidRPr="00335C63" w14:paraId="73E28B27" w14:textId="77777777" w:rsidTr="00997D20">
        <w:trPr>
          <w:cantSplit/>
          <w:jc w:val="center"/>
        </w:trPr>
        <w:tc>
          <w:tcPr>
            <w:tcW w:w="1480" w:type="pct"/>
            <w:tcMar>
              <w:top w:w="90" w:type="dxa"/>
              <w:left w:w="90" w:type="dxa"/>
              <w:bottom w:w="90" w:type="dxa"/>
              <w:right w:w="90" w:type="dxa"/>
            </w:tcMar>
            <w:vAlign w:val="center"/>
          </w:tcPr>
          <w:p w14:paraId="1EECF6E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Weather/flood data</w:t>
            </w:r>
          </w:p>
        </w:tc>
        <w:tc>
          <w:tcPr>
            <w:tcW w:w="1987" w:type="pct"/>
            <w:tcMar>
              <w:top w:w="90" w:type="dxa"/>
              <w:left w:w="90" w:type="dxa"/>
              <w:bottom w:w="90" w:type="dxa"/>
              <w:right w:w="90" w:type="dxa"/>
            </w:tcMar>
            <w:vAlign w:val="center"/>
          </w:tcPr>
          <w:p w14:paraId="03C9B9F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rainfall, humidity, temperature, warning/flood flags, date, area coordinate</w:t>
            </w:r>
          </w:p>
        </w:tc>
        <w:tc>
          <w:tcPr>
            <w:tcW w:w="1532" w:type="pct"/>
            <w:tcMar>
              <w:top w:w="90" w:type="dxa"/>
              <w:left w:w="90" w:type="dxa"/>
              <w:bottom w:w="90" w:type="dxa"/>
              <w:right w:w="90" w:type="dxa"/>
            </w:tcMar>
            <w:vAlign w:val="center"/>
          </w:tcPr>
          <w:p w14:paraId="6CF0FB3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Weather-associated risk, service-date enrichment</w:t>
            </w:r>
          </w:p>
        </w:tc>
      </w:tr>
    </w:tbl>
    <w:p w14:paraId="55014217" w14:textId="77777777" w:rsidR="0084730D" w:rsidRPr="00335C63" w:rsidRDefault="0084730D" w:rsidP="000F4170">
      <w:pPr>
        <w:spacing w:line="360" w:lineRule="auto" w:after="120"/>
        <w:jc w:val="left"/>
        <w:rPr>
          <w:rFonts w:ascii="Times New Roman" w:hAnsi="Times New Roman" w:cs="Times New Roman"/>
          <w:sz w:val="24"/>
          <w:szCs w:val="24"/>
        </w:rPr>
      </w:pPr>
    </w:p>
    <w:p w14:paraId="2C514DF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3.5 Data Cleaning, Inclusion, and Exclusion Rules</w:t>
      </w:r>
    </w:p>
    <w:p w14:paraId="4629B063"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The pipeline will not simply load the company files directly into dashboards. Each source will pass through a flexible data contract layer before it is used for analysis. Because company data may contain inconsistent column names and formats, the contract will define required business fields, accepted column aliases, expected data types, and validation rules. Missing or low-confidence mappings will be flagged in the Data Quality Report instead of being silently deleted.</w:t>
      </w:r>
    </w:p>
    <w:tbl>
      <w:tblPr>
        <w:tblStyle w:val="TableGrid"/>
        <w:tblW w:w="5000" w:type="pct"/>
        <w:jc w:val="center"/>
        <w:tblLook w:val="04A0" w:firstRow="1" w:lastRow="0" w:firstColumn="1" w:lastColumn="0" w:noHBand="0" w:noVBand="1"/>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820"/>
        <w:gridCol w:w="2725"/>
        <w:gridCol w:w="3471"/>
      </w:tblGrid>
      <w:tr w:rsidR="0084730D" w:rsidRPr="00335C63" w14:paraId="65ADD790" w14:textId="77777777" w:rsidTr="00997D20">
        <w:trPr>
          <w:cantSplit/>
          <w:tblHeader/>
          <w:jc w:val="center"/>
        </w:trPr>
        <w:tc>
          <w:tcPr>
            <w:tcW w:w="1564" w:type="pct"/>
            <w:shd w:val="clear" w:color="auto" w:fill="E8F1FA"/>
            <w:tcMar>
              <w:top w:w="90" w:type="dxa"/>
              <w:left w:w="90" w:type="dxa"/>
              <w:bottom w:w="90" w:type="dxa"/>
              <w:right w:w="90" w:type="dxa"/>
            </w:tcMar>
            <w:vAlign w:val="center"/>
            <w:shd w:fill="DCEAF7"/>
          </w:tcPr>
          <w:p w14:paraId="486098C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Data Element</w:t>
            </w:r>
          </w:p>
        </w:tc>
        <w:tc>
          <w:tcPr>
            <w:tcW w:w="1511" w:type="pct"/>
            <w:shd w:val="clear" w:color="auto" w:fill="E8F1FA"/>
            <w:tcMar>
              <w:top w:w="90" w:type="dxa"/>
              <w:left w:w="90" w:type="dxa"/>
              <w:bottom w:w="90" w:type="dxa"/>
              <w:right w:w="90" w:type="dxa"/>
            </w:tcMar>
            <w:vAlign w:val="center"/>
            <w:shd w:fill="DCEAF7"/>
          </w:tcPr>
          <w:p w14:paraId="3CD13FA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Cleaning / Standardisation Rule</w:t>
            </w:r>
          </w:p>
        </w:tc>
        <w:tc>
          <w:tcPr>
            <w:tcW w:w="1926" w:type="pct"/>
            <w:shd w:val="clear" w:color="auto" w:fill="E8F1FA"/>
            <w:tcMar>
              <w:top w:w="90" w:type="dxa"/>
              <w:left w:w="90" w:type="dxa"/>
              <w:bottom w:w="90" w:type="dxa"/>
              <w:right w:w="90" w:type="dxa"/>
            </w:tcMar>
            <w:vAlign w:val="center"/>
            <w:shd w:fill="DCEAF7"/>
          </w:tcPr>
          <w:p w14:paraId="428439E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Flag or Exclusion Rule</w:t>
            </w:r>
          </w:p>
        </w:tc>
      </w:tr>
      <w:tr w:rsidR="0084730D" w:rsidRPr="00335C63" w14:paraId="706C5C88" w14:textId="77777777" w:rsidTr="00997D20">
        <w:trPr>
          <w:cantSplit/>
          <w:jc w:val="center"/>
        </w:trPr>
        <w:tc>
          <w:tcPr>
            <w:tcW w:w="1564" w:type="pct"/>
            <w:tcMar>
              <w:top w:w="90" w:type="dxa"/>
              <w:left w:w="90" w:type="dxa"/>
              <w:bottom w:w="90" w:type="dxa"/>
              <w:right w:w="90" w:type="dxa"/>
            </w:tcMar>
            <w:vAlign w:val="center"/>
          </w:tcPr>
          <w:p w14:paraId="5933933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Dates</w:t>
            </w:r>
          </w:p>
        </w:tc>
        <w:tc>
          <w:tcPr>
            <w:tcW w:w="1511" w:type="pct"/>
            <w:tcMar>
              <w:top w:w="90" w:type="dxa"/>
              <w:left w:w="90" w:type="dxa"/>
              <w:bottom w:w="90" w:type="dxa"/>
              <w:right w:w="90" w:type="dxa"/>
            </w:tcMar>
            <w:vAlign w:val="center"/>
          </w:tcPr>
          <w:p w14:paraId="2AA29D8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Convert all service, payment, claim, refund, upsell, and calendar dates into a consistent date format</w:t>
            </w:r>
          </w:p>
        </w:tc>
        <w:tc>
          <w:tcPr>
            <w:tcW w:w="1926" w:type="pct"/>
            <w:tcMar>
              <w:top w:w="90" w:type="dxa"/>
              <w:left w:w="90" w:type="dxa"/>
              <w:bottom w:w="90" w:type="dxa"/>
              <w:right w:w="90" w:type="dxa"/>
            </w:tcMar>
            <w:vAlign w:val="center"/>
          </w:tcPr>
          <w:p w14:paraId="3B8174D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Invalid or impossible dates are flagged and excluded from time-based analysis until corrected</w:t>
            </w:r>
          </w:p>
        </w:tc>
      </w:tr>
      <w:tr w:rsidR="0084730D" w:rsidRPr="00335C63" w14:paraId="1D786432" w14:textId="77777777" w:rsidTr="00997D20">
        <w:trPr>
          <w:cantSplit/>
          <w:jc w:val="center"/>
        </w:trPr>
        <w:tc>
          <w:tcPr>
            <w:tcW w:w="1564" w:type="pct"/>
            <w:tcMar>
              <w:top w:w="90" w:type="dxa"/>
              <w:left w:w="90" w:type="dxa"/>
              <w:bottom w:w="90" w:type="dxa"/>
              <w:right w:w="90" w:type="dxa"/>
            </w:tcMar>
            <w:vAlign w:val="center"/>
          </w:tcPr>
          <w:p w14:paraId="0826B3F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Customer identifiers</w:t>
            </w:r>
          </w:p>
        </w:tc>
        <w:tc>
          <w:tcPr>
            <w:tcW w:w="1511" w:type="pct"/>
            <w:tcMar>
              <w:top w:w="90" w:type="dxa"/>
              <w:left w:w="90" w:type="dxa"/>
              <w:bottom w:w="90" w:type="dxa"/>
              <w:right w:w="90" w:type="dxa"/>
            </w:tcMar>
            <w:vAlign w:val="center"/>
          </w:tcPr>
          <w:p w14:paraId="4FD397A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Standardise customer_id and normalise phone numbers by removing spaces, symbols, and country-code inconsistencies</w:t>
            </w:r>
          </w:p>
        </w:tc>
        <w:tc>
          <w:tcPr>
            <w:tcW w:w="1926" w:type="pct"/>
            <w:tcMar>
              <w:top w:w="90" w:type="dxa"/>
              <w:left w:w="90" w:type="dxa"/>
              <w:bottom w:w="90" w:type="dxa"/>
              <w:right w:w="90" w:type="dxa"/>
            </w:tcMar>
            <w:vAlign w:val="center"/>
          </w:tcPr>
          <w:p w14:paraId="036D91A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Rows without any usable customer_id, phone, or name/date fallback are flagged as unmatched</w:t>
            </w:r>
          </w:p>
        </w:tc>
      </w:tr>
      <w:tr w:rsidR="0084730D" w:rsidRPr="00335C63" w14:paraId="7CB5EBA7" w14:textId="77777777" w:rsidTr="00997D20">
        <w:trPr>
          <w:cantSplit/>
          <w:jc w:val="center"/>
        </w:trPr>
        <w:tc>
          <w:tcPr>
            <w:tcW w:w="1564" w:type="pct"/>
            <w:tcMar>
              <w:top w:w="90" w:type="dxa"/>
              <w:left w:w="90" w:type="dxa"/>
              <w:bottom w:w="90" w:type="dxa"/>
              <w:right w:w="90" w:type="dxa"/>
            </w:tcMar>
            <w:vAlign w:val="center"/>
          </w:tcPr>
          <w:p w14:paraId="2EA8871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Pest type</w:t>
            </w:r>
          </w:p>
        </w:tc>
        <w:tc>
          <w:tcPr>
            <w:tcW w:w="1511" w:type="pct"/>
            <w:tcMar>
              <w:top w:w="90" w:type="dxa"/>
              <w:left w:w="90" w:type="dxa"/>
              <w:bottom w:w="90" w:type="dxa"/>
              <w:right w:w="90" w:type="dxa"/>
            </w:tcMar>
            <w:vAlign w:val="center"/>
          </w:tcPr>
          <w:p w14:paraId="125253C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 xml:space="preserve">Map variants such as lipas, </w:t>
            </w:r>
            <w:proofErr w:type="gramStart"/>
            <w:r w:rsidRPr="00335C63">
              <w:rPr>
                <w:rFonts w:ascii="Times New Roman" w:hAnsi="Times New Roman" w:cs="Times New Roman" w:eastAsia="Times New Roman"/>
                <w:sz w:val="21"/>
                <w:szCs w:val="24"/>
              </w:rPr>
              <w:t>cockroach</w:t>
            </w:r>
            <w:proofErr w:type="gramEnd"/>
            <w:r w:rsidRPr="00335C63">
              <w:rPr>
                <w:rFonts w:ascii="Times New Roman" w:hAnsi="Times New Roman" w:cs="Times New Roman" w:eastAsia="Times New Roman"/>
                <w:sz w:val="21"/>
                <w:szCs w:val="24"/>
              </w:rPr>
              <w:t>, cockroaches, anai-anai, and termite into standard pest labels</w:t>
            </w:r>
          </w:p>
        </w:tc>
        <w:tc>
          <w:tcPr>
            <w:tcW w:w="1926" w:type="pct"/>
            <w:tcMar>
              <w:top w:w="90" w:type="dxa"/>
              <w:left w:w="90" w:type="dxa"/>
              <w:bottom w:w="90" w:type="dxa"/>
              <w:right w:w="90" w:type="dxa"/>
            </w:tcMar>
            <w:vAlign w:val="center"/>
          </w:tcPr>
          <w:p w14:paraId="7B656A8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Unknown pest labels are retained but flagged for manual mapping</w:t>
            </w:r>
          </w:p>
        </w:tc>
      </w:tr>
      <w:tr w:rsidR="0084730D" w:rsidRPr="00335C63" w14:paraId="48BD4F7E" w14:textId="77777777" w:rsidTr="00997D20">
        <w:trPr>
          <w:cantSplit/>
          <w:jc w:val="center"/>
        </w:trPr>
        <w:tc>
          <w:tcPr>
            <w:tcW w:w="1564" w:type="pct"/>
            <w:tcMar>
              <w:top w:w="90" w:type="dxa"/>
              <w:left w:w="90" w:type="dxa"/>
              <w:bottom w:w="90" w:type="dxa"/>
              <w:right w:w="90" w:type="dxa"/>
            </w:tcMar>
            <w:vAlign w:val="center"/>
          </w:tcPr>
          <w:p w14:paraId="6A1E61A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Area/postcode</w:t>
            </w:r>
          </w:p>
        </w:tc>
        <w:tc>
          <w:tcPr>
            <w:tcW w:w="1511" w:type="pct"/>
            <w:tcMar>
              <w:top w:w="90" w:type="dxa"/>
              <w:left w:w="90" w:type="dxa"/>
              <w:bottom w:w="90" w:type="dxa"/>
              <w:right w:w="90" w:type="dxa"/>
            </w:tcMar>
            <w:vAlign w:val="center"/>
          </w:tcPr>
          <w:p w14:paraId="2A95F50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Standardise area names and map postcode/area to centroid coordinates</w:t>
            </w:r>
          </w:p>
        </w:tc>
        <w:tc>
          <w:tcPr>
            <w:tcW w:w="1926" w:type="pct"/>
            <w:tcMar>
              <w:top w:w="90" w:type="dxa"/>
              <w:left w:w="90" w:type="dxa"/>
              <w:bottom w:w="90" w:type="dxa"/>
              <w:right w:w="90" w:type="dxa"/>
            </w:tcMar>
            <w:vAlign w:val="center"/>
          </w:tcPr>
          <w:p w14:paraId="55E4E1F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Unknown areas are included in non-map summaries but excluded from coordinate-based hotspot analysis</w:t>
            </w:r>
          </w:p>
        </w:tc>
      </w:tr>
      <w:tr w:rsidR="0084730D" w:rsidRPr="00335C63" w14:paraId="26054650" w14:textId="77777777" w:rsidTr="00997D20">
        <w:trPr>
          <w:cantSplit/>
          <w:jc w:val="center"/>
        </w:trPr>
        <w:tc>
          <w:tcPr>
            <w:tcW w:w="1564" w:type="pct"/>
            <w:tcMar>
              <w:top w:w="90" w:type="dxa"/>
              <w:left w:w="90" w:type="dxa"/>
              <w:bottom w:w="90" w:type="dxa"/>
              <w:right w:w="90" w:type="dxa"/>
            </w:tcMar>
            <w:vAlign w:val="center"/>
          </w:tcPr>
          <w:p w14:paraId="219F664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lastRenderedPageBreak/>
              <w:t>Technician/team</w:t>
            </w:r>
          </w:p>
        </w:tc>
        <w:tc>
          <w:tcPr>
            <w:tcW w:w="1511" w:type="pct"/>
            <w:tcMar>
              <w:top w:w="90" w:type="dxa"/>
              <w:left w:w="90" w:type="dxa"/>
              <w:bottom w:w="90" w:type="dxa"/>
              <w:right w:w="90" w:type="dxa"/>
            </w:tcMar>
            <w:vAlign w:val="center"/>
          </w:tcPr>
          <w:p w14:paraId="7B243D0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Standardise spelling and team labels across service, warranty, and calendar records</w:t>
            </w:r>
          </w:p>
        </w:tc>
        <w:tc>
          <w:tcPr>
            <w:tcW w:w="1926" w:type="pct"/>
            <w:tcMar>
              <w:top w:w="90" w:type="dxa"/>
              <w:left w:w="90" w:type="dxa"/>
              <w:bottom w:w="90" w:type="dxa"/>
              <w:right w:w="90" w:type="dxa"/>
            </w:tcMar>
            <w:vAlign w:val="center"/>
          </w:tcPr>
          <w:p w14:paraId="3847654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Missing technician is allowed for company-level analysis but flagged for technician review dashboards</w:t>
            </w:r>
          </w:p>
        </w:tc>
      </w:tr>
      <w:tr w:rsidR="0084730D" w:rsidRPr="00335C63" w14:paraId="441C678F" w14:textId="77777777" w:rsidTr="00997D20">
        <w:trPr>
          <w:cantSplit/>
          <w:jc w:val="center"/>
        </w:trPr>
        <w:tc>
          <w:tcPr>
            <w:tcW w:w="1564" w:type="pct"/>
            <w:tcMar>
              <w:top w:w="90" w:type="dxa"/>
              <w:left w:w="90" w:type="dxa"/>
              <w:bottom w:w="90" w:type="dxa"/>
              <w:right w:w="90" w:type="dxa"/>
            </w:tcMar>
            <w:vAlign w:val="center"/>
          </w:tcPr>
          <w:p w14:paraId="336725A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Package/service type</w:t>
            </w:r>
          </w:p>
        </w:tc>
        <w:tc>
          <w:tcPr>
            <w:tcW w:w="1511" w:type="pct"/>
            <w:tcMar>
              <w:top w:w="90" w:type="dxa"/>
              <w:left w:w="90" w:type="dxa"/>
              <w:bottom w:w="90" w:type="dxa"/>
              <w:right w:w="90" w:type="dxa"/>
            </w:tcMar>
            <w:vAlign w:val="center"/>
          </w:tcPr>
          <w:p w14:paraId="171C798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Standardise 1x, 2x, 3x, yearly, TRBS, GPC, termite, and related package labels</w:t>
            </w:r>
          </w:p>
        </w:tc>
        <w:tc>
          <w:tcPr>
            <w:tcW w:w="1926" w:type="pct"/>
            <w:tcMar>
              <w:top w:w="90" w:type="dxa"/>
              <w:left w:w="90" w:type="dxa"/>
              <w:bottom w:w="90" w:type="dxa"/>
              <w:right w:w="90" w:type="dxa"/>
            </w:tcMar>
            <w:vAlign w:val="center"/>
          </w:tcPr>
          <w:p w14:paraId="3A6EB4D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Unrecognised package labels are flagged and grouped as Other until reviewed</w:t>
            </w:r>
          </w:p>
        </w:tc>
      </w:tr>
      <w:tr w:rsidR="0084730D" w:rsidRPr="00335C63" w14:paraId="1DA3706C" w14:textId="77777777" w:rsidTr="00997D20">
        <w:trPr>
          <w:cantSplit/>
          <w:jc w:val="center"/>
        </w:trPr>
        <w:tc>
          <w:tcPr>
            <w:tcW w:w="1564" w:type="pct"/>
            <w:tcMar>
              <w:top w:w="90" w:type="dxa"/>
              <w:left w:w="90" w:type="dxa"/>
              <w:bottom w:w="90" w:type="dxa"/>
              <w:right w:w="90" w:type="dxa"/>
            </w:tcMar>
            <w:vAlign w:val="center"/>
          </w:tcPr>
          <w:p w14:paraId="10BDAF6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Refund reason</w:t>
            </w:r>
          </w:p>
        </w:tc>
        <w:tc>
          <w:tcPr>
            <w:tcW w:w="1511" w:type="pct"/>
            <w:tcMar>
              <w:top w:w="90" w:type="dxa"/>
              <w:left w:w="90" w:type="dxa"/>
              <w:bottom w:w="90" w:type="dxa"/>
              <w:right w:w="90" w:type="dxa"/>
            </w:tcMar>
            <w:vAlign w:val="center"/>
          </w:tcPr>
          <w:p w14:paraId="57FF66E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 xml:space="preserve">Group free-text reasons into categories such as Cannot eradicate, </w:t>
            </w:r>
            <w:proofErr w:type="gramStart"/>
            <w:r w:rsidRPr="00335C63">
              <w:rPr>
                <w:rFonts w:ascii="Times New Roman" w:hAnsi="Times New Roman" w:cs="Times New Roman" w:eastAsia="Times New Roman"/>
                <w:sz w:val="21"/>
                <w:szCs w:val="24"/>
              </w:rPr>
              <w:t>Not</w:t>
            </w:r>
            <w:proofErr w:type="gramEnd"/>
            <w:r w:rsidRPr="00335C63">
              <w:rPr>
                <w:rFonts w:ascii="Times New Roman" w:hAnsi="Times New Roman" w:cs="Times New Roman" w:eastAsia="Times New Roman"/>
                <w:sz w:val="21"/>
                <w:szCs w:val="24"/>
              </w:rPr>
              <w:t xml:space="preserve"> satisfied, Billing issue, Late service, and Manual review</w:t>
            </w:r>
          </w:p>
        </w:tc>
        <w:tc>
          <w:tcPr>
            <w:tcW w:w="1926" w:type="pct"/>
            <w:tcMar>
              <w:top w:w="90" w:type="dxa"/>
              <w:left w:w="90" w:type="dxa"/>
              <w:bottom w:w="90" w:type="dxa"/>
              <w:right w:w="90" w:type="dxa"/>
            </w:tcMar>
            <w:vAlign w:val="center"/>
          </w:tcPr>
          <w:p w14:paraId="7C1A726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Ambiguous reasons are shown in root-cause analysis as Needs manual review</w:t>
            </w:r>
          </w:p>
        </w:tc>
      </w:tr>
      <w:tr w:rsidR="0084730D" w:rsidRPr="00335C63" w14:paraId="543718A3" w14:textId="77777777" w:rsidTr="00997D20">
        <w:trPr>
          <w:cantSplit/>
          <w:jc w:val="center"/>
        </w:trPr>
        <w:tc>
          <w:tcPr>
            <w:tcW w:w="1564" w:type="pct"/>
            <w:tcMar>
              <w:top w:w="90" w:type="dxa"/>
              <w:left w:w="90" w:type="dxa"/>
              <w:bottom w:w="90" w:type="dxa"/>
              <w:right w:w="90" w:type="dxa"/>
            </w:tcMar>
            <w:vAlign w:val="center"/>
          </w:tcPr>
          <w:p w14:paraId="221CB01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Calendar event</w:t>
            </w:r>
          </w:p>
        </w:tc>
        <w:tc>
          <w:tcPr>
            <w:tcW w:w="1511" w:type="pct"/>
            <w:tcMar>
              <w:top w:w="90" w:type="dxa"/>
              <w:left w:w="90" w:type="dxa"/>
              <w:bottom w:w="90" w:type="dxa"/>
              <w:right w:w="90" w:type="dxa"/>
            </w:tcMar>
            <w:vAlign w:val="center"/>
          </w:tcPr>
          <w:p w14:paraId="419BEF18" w14:textId="77777777" w:rsidR="0084730D" w:rsidRPr="00335C63" w:rsidRDefault="00357319" w:rsidP="000F4170">
            <w:pPr>
              <w:spacing w:after="60" w:line="276" w:lineRule="auto"/>
              <w:jc w:val="left"/>
              <w:rPr>
                <w:rFonts w:ascii="Times New Roman" w:hAnsi="Times New Roman" w:cs="Times New Roman"/>
                <w:sz w:val="24"/>
                <w:szCs w:val="24"/>
              </w:rPr>
            </w:pPr>
            <w:proofErr w:type="gramStart"/>
            <w:r w:rsidRPr="00335C63">
              <w:rPr>
                <w:rFonts w:ascii="Times New Roman" w:hAnsi="Times New Roman" w:cs="Times New Roman" w:eastAsia="Times New Roman"/>
                <w:sz w:val="21"/>
                <w:szCs w:val="24"/>
              </w:rPr>
              <w:t>Parse</w:t>
            </w:r>
            <w:proofErr w:type="gramEnd"/>
            <w:r w:rsidRPr="00335C63">
              <w:rPr>
                <w:rFonts w:ascii="Times New Roman" w:hAnsi="Times New Roman" w:cs="Times New Roman" w:eastAsia="Times New Roman"/>
                <w:sz w:val="21"/>
                <w:szCs w:val="24"/>
              </w:rPr>
              <w:t xml:space="preserve"> event title/description into New/Paid, Warranty, Extra, Follow-up, or Unknown</w:t>
            </w:r>
          </w:p>
        </w:tc>
        <w:tc>
          <w:tcPr>
            <w:tcW w:w="1926" w:type="pct"/>
            <w:tcMar>
              <w:top w:w="90" w:type="dxa"/>
              <w:left w:w="90" w:type="dxa"/>
              <w:bottom w:w="90" w:type="dxa"/>
              <w:right w:w="90" w:type="dxa"/>
            </w:tcMar>
            <w:vAlign w:val="center"/>
          </w:tcPr>
          <w:p w14:paraId="163040E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Unmatched or unknown events are kept in scheduling totals but excluded from service-quality attribution</w:t>
            </w:r>
          </w:p>
        </w:tc>
      </w:tr>
      <w:tr w:rsidR="0084730D" w:rsidRPr="00335C63" w14:paraId="688F2A31" w14:textId="77777777" w:rsidTr="00997D20">
        <w:trPr>
          <w:cantSplit/>
          <w:jc w:val="center"/>
        </w:trPr>
        <w:tc>
          <w:tcPr>
            <w:tcW w:w="1564" w:type="pct"/>
            <w:tcMar>
              <w:top w:w="90" w:type="dxa"/>
              <w:left w:w="90" w:type="dxa"/>
              <w:bottom w:w="90" w:type="dxa"/>
              <w:right w:w="90" w:type="dxa"/>
            </w:tcMar>
            <w:vAlign w:val="center"/>
          </w:tcPr>
          <w:p w14:paraId="60B917E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 match</w:t>
            </w:r>
          </w:p>
        </w:tc>
        <w:tc>
          <w:tcPr>
            <w:tcW w:w="1511" w:type="pct"/>
            <w:tcMar>
              <w:top w:w="90" w:type="dxa"/>
              <w:left w:w="90" w:type="dxa"/>
              <w:bottom w:w="90" w:type="dxa"/>
              <w:right w:w="90" w:type="dxa"/>
            </w:tcMar>
            <w:vAlign w:val="center"/>
          </w:tcPr>
          <w:p w14:paraId="37D7E2D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Attach service-date rainfall, humidity, and temperature using area/postcode centroid</w:t>
            </w:r>
          </w:p>
        </w:tc>
        <w:tc>
          <w:tcPr>
            <w:tcW w:w="1926" w:type="pct"/>
            <w:tcMar>
              <w:top w:w="90" w:type="dxa"/>
              <w:left w:w="90" w:type="dxa"/>
              <w:bottom w:w="90" w:type="dxa"/>
              <w:right w:w="90" w:type="dxa"/>
            </w:tcMar>
            <w:vAlign w:val="center"/>
          </w:tcPr>
          <w:p w14:paraId="7025789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Rows without weather match are kept with weather_data_status = Missing and excluded from weather-specific charts</w:t>
            </w:r>
          </w:p>
        </w:tc>
      </w:tr>
      <w:tr w:rsidR="00BB18A2" w14:paraId="7D26AE05" w14:textId="77777777">
        <w:trPr>
          <w:jc w:val="center"/>
        </w:trPr>
        <w:tc>
          <w:tcPr>
            <w:tcW w:w="2820" w:type="dxa"/>
            <w:vAlign w:val="center"/>
          </w:tcPr>
          <w:p w14:paraId="575279A2" w14:textId="77777777" w:rsidR="00BB18A2" w:rsidRDefault="00000000">
            <w:pPr>
              <w:spacing w:line="276" w:lineRule="auto" w:after="60"/>
              <w:jc w:val="left"/>
            </w:pPr>
            <w:r>
              <w:rPr>
                <w:rFonts w:ascii="Times New Roman" w:hAnsi="Times New Roman" w:eastAsia="Times New Roman" w:cs="Times New Roman"/>
                <w:sz w:val="21"/>
              </w:rPr>
              <w:t>Source columns</w:t>
            </w:r>
          </w:p>
        </w:tc>
        <w:tc>
          <w:tcPr>
            <w:tcW w:w="2725" w:type="dxa"/>
            <w:vAlign w:val="center"/>
          </w:tcPr>
          <w:p w14:paraId="121121E8" w14:textId="77777777" w:rsidR="00BB18A2" w:rsidRDefault="00000000">
            <w:pPr>
              <w:spacing w:line="276" w:lineRule="auto" w:after="60"/>
              <w:jc w:val="left"/>
            </w:pPr>
            <w:r>
              <w:rPr>
                <w:rFonts w:ascii="Times New Roman" w:hAnsi="Times New Roman" w:eastAsia="Times New Roman" w:cs="Times New Roman"/>
                <w:sz w:val="21"/>
              </w:rPr>
              <w:t>Map messy source column names to standard fields using flexible data contracts and alias dictionaries</w:t>
            </w:r>
          </w:p>
        </w:tc>
        <w:tc>
          <w:tcPr>
            <w:tcW w:w="3471" w:type="dxa"/>
            <w:vAlign w:val="center"/>
          </w:tcPr>
          <w:p w14:paraId="364E83E5" w14:textId="77777777" w:rsidR="00BB18A2" w:rsidRDefault="00000000">
            <w:pPr>
              <w:spacing w:line="276" w:lineRule="auto" w:after="60"/>
              <w:jc w:val="left"/>
            </w:pPr>
            <w:r>
              <w:rPr>
                <w:rFonts w:ascii="Times New Roman" w:hAnsi="Times New Roman" w:eastAsia="Times New Roman" w:cs="Times New Roman"/>
                <w:sz w:val="21"/>
              </w:rPr>
              <w:t>Missing critical fields are flagged as failed_data_contract; important/optional fields are warned but do not always block loading</w:t>
            </w:r>
          </w:p>
        </w:tc>
      </w:tr>
    </w:tbl>
    <w:p w14:paraId="4FEF011C" w14:textId="77777777" w:rsidR="0084730D" w:rsidRPr="00335C63" w:rsidRDefault="0084730D" w:rsidP="000F4170">
      <w:pPr>
        <w:spacing w:line="360" w:lineRule="auto" w:after="120"/>
        <w:jc w:val="left"/>
        <w:rPr>
          <w:rFonts w:ascii="Times New Roman" w:hAnsi="Times New Roman" w:cs="Times New Roman"/>
          <w:sz w:val="24"/>
          <w:szCs w:val="24"/>
        </w:rPr>
      </w:pPr>
    </w:p>
    <w:p w14:paraId="1F0A5C6D"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lastRenderedPageBreak/>
        <w:t>The project will use a conservative exclusion policy. Records are not silently deleted. They are first preserved in Bronze raw tables, then marked with validation flags such as invalid_date, duplicate_candidate, unmatched_customer, unknown_area, missing_weather, missing_required_field, failed_data_contract, or low_calendar_match_confidence. A record may be excluded from one analysis but still used in another if the required fields for that analysis are available.</w:t>
      </w:r>
    </w:p>
    <w:tbl>
      <w:tblPr>
        <w:tblStyle w:val="TableGrid"/>
        <w:tblW w:w="5000" w:type="pct"/>
        <w:jc w:val="center"/>
        <w:tblLook w:val="04A0" w:firstRow="1" w:lastRow="0" w:firstColumn="1" w:lastColumn="0" w:noHBand="0" w:noVBand="1"/>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973"/>
        <w:gridCol w:w="6043"/>
      </w:tblGrid>
      <w:tr w:rsidR="0084730D" w:rsidRPr="00335C63" w14:paraId="1ACFFEAC" w14:textId="77777777" w:rsidTr="00997D20">
        <w:trPr>
          <w:cantSplit/>
          <w:tblHeader/>
          <w:jc w:val="center"/>
        </w:trPr>
        <w:tc>
          <w:tcPr>
            <w:tcW w:w="1649" w:type="pct"/>
            <w:shd w:val="clear" w:color="auto" w:fill="E8F1FA"/>
            <w:tcMar>
              <w:top w:w="90" w:type="dxa"/>
              <w:left w:w="90" w:type="dxa"/>
              <w:bottom w:w="90" w:type="dxa"/>
              <w:right w:w="90" w:type="dxa"/>
            </w:tcMar>
            <w:vAlign w:val="center"/>
            <w:shd w:fill="DCEAF7"/>
          </w:tcPr>
          <w:p w14:paraId="6B887F7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Data Quality Metric</w:t>
            </w:r>
          </w:p>
        </w:tc>
        <w:tc>
          <w:tcPr>
            <w:tcW w:w="3351" w:type="pct"/>
            <w:shd w:val="clear" w:color="auto" w:fill="E8F1FA"/>
            <w:tcMar>
              <w:top w:w="90" w:type="dxa"/>
              <w:left w:w="90" w:type="dxa"/>
              <w:bottom w:w="90" w:type="dxa"/>
              <w:right w:w="90" w:type="dxa"/>
            </w:tcMar>
            <w:vAlign w:val="center"/>
            <w:shd w:fill="DCEAF7"/>
          </w:tcPr>
          <w:p w14:paraId="6E8FB99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Purpose</w:t>
            </w:r>
          </w:p>
        </w:tc>
      </w:tr>
      <w:tr w:rsidR="0084730D" w:rsidRPr="00335C63" w14:paraId="47AD59AF" w14:textId="77777777" w:rsidTr="00997D20">
        <w:trPr>
          <w:cantSplit/>
          <w:jc w:val="center"/>
        </w:trPr>
        <w:tc>
          <w:tcPr>
            <w:tcW w:w="1649" w:type="pct"/>
            <w:tcMar>
              <w:top w:w="90" w:type="dxa"/>
              <w:left w:w="90" w:type="dxa"/>
              <w:bottom w:w="90" w:type="dxa"/>
              <w:right w:w="90" w:type="dxa"/>
            </w:tcMar>
            <w:vAlign w:val="center"/>
          </w:tcPr>
          <w:p w14:paraId="3869C91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Missing-value summary</w:t>
            </w:r>
          </w:p>
        </w:tc>
        <w:tc>
          <w:tcPr>
            <w:tcW w:w="3351" w:type="pct"/>
            <w:tcMar>
              <w:top w:w="90" w:type="dxa"/>
              <w:left w:w="90" w:type="dxa"/>
              <w:bottom w:w="90" w:type="dxa"/>
              <w:right w:w="90" w:type="dxa"/>
            </w:tcMar>
            <w:vAlign w:val="center"/>
          </w:tcPr>
          <w:p w14:paraId="4D54C24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Shows which fields are incomplete by source and by column</w:t>
            </w:r>
          </w:p>
        </w:tc>
      </w:tr>
      <w:tr w:rsidR="0084730D" w:rsidRPr="00335C63" w14:paraId="302B3655" w14:textId="77777777" w:rsidTr="00997D20">
        <w:trPr>
          <w:cantSplit/>
          <w:jc w:val="center"/>
        </w:trPr>
        <w:tc>
          <w:tcPr>
            <w:tcW w:w="1649" w:type="pct"/>
            <w:tcMar>
              <w:top w:w="90" w:type="dxa"/>
              <w:left w:w="90" w:type="dxa"/>
              <w:bottom w:w="90" w:type="dxa"/>
              <w:right w:w="90" w:type="dxa"/>
            </w:tcMar>
            <w:vAlign w:val="center"/>
          </w:tcPr>
          <w:p w14:paraId="6056642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Duplicate-record count</w:t>
            </w:r>
          </w:p>
        </w:tc>
        <w:tc>
          <w:tcPr>
            <w:tcW w:w="3351" w:type="pct"/>
            <w:tcMar>
              <w:top w:w="90" w:type="dxa"/>
              <w:left w:w="90" w:type="dxa"/>
              <w:bottom w:w="90" w:type="dxa"/>
              <w:right w:w="90" w:type="dxa"/>
            </w:tcMar>
            <w:vAlign w:val="center"/>
          </w:tcPr>
          <w:p w14:paraId="6D4CA38C" w14:textId="77777777" w:rsidR="0084730D" w:rsidRPr="00335C63" w:rsidRDefault="00357319" w:rsidP="000F4170">
            <w:pPr>
              <w:spacing w:after="60" w:line="276" w:lineRule="auto"/>
              <w:jc w:val="left"/>
              <w:rPr>
                <w:rFonts w:ascii="Times New Roman" w:hAnsi="Times New Roman" w:cs="Times New Roman"/>
                <w:sz w:val="24"/>
                <w:szCs w:val="24"/>
              </w:rPr>
            </w:pPr>
            <w:proofErr w:type="gramStart"/>
            <w:r w:rsidRPr="00335C63">
              <w:rPr>
                <w:rFonts w:ascii="Times New Roman" w:hAnsi="Times New Roman" w:cs="Times New Roman" w:eastAsia="Times New Roman"/>
                <w:sz w:val="21"/>
                <w:szCs w:val="24"/>
              </w:rPr>
              <w:t>Identifies</w:t>
            </w:r>
            <w:proofErr w:type="gramEnd"/>
            <w:r w:rsidRPr="00335C63">
              <w:rPr>
                <w:rFonts w:ascii="Times New Roman" w:hAnsi="Times New Roman" w:cs="Times New Roman" w:eastAsia="Times New Roman"/>
                <w:sz w:val="21"/>
                <w:szCs w:val="24"/>
              </w:rPr>
              <w:t xml:space="preserve"> repeated customers, services, payments, claims, or calendar rows</w:t>
            </w:r>
          </w:p>
        </w:tc>
      </w:tr>
      <w:tr w:rsidR="0084730D" w:rsidRPr="00335C63" w14:paraId="454F9178" w14:textId="77777777" w:rsidTr="00997D20">
        <w:trPr>
          <w:cantSplit/>
          <w:jc w:val="center"/>
        </w:trPr>
        <w:tc>
          <w:tcPr>
            <w:tcW w:w="1649" w:type="pct"/>
            <w:tcMar>
              <w:top w:w="90" w:type="dxa"/>
              <w:left w:w="90" w:type="dxa"/>
              <w:bottom w:w="90" w:type="dxa"/>
              <w:right w:w="90" w:type="dxa"/>
            </w:tcMar>
            <w:vAlign w:val="center"/>
          </w:tcPr>
          <w:p w14:paraId="04D03A1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Invalid-date count</w:t>
            </w:r>
          </w:p>
        </w:tc>
        <w:tc>
          <w:tcPr>
            <w:tcW w:w="3351" w:type="pct"/>
            <w:tcMar>
              <w:top w:w="90" w:type="dxa"/>
              <w:left w:w="90" w:type="dxa"/>
              <w:bottom w:w="90" w:type="dxa"/>
              <w:right w:w="90" w:type="dxa"/>
            </w:tcMar>
            <w:vAlign w:val="center"/>
          </w:tcPr>
          <w:p w14:paraId="43523F3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Prevents broken time trends and recurrence calculations</w:t>
            </w:r>
          </w:p>
        </w:tc>
      </w:tr>
      <w:tr w:rsidR="0084730D" w:rsidRPr="00335C63" w14:paraId="22A6B49D" w14:textId="77777777" w:rsidTr="00997D20">
        <w:trPr>
          <w:cantSplit/>
          <w:jc w:val="center"/>
        </w:trPr>
        <w:tc>
          <w:tcPr>
            <w:tcW w:w="1649" w:type="pct"/>
            <w:tcMar>
              <w:top w:w="90" w:type="dxa"/>
              <w:left w:w="90" w:type="dxa"/>
              <w:bottom w:w="90" w:type="dxa"/>
              <w:right w:w="90" w:type="dxa"/>
            </w:tcMar>
            <w:vAlign w:val="center"/>
          </w:tcPr>
          <w:p w14:paraId="188C91C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Unmatched-customer count</w:t>
            </w:r>
          </w:p>
        </w:tc>
        <w:tc>
          <w:tcPr>
            <w:tcW w:w="3351" w:type="pct"/>
            <w:tcMar>
              <w:top w:w="90" w:type="dxa"/>
              <w:left w:w="90" w:type="dxa"/>
              <w:bottom w:w="90" w:type="dxa"/>
              <w:right w:w="90" w:type="dxa"/>
            </w:tcMar>
            <w:vAlign w:val="center"/>
          </w:tcPr>
          <w:p w14:paraId="63C1F37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Shows records that cannot be joined confidently across sheets</w:t>
            </w:r>
          </w:p>
        </w:tc>
      </w:tr>
      <w:tr w:rsidR="0084730D" w:rsidRPr="00335C63" w14:paraId="178FCD97" w14:textId="77777777" w:rsidTr="00997D20">
        <w:trPr>
          <w:cantSplit/>
          <w:jc w:val="center"/>
        </w:trPr>
        <w:tc>
          <w:tcPr>
            <w:tcW w:w="1649" w:type="pct"/>
            <w:tcMar>
              <w:top w:w="90" w:type="dxa"/>
              <w:left w:w="90" w:type="dxa"/>
              <w:bottom w:w="90" w:type="dxa"/>
              <w:right w:w="90" w:type="dxa"/>
            </w:tcMar>
            <w:vAlign w:val="center"/>
          </w:tcPr>
          <w:p w14:paraId="706BB95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Area/postcode match confidence</w:t>
            </w:r>
          </w:p>
        </w:tc>
        <w:tc>
          <w:tcPr>
            <w:tcW w:w="3351" w:type="pct"/>
            <w:tcMar>
              <w:top w:w="90" w:type="dxa"/>
              <w:left w:w="90" w:type="dxa"/>
              <w:bottom w:w="90" w:type="dxa"/>
              <w:right w:w="90" w:type="dxa"/>
            </w:tcMar>
            <w:vAlign w:val="center"/>
          </w:tcPr>
          <w:p w14:paraId="6FB1EAF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Indicates whether spatial analysis is based on strong or approximate location matching</w:t>
            </w:r>
          </w:p>
        </w:tc>
      </w:tr>
      <w:tr w:rsidR="0084730D" w:rsidRPr="00335C63" w14:paraId="26B7E2AF" w14:textId="77777777" w:rsidTr="00997D20">
        <w:trPr>
          <w:cantSplit/>
          <w:jc w:val="center"/>
        </w:trPr>
        <w:tc>
          <w:tcPr>
            <w:tcW w:w="1649" w:type="pct"/>
            <w:tcMar>
              <w:top w:w="90" w:type="dxa"/>
              <w:left w:w="90" w:type="dxa"/>
              <w:bottom w:w="90" w:type="dxa"/>
              <w:right w:w="90" w:type="dxa"/>
            </w:tcMar>
            <w:vAlign w:val="center"/>
          </w:tcPr>
          <w:p w14:paraId="02CED4D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Weather-enrichment coverage</w:t>
            </w:r>
          </w:p>
        </w:tc>
        <w:tc>
          <w:tcPr>
            <w:tcW w:w="3351" w:type="pct"/>
            <w:tcMar>
              <w:top w:w="90" w:type="dxa"/>
              <w:left w:w="90" w:type="dxa"/>
              <w:bottom w:w="90" w:type="dxa"/>
              <w:right w:w="90" w:type="dxa"/>
            </w:tcMar>
            <w:vAlign w:val="center"/>
          </w:tcPr>
          <w:p w14:paraId="53C77A9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Shows the percentage of service records with matched rainfall/humidity/temperature</w:t>
            </w:r>
          </w:p>
        </w:tc>
      </w:tr>
      <w:tr w:rsidR="0084730D" w:rsidRPr="00335C63" w14:paraId="00C397EE" w14:textId="77777777" w:rsidTr="00997D20">
        <w:trPr>
          <w:cantSplit/>
          <w:jc w:val="center"/>
        </w:trPr>
        <w:tc>
          <w:tcPr>
            <w:tcW w:w="1649" w:type="pct"/>
            <w:tcMar>
              <w:top w:w="90" w:type="dxa"/>
              <w:left w:w="90" w:type="dxa"/>
              <w:bottom w:w="90" w:type="dxa"/>
              <w:right w:w="90" w:type="dxa"/>
            </w:tcMar>
            <w:vAlign w:val="center"/>
          </w:tcPr>
          <w:p w14:paraId="7780118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Calendar matching confidence</w:t>
            </w:r>
          </w:p>
        </w:tc>
        <w:tc>
          <w:tcPr>
            <w:tcW w:w="3351" w:type="pct"/>
            <w:tcMar>
              <w:top w:w="90" w:type="dxa"/>
              <w:left w:w="90" w:type="dxa"/>
              <w:bottom w:w="90" w:type="dxa"/>
              <w:right w:w="90" w:type="dxa"/>
            </w:tcMar>
            <w:vAlign w:val="center"/>
          </w:tcPr>
          <w:p w14:paraId="072DBD4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Shows how reliable the service-to-calendar linkage is</w:t>
            </w:r>
          </w:p>
        </w:tc>
      </w:tr>
      <w:tr w:rsidR="00BB18A2" w14:paraId="3A6B4AD0" w14:textId="77777777">
        <w:trPr>
          <w:jc w:val="center"/>
        </w:trPr>
        <w:tc>
          <w:tcPr>
            <w:tcW w:w="2973" w:type="dxa"/>
            <w:vAlign w:val="center"/>
          </w:tcPr>
          <w:p w14:paraId="6AA822FB" w14:textId="77777777" w:rsidR="00BB18A2" w:rsidRDefault="00000000">
            <w:pPr>
              <w:spacing w:line="276" w:lineRule="auto" w:after="60"/>
              <w:jc w:val="left"/>
            </w:pPr>
            <w:r>
              <w:rPr>
                <w:rFonts w:ascii="Times New Roman" w:hAnsi="Times New Roman" w:eastAsia="Times New Roman" w:cs="Times New Roman"/>
                <w:sz w:val="21"/>
              </w:rPr>
              <w:t>Flexible data contract status</w:t>
            </w:r>
          </w:p>
        </w:tc>
        <w:tc>
          <w:tcPr>
            <w:tcW w:w="6043" w:type="dxa"/>
            <w:vAlign w:val="center"/>
          </w:tcPr>
          <w:p w14:paraId="4F52E6C1" w14:textId="77777777" w:rsidR="00BB18A2" w:rsidRDefault="00000000">
            <w:pPr>
              <w:spacing w:line="276" w:lineRule="auto" w:after="60"/>
              <w:jc w:val="left"/>
            </w:pPr>
            <w:r>
              <w:rPr>
                <w:rFonts w:ascii="Times New Roman" w:hAnsi="Times New Roman" w:eastAsia="Times New Roman" w:cs="Times New Roman"/>
                <w:sz w:val="21"/>
              </w:rPr>
              <w:t>Shows whether required business fields were mapped successfully for each source</w:t>
            </w:r>
          </w:p>
        </w:tc>
      </w:tr>
      <w:tr w:rsidR="00BB18A2" w14:paraId="639A46A0" w14:textId="77777777">
        <w:trPr>
          <w:jc w:val="center"/>
        </w:trPr>
        <w:tc>
          <w:tcPr>
            <w:tcW w:w="2973" w:type="dxa"/>
            <w:vAlign w:val="center"/>
          </w:tcPr>
          <w:p w14:paraId="4121D917" w14:textId="77777777" w:rsidR="00BB18A2" w:rsidRDefault="00000000">
            <w:pPr>
              <w:spacing w:line="276" w:lineRule="auto" w:after="60"/>
              <w:jc w:val="left"/>
            </w:pPr>
            <w:r>
              <w:rPr>
                <w:rFonts w:ascii="Times New Roman" w:hAnsi="Times New Roman" w:eastAsia="Times New Roman" w:cs="Times New Roman"/>
                <w:sz w:val="21"/>
              </w:rPr>
              <w:t>dbt test result summary</w:t>
            </w:r>
          </w:p>
        </w:tc>
        <w:tc>
          <w:tcPr>
            <w:tcW w:w="6043" w:type="dxa"/>
            <w:vAlign w:val="center"/>
          </w:tcPr>
          <w:p w14:paraId="4A9224CA" w14:textId="77777777" w:rsidR="00BB18A2" w:rsidRDefault="00000000">
            <w:pPr>
              <w:spacing w:line="276" w:lineRule="auto" w:after="60"/>
              <w:jc w:val="left"/>
            </w:pPr>
            <w:r>
              <w:rPr>
                <w:rFonts w:ascii="Times New Roman" w:hAnsi="Times New Roman" w:eastAsia="Times New Roman" w:cs="Times New Roman"/>
                <w:sz w:val="21"/>
              </w:rPr>
              <w:t>Shows failed not-null, unique, accepted-value, or relationship tests</w:t>
            </w:r>
          </w:p>
        </w:tc>
      </w:tr>
      <w:tr w:rsidR="00BB18A2" w14:paraId="7A64E83A" w14:textId="77777777">
        <w:trPr>
          <w:jc w:val="center"/>
        </w:trPr>
        <w:tc>
          <w:tcPr>
            <w:tcW w:w="2973" w:type="dxa"/>
            <w:vAlign w:val="center"/>
          </w:tcPr>
          <w:p w14:paraId="309461E2" w14:textId="77777777" w:rsidR="00BB18A2" w:rsidRDefault="00000000">
            <w:pPr>
              <w:spacing w:line="276" w:lineRule="auto" w:after="60"/>
              <w:jc w:val="left"/>
            </w:pPr>
            <w:r>
              <w:rPr>
                <w:rFonts w:ascii="Times New Roman" w:hAnsi="Times New Roman" w:eastAsia="Times New Roman" w:cs="Times New Roman"/>
                <w:sz w:val="21"/>
              </w:rPr>
              <w:t>Pipeline run status</w:t>
            </w:r>
          </w:p>
        </w:tc>
        <w:tc>
          <w:tcPr>
            <w:tcW w:w="6043" w:type="dxa"/>
            <w:vAlign w:val="center"/>
          </w:tcPr>
          <w:p w14:paraId="477BFB4F" w14:textId="77777777" w:rsidR="00BB18A2" w:rsidRDefault="00000000">
            <w:pPr>
              <w:spacing w:line="276" w:lineRule="auto" w:after="60"/>
              <w:jc w:val="left"/>
            </w:pPr>
            <w:r>
              <w:rPr>
                <w:rFonts w:ascii="Times New Roman" w:hAnsi="Times New Roman" w:eastAsia="Times New Roman" w:cs="Times New Roman"/>
                <w:sz w:val="21"/>
              </w:rPr>
              <w:t>Shows Airflow run time, success/failure state, rows loaded, rows failed, and latest refresh time</w:t>
            </w:r>
          </w:p>
        </w:tc>
      </w:tr>
      <w:tr w:rsidR="00BB18A2" w14:paraId="3E21808F" w14:textId="77777777">
        <w:trPr>
          <w:jc w:val="center"/>
        </w:trPr>
        <w:tc>
          <w:tcPr>
            <w:tcW w:w="2973" w:type="dxa"/>
            <w:vAlign w:val="center"/>
          </w:tcPr>
          <w:p w14:paraId="0C2DF3CE" w14:textId="77777777" w:rsidR="00BB18A2" w:rsidRDefault="00000000">
            <w:pPr>
              <w:spacing w:line="276" w:lineRule="auto" w:after="60"/>
              <w:jc w:val="left"/>
            </w:pPr>
            <w:r>
              <w:rPr>
                <w:rFonts w:ascii="Times New Roman" w:hAnsi="Times New Roman" w:eastAsia="Times New Roman" w:cs="Times New Roman"/>
                <w:sz w:val="21"/>
              </w:rPr>
              <w:t>Lineage coverage</w:t>
            </w:r>
          </w:p>
        </w:tc>
        <w:tc>
          <w:tcPr>
            <w:tcW w:w="6043" w:type="dxa"/>
            <w:vAlign w:val="center"/>
          </w:tcPr>
          <w:p w14:paraId="59EEEDB1" w14:textId="77777777" w:rsidR="00BB18A2" w:rsidRDefault="00000000">
            <w:pPr>
              <w:spacing w:line="276" w:lineRule="auto" w:after="60"/>
              <w:jc w:val="left"/>
            </w:pPr>
            <w:r>
              <w:rPr>
                <w:rFonts w:ascii="Times New Roman" w:hAnsi="Times New Roman" w:eastAsia="Times New Roman" w:cs="Times New Roman"/>
                <w:sz w:val="21"/>
              </w:rPr>
              <w:t>Shows whether dashboard marts can be traced back to source and transformation models</w:t>
            </w:r>
          </w:p>
        </w:tc>
      </w:tr>
    </w:tbl>
    <w:p w14:paraId="264DBEF3" w14:textId="77777777" w:rsidR="0084730D" w:rsidRPr="00335C63" w:rsidRDefault="0084730D" w:rsidP="000F4170">
      <w:pPr>
        <w:spacing w:line="360" w:lineRule="auto" w:after="120"/>
        <w:jc w:val="left"/>
        <w:rPr>
          <w:rFonts w:ascii="Times New Roman" w:hAnsi="Times New Roman" w:cs="Times New Roman"/>
          <w:sz w:val="24"/>
          <w:szCs w:val="24"/>
        </w:rPr>
      </w:pPr>
    </w:p>
    <w:p w14:paraId="0FA33152"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3.6 Analytics Methods</w:t>
      </w:r>
    </w:p>
    <w:p w14:paraId="02A7BD62" w14:textId="77777777" w:rsidR="00984EB3" w:rsidRPr="008D6A1A" w:rsidRDefault="003C0C08"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 xml:space="preserve">Following the AI/ML methodology guide, the CP2 workflow will combine data engineering and analytics. The data engineering lifecycle covers source profiling, extraction, Bronze loading, dbt </w:t>
      </w:r>
      <w:r>
        <w:rPr>
          <w:rFonts w:ascii="Times New Roman" w:hAnsi="Times New Roman" w:eastAsia="Times New Roman" w:cs="Times New Roman"/>
          <w:sz w:val="24"/>
        </w:rPr>
        <w:lastRenderedPageBreak/>
        <w:t>transformation, data testing, lineage documentation, pipeline logging, and scheduled orchestration. The analytics lifecycle then uses the trusted Gold marts for customer, area, warranty, recurrence, weather, hotspot, upsell, and recommendation outputs.</w:t>
      </w:r>
    </w:p>
    <w:tbl>
      <w:tblPr>
        <w:tblStyle w:val="TableGrid"/>
        <w:tblW w:w="5000" w:type="pct"/>
        <w:jc w:val="center"/>
        <w:tblLook w:val="04A0" w:firstRow="1" w:lastRow="0" w:firstColumn="1" w:lastColumn="0" w:noHBand="0" w:noVBand="1"/>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793"/>
        <w:gridCol w:w="2921"/>
        <w:gridCol w:w="3302"/>
      </w:tblGrid>
      <w:tr w:rsidR="0084730D" w:rsidRPr="00335C63" w14:paraId="2793911F" w14:textId="77777777" w:rsidTr="00997D20">
        <w:trPr>
          <w:cantSplit/>
          <w:tblHeader/>
          <w:jc w:val="center"/>
        </w:trPr>
        <w:tc>
          <w:tcPr>
            <w:tcW w:w="1549" w:type="pct"/>
            <w:shd w:val="clear" w:color="auto" w:fill="E8F1FA"/>
            <w:tcMar>
              <w:top w:w="90" w:type="dxa"/>
              <w:left w:w="90" w:type="dxa"/>
              <w:bottom w:w="90" w:type="dxa"/>
              <w:right w:w="90" w:type="dxa"/>
            </w:tcMar>
            <w:vAlign w:val="center"/>
            <w:shd w:fill="DCEAF7"/>
          </w:tcPr>
          <w:p w14:paraId="7818FA9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Question</w:t>
            </w:r>
          </w:p>
        </w:tc>
        <w:tc>
          <w:tcPr>
            <w:tcW w:w="1620" w:type="pct"/>
            <w:shd w:val="clear" w:color="auto" w:fill="E8F1FA"/>
            <w:tcMar>
              <w:top w:w="90" w:type="dxa"/>
              <w:left w:w="90" w:type="dxa"/>
              <w:bottom w:w="90" w:type="dxa"/>
              <w:right w:w="90" w:type="dxa"/>
            </w:tcMar>
            <w:vAlign w:val="center"/>
            <w:shd w:fill="DCEAF7"/>
          </w:tcPr>
          <w:p w14:paraId="71536B1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Method</w:t>
            </w:r>
          </w:p>
        </w:tc>
        <w:tc>
          <w:tcPr>
            <w:tcW w:w="1831" w:type="pct"/>
            <w:shd w:val="clear" w:color="auto" w:fill="E8F1FA"/>
            <w:tcMar>
              <w:top w:w="90" w:type="dxa"/>
              <w:left w:w="90" w:type="dxa"/>
              <w:bottom w:w="90" w:type="dxa"/>
              <w:right w:w="90" w:type="dxa"/>
            </w:tcMar>
            <w:vAlign w:val="center"/>
            <w:shd w:fill="DCEAF7"/>
          </w:tcPr>
          <w:p w14:paraId="283F830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Output</w:t>
            </w:r>
          </w:p>
        </w:tc>
      </w:tr>
      <w:tr w:rsidR="0084730D" w:rsidRPr="00335C63" w14:paraId="34B7079C" w14:textId="77777777" w:rsidTr="00997D20">
        <w:trPr>
          <w:cantSplit/>
          <w:jc w:val="center"/>
        </w:trPr>
        <w:tc>
          <w:tcPr>
            <w:tcW w:w="1549" w:type="pct"/>
            <w:tcMar>
              <w:top w:w="90" w:type="dxa"/>
              <w:left w:w="90" w:type="dxa"/>
              <w:bottom w:w="90" w:type="dxa"/>
              <w:right w:w="90" w:type="dxa"/>
            </w:tcMar>
            <w:vAlign w:val="center"/>
          </w:tcPr>
          <w:p w14:paraId="63330E5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What happened?</w:t>
            </w:r>
          </w:p>
        </w:tc>
        <w:tc>
          <w:tcPr>
            <w:tcW w:w="1620" w:type="pct"/>
            <w:tcMar>
              <w:top w:w="90" w:type="dxa"/>
              <w:left w:w="90" w:type="dxa"/>
              <w:bottom w:w="90" w:type="dxa"/>
              <w:right w:w="90" w:type="dxa"/>
            </w:tcMar>
            <w:vAlign w:val="center"/>
          </w:tcPr>
          <w:p w14:paraId="38BA867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Descriptive BI by day/week/month</w:t>
            </w:r>
          </w:p>
        </w:tc>
        <w:tc>
          <w:tcPr>
            <w:tcW w:w="1831" w:type="pct"/>
            <w:tcMar>
              <w:top w:w="90" w:type="dxa"/>
              <w:left w:w="90" w:type="dxa"/>
              <w:bottom w:w="90" w:type="dxa"/>
              <w:right w:w="90" w:type="dxa"/>
            </w:tcMar>
            <w:vAlign w:val="center"/>
          </w:tcPr>
          <w:p w14:paraId="66C528B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KPIs, trends, ranking tables, distributions</w:t>
            </w:r>
          </w:p>
        </w:tc>
      </w:tr>
      <w:tr w:rsidR="0084730D" w:rsidRPr="00335C63" w14:paraId="177286F1" w14:textId="77777777" w:rsidTr="00997D20">
        <w:trPr>
          <w:cantSplit/>
          <w:jc w:val="center"/>
        </w:trPr>
        <w:tc>
          <w:tcPr>
            <w:tcW w:w="1549" w:type="pct"/>
            <w:tcMar>
              <w:top w:w="90" w:type="dxa"/>
              <w:left w:w="90" w:type="dxa"/>
              <w:bottom w:w="90" w:type="dxa"/>
              <w:right w:w="90" w:type="dxa"/>
            </w:tcMar>
            <w:vAlign w:val="center"/>
          </w:tcPr>
          <w:p w14:paraId="6CABC86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Where are repeat problems concentrated?</w:t>
            </w:r>
          </w:p>
        </w:tc>
        <w:tc>
          <w:tcPr>
            <w:tcW w:w="1620" w:type="pct"/>
            <w:tcMar>
              <w:top w:w="90" w:type="dxa"/>
              <w:left w:w="90" w:type="dxa"/>
              <w:bottom w:w="90" w:type="dxa"/>
              <w:right w:w="90" w:type="dxa"/>
            </w:tcMar>
            <w:vAlign w:val="center"/>
          </w:tcPr>
          <w:p w14:paraId="15351F3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DBSCAN-style spatial clustering plus KDE heatmap visualization</w:t>
            </w:r>
          </w:p>
        </w:tc>
        <w:tc>
          <w:tcPr>
            <w:tcW w:w="1831" w:type="pct"/>
            <w:tcMar>
              <w:top w:w="90" w:type="dxa"/>
              <w:left w:w="90" w:type="dxa"/>
              <w:bottom w:w="90" w:type="dxa"/>
              <w:right w:w="90" w:type="dxa"/>
            </w:tcMar>
            <w:vAlign w:val="center"/>
          </w:tcPr>
          <w:p w14:paraId="31FB798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Hotspot clusters and density map</w:t>
            </w:r>
          </w:p>
        </w:tc>
      </w:tr>
      <w:tr w:rsidR="0084730D" w:rsidRPr="00335C63" w14:paraId="3A44690F" w14:textId="77777777" w:rsidTr="00997D20">
        <w:trPr>
          <w:cantSplit/>
          <w:jc w:val="center"/>
        </w:trPr>
        <w:tc>
          <w:tcPr>
            <w:tcW w:w="1549" w:type="pct"/>
            <w:tcMar>
              <w:top w:w="90" w:type="dxa"/>
              <w:left w:w="90" w:type="dxa"/>
              <w:bottom w:w="90" w:type="dxa"/>
              <w:right w:w="90" w:type="dxa"/>
            </w:tcMar>
            <w:vAlign w:val="center"/>
          </w:tcPr>
          <w:p w14:paraId="1FAF7CE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 xml:space="preserve">When do </w:t>
            </w:r>
            <w:proofErr w:type="gramStart"/>
            <w:r w:rsidRPr="00335C63">
              <w:rPr>
                <w:rFonts w:ascii="Times New Roman" w:hAnsi="Times New Roman" w:cs="Times New Roman" w:eastAsia="Times New Roman"/>
                <w:sz w:val="21"/>
                <w:szCs w:val="24"/>
              </w:rPr>
              <w:t>pest</w:t>
            </w:r>
            <w:proofErr w:type="gramEnd"/>
            <w:r w:rsidRPr="00335C63">
              <w:rPr>
                <w:rFonts w:ascii="Times New Roman" w:hAnsi="Times New Roman" w:cs="Times New Roman" w:eastAsia="Times New Roman"/>
                <w:sz w:val="21"/>
                <w:szCs w:val="24"/>
              </w:rPr>
              <w:t xml:space="preserve"> issues recur?</w:t>
            </w:r>
          </w:p>
        </w:tc>
        <w:tc>
          <w:tcPr>
            <w:tcW w:w="1620" w:type="pct"/>
            <w:tcMar>
              <w:top w:w="90" w:type="dxa"/>
              <w:left w:w="90" w:type="dxa"/>
              <w:bottom w:w="90" w:type="dxa"/>
              <w:right w:w="90" w:type="dxa"/>
            </w:tcMar>
            <w:vAlign w:val="center"/>
          </w:tcPr>
          <w:p w14:paraId="2A5884D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Days-to-recurrence and interval comparison</w:t>
            </w:r>
          </w:p>
        </w:tc>
        <w:tc>
          <w:tcPr>
            <w:tcW w:w="1831" w:type="pct"/>
            <w:tcMar>
              <w:top w:w="90" w:type="dxa"/>
              <w:left w:w="90" w:type="dxa"/>
              <w:bottom w:w="90" w:type="dxa"/>
              <w:right w:w="90" w:type="dxa"/>
            </w:tcMar>
            <w:vAlign w:val="center"/>
          </w:tcPr>
          <w:p w14:paraId="20ECDF6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Average/median recurrence windows and recurrence buckets</w:t>
            </w:r>
          </w:p>
        </w:tc>
      </w:tr>
      <w:tr w:rsidR="0084730D" w:rsidRPr="00335C63" w14:paraId="085797E1" w14:textId="77777777" w:rsidTr="00997D20">
        <w:trPr>
          <w:cantSplit/>
          <w:jc w:val="center"/>
        </w:trPr>
        <w:tc>
          <w:tcPr>
            <w:tcW w:w="1549" w:type="pct"/>
            <w:tcMar>
              <w:top w:w="90" w:type="dxa"/>
              <w:left w:w="90" w:type="dxa"/>
              <w:bottom w:w="90" w:type="dxa"/>
              <w:right w:w="90" w:type="dxa"/>
            </w:tcMar>
            <w:vAlign w:val="center"/>
          </w:tcPr>
          <w:p w14:paraId="6D7F461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Is weather associated with higher warranty/repeat risk?</w:t>
            </w:r>
          </w:p>
        </w:tc>
        <w:tc>
          <w:tcPr>
            <w:tcW w:w="1620" w:type="pct"/>
            <w:tcMar>
              <w:top w:w="90" w:type="dxa"/>
              <w:left w:w="90" w:type="dxa"/>
              <w:bottom w:w="90" w:type="dxa"/>
              <w:right w:w="90" w:type="dxa"/>
            </w:tcMar>
            <w:vAlign w:val="center"/>
          </w:tcPr>
          <w:p w14:paraId="46B0611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Rainfall time-lag features, correlation review, and logistic regression if data is sufficient</w:t>
            </w:r>
          </w:p>
        </w:tc>
        <w:tc>
          <w:tcPr>
            <w:tcW w:w="1831" w:type="pct"/>
            <w:tcMar>
              <w:top w:w="90" w:type="dxa"/>
              <w:left w:w="90" w:type="dxa"/>
              <w:bottom w:w="90" w:type="dxa"/>
              <w:right w:w="90" w:type="dxa"/>
            </w:tcMar>
            <w:vAlign w:val="center"/>
          </w:tcPr>
          <w:p w14:paraId="778A1BC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Weather-associated indicators and risk probabilities</w:t>
            </w:r>
          </w:p>
        </w:tc>
      </w:tr>
      <w:tr w:rsidR="0084730D" w:rsidRPr="00335C63" w14:paraId="2E5C85B3" w14:textId="77777777" w:rsidTr="00997D20">
        <w:trPr>
          <w:cantSplit/>
          <w:jc w:val="center"/>
        </w:trPr>
        <w:tc>
          <w:tcPr>
            <w:tcW w:w="1549" w:type="pct"/>
            <w:tcMar>
              <w:top w:w="90" w:type="dxa"/>
              <w:left w:w="90" w:type="dxa"/>
              <w:bottom w:w="90" w:type="dxa"/>
              <w:right w:w="90" w:type="dxa"/>
            </w:tcMar>
            <w:vAlign w:val="center"/>
          </w:tcPr>
          <w:p w14:paraId="236A416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Which areas are harder to treat?</w:t>
            </w:r>
          </w:p>
        </w:tc>
        <w:tc>
          <w:tcPr>
            <w:tcW w:w="1620" w:type="pct"/>
            <w:tcMar>
              <w:top w:w="90" w:type="dxa"/>
              <w:left w:w="90" w:type="dxa"/>
              <w:bottom w:w="90" w:type="dxa"/>
              <w:right w:w="90" w:type="dxa"/>
            </w:tcMar>
            <w:vAlign w:val="center"/>
          </w:tcPr>
          <w:p w14:paraId="3E5C85E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Weighted treatment difficulty index</w:t>
            </w:r>
          </w:p>
        </w:tc>
        <w:tc>
          <w:tcPr>
            <w:tcW w:w="1831" w:type="pct"/>
            <w:tcMar>
              <w:top w:w="90" w:type="dxa"/>
              <w:left w:w="90" w:type="dxa"/>
              <w:bottom w:w="90" w:type="dxa"/>
              <w:right w:w="90" w:type="dxa"/>
            </w:tcMar>
            <w:vAlign w:val="center"/>
          </w:tcPr>
          <w:p w14:paraId="7E8AD00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Area/pest/team difficulty level and planning action</w:t>
            </w:r>
          </w:p>
        </w:tc>
      </w:tr>
      <w:tr w:rsidR="0084730D" w:rsidRPr="00335C63" w14:paraId="33E7ADD7" w14:textId="77777777" w:rsidTr="00997D20">
        <w:trPr>
          <w:cantSplit/>
          <w:jc w:val="center"/>
        </w:trPr>
        <w:tc>
          <w:tcPr>
            <w:tcW w:w="1549" w:type="pct"/>
            <w:tcMar>
              <w:top w:w="90" w:type="dxa"/>
              <w:left w:w="90" w:type="dxa"/>
              <w:bottom w:w="90" w:type="dxa"/>
              <w:right w:w="90" w:type="dxa"/>
            </w:tcMar>
            <w:vAlign w:val="center"/>
          </w:tcPr>
          <w:p w14:paraId="2E81EAF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Which package fits which customer group?</w:t>
            </w:r>
          </w:p>
        </w:tc>
        <w:tc>
          <w:tcPr>
            <w:tcW w:w="1620" w:type="pct"/>
            <w:tcMar>
              <w:top w:w="90" w:type="dxa"/>
              <w:left w:w="90" w:type="dxa"/>
              <w:bottom w:w="90" w:type="dxa"/>
              <w:right w:w="90" w:type="dxa"/>
            </w:tcMar>
            <w:vAlign w:val="center"/>
          </w:tcPr>
          <w:p w14:paraId="49209FE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Frequency and revenue-based package-fit matrix</w:t>
            </w:r>
          </w:p>
        </w:tc>
        <w:tc>
          <w:tcPr>
            <w:tcW w:w="1831" w:type="pct"/>
            <w:tcMar>
              <w:top w:w="90" w:type="dxa"/>
              <w:left w:w="90" w:type="dxa"/>
              <w:bottom w:w="90" w:type="dxa"/>
              <w:right w:w="90" w:type="dxa"/>
            </w:tcMar>
            <w:vAlign w:val="center"/>
          </w:tcPr>
          <w:p w14:paraId="03A389B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 xml:space="preserve">Recommended </w:t>
            </w:r>
            <w:proofErr w:type="gramStart"/>
            <w:r w:rsidRPr="00335C63">
              <w:rPr>
                <w:rFonts w:ascii="Times New Roman" w:hAnsi="Times New Roman" w:cs="Times New Roman" w:eastAsia="Times New Roman"/>
                <w:sz w:val="21"/>
                <w:szCs w:val="24"/>
              </w:rPr>
              <w:t>upsell</w:t>
            </w:r>
            <w:proofErr w:type="gramEnd"/>
            <w:r w:rsidRPr="00335C63">
              <w:rPr>
                <w:rFonts w:ascii="Times New Roman" w:hAnsi="Times New Roman" w:cs="Times New Roman" w:eastAsia="Times New Roman"/>
                <w:sz w:val="21"/>
                <w:szCs w:val="24"/>
              </w:rPr>
              <w:t xml:space="preserve"> package by customer/pest/area segment</w:t>
            </w:r>
          </w:p>
        </w:tc>
      </w:tr>
      <w:tr w:rsidR="0084730D" w:rsidRPr="00335C63" w14:paraId="618349FE" w14:textId="77777777" w:rsidTr="00997D20">
        <w:trPr>
          <w:cantSplit/>
          <w:jc w:val="center"/>
        </w:trPr>
        <w:tc>
          <w:tcPr>
            <w:tcW w:w="1549" w:type="pct"/>
            <w:tcMar>
              <w:top w:w="90" w:type="dxa"/>
              <w:left w:w="90" w:type="dxa"/>
              <w:bottom w:w="90" w:type="dxa"/>
              <w:right w:w="90" w:type="dxa"/>
            </w:tcMar>
            <w:vAlign w:val="center"/>
          </w:tcPr>
          <w:p w14:paraId="5A04E1F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What should management do?</w:t>
            </w:r>
          </w:p>
        </w:tc>
        <w:tc>
          <w:tcPr>
            <w:tcW w:w="1620" w:type="pct"/>
            <w:tcMar>
              <w:top w:w="90" w:type="dxa"/>
              <w:left w:w="90" w:type="dxa"/>
              <w:bottom w:w="90" w:type="dxa"/>
              <w:right w:w="90" w:type="dxa"/>
            </w:tcMar>
            <w:vAlign w:val="center"/>
          </w:tcPr>
          <w:p w14:paraId="085D271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Prescriptive scoring rules and optional local AI explanation</w:t>
            </w:r>
          </w:p>
        </w:tc>
        <w:tc>
          <w:tcPr>
            <w:tcW w:w="1831" w:type="pct"/>
            <w:tcMar>
              <w:top w:w="90" w:type="dxa"/>
              <w:left w:w="90" w:type="dxa"/>
              <w:bottom w:w="90" w:type="dxa"/>
              <w:right w:w="90" w:type="dxa"/>
            </w:tcMar>
            <w:vAlign w:val="center"/>
          </w:tcPr>
          <w:p w14:paraId="78B20C0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Recommended follow-up, assignment, review, or upsell action</w:t>
            </w:r>
          </w:p>
        </w:tc>
      </w:tr>
    </w:tbl>
    <w:p w14:paraId="04BA87FE" w14:textId="77777777" w:rsidR="0084730D" w:rsidRPr="00335C63" w:rsidRDefault="0084730D" w:rsidP="000F4170">
      <w:pPr>
        <w:spacing w:line="360" w:lineRule="auto" w:after="120"/>
        <w:jc w:val="left"/>
        <w:rPr>
          <w:rFonts w:ascii="Times New Roman" w:hAnsi="Times New Roman" w:cs="Times New Roman"/>
          <w:sz w:val="24"/>
          <w:szCs w:val="24"/>
        </w:rPr>
      </w:pPr>
    </w:p>
    <w:p w14:paraId="02FFD246"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3.7 Key Analytics Logic</w:t>
      </w:r>
    </w:p>
    <w:p w14:paraId="2B328758"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Treatment Difficulty Index:</w:t>
      </w:r>
    </w:p>
    <w:p w14:paraId="4C7F127D"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treatment difficulty index will combine repeat-problem rate, warranty-claim rate, refund rate, complimentary-service rate, and extra-session rate. The initial weights will be reviewed </w:t>
      </w:r>
      <w:r w:rsidRPr="00335C63">
        <w:rPr>
          <w:rFonts w:ascii="Times New Roman" w:hAnsi="Times New Roman" w:cs="Times New Roman" w:eastAsia="Times New Roman"/>
          <w:sz w:val="24"/>
          <w:szCs w:val="24"/>
        </w:rPr>
        <w:lastRenderedPageBreak/>
        <w:t>with management because the score is intended as a planning indicator, not an absolute measurement.</w:t>
      </w:r>
    </w:p>
    <w:p w14:paraId="41F515E2"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Weather windows:</w:t>
      </w:r>
    </w:p>
    <w:p w14:paraId="72555C16" w14:textId="77777777" w:rsidR="0084730D" w:rsidRPr="00335C63" w:rsidRDefault="00357319" w:rsidP="008D6A1A">
      <w:pPr>
        <w:spacing w:line="360" w:lineRule="auto" w:after="120"/>
        <w:jc w:val="both"/>
        <w:rPr>
          <w:rFonts w:ascii="Times New Roman" w:hAnsi="Times New Roman" w:cs="Times New Roman"/>
          <w:sz w:val="24"/>
          <w:szCs w:val="24"/>
        </w:rPr>
      </w:pPr>
      <w:proofErr w:type="gramStart"/>
      <w:proofErr w:type="gramEnd"/>
      <w:r>
        <w:rPr>
          <w:rFonts w:ascii="Times New Roman" w:hAnsi="Times New Roman" w:eastAsia="Times New Roman"/>
          <w:sz w:val="24"/>
        </w:rPr>
        <w:t>For each service record with a usable service date and area/postcode coordinate, the ETL process is expected to calculate weather-window features such as same-day rainfall, previous-day rainfall, rainfall over the previous 3 and 7 days, average temperature, average humidity, and a heavy-rain indicator. The exact field names will be finalised in CP2 after testing the weather API output and matching coverage. Warranty and repeat-problem analysis will use service-date weather windows, while area risk dashboards may also show recent or current weather indicators.</w:t>
      </w:r>
    </w:p>
    <w:p w14:paraId="4FBAA1CA"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Warranty factor categories:</w:t>
      </w:r>
    </w:p>
    <w:p w14:paraId="45DDAE81"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Warranty claims will be grouped into review categories: Weather-associated, Technician or </w:t>
      </w:r>
      <w:proofErr w:type="gramStart"/>
      <w:r w:rsidRPr="00335C63">
        <w:rPr>
          <w:rFonts w:ascii="Times New Roman" w:hAnsi="Times New Roman" w:cs="Times New Roman" w:eastAsia="Times New Roman"/>
          <w:sz w:val="24"/>
          <w:szCs w:val="24"/>
        </w:rPr>
        <w:t>service</w:t>
      </w:r>
      <w:proofErr w:type="gramEnd"/>
      <w:r w:rsidRPr="00335C63">
        <w:rPr>
          <w:rFonts w:ascii="Times New Roman" w:hAnsi="Times New Roman" w:cs="Times New Roman" w:eastAsia="Times New Roman"/>
          <w:sz w:val="24"/>
          <w:szCs w:val="24"/>
        </w:rPr>
        <w:t xml:space="preserve"> quality review, Area/premise condition, Customer expectation, and </w:t>
      </w:r>
      <w:proofErr w:type="gramStart"/>
      <w:r w:rsidRPr="00335C63">
        <w:rPr>
          <w:rFonts w:ascii="Times New Roman" w:hAnsi="Times New Roman" w:cs="Times New Roman" w:eastAsia="Times New Roman"/>
          <w:sz w:val="24"/>
          <w:szCs w:val="24"/>
        </w:rPr>
        <w:t>Needs</w:t>
      </w:r>
      <w:proofErr w:type="gramEnd"/>
      <w:r w:rsidRPr="00335C63">
        <w:rPr>
          <w:rFonts w:ascii="Times New Roman" w:hAnsi="Times New Roman" w:cs="Times New Roman" w:eastAsia="Times New Roman"/>
          <w:sz w:val="24"/>
          <w:szCs w:val="24"/>
        </w:rPr>
        <w:t xml:space="preserve"> manual review. The wording will remain careful and non-punitive.</w:t>
      </w:r>
    </w:p>
    <w:p w14:paraId="647C68D2"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Recurrence buckets:</w:t>
      </w:r>
    </w:p>
    <w:p w14:paraId="13CE37F4"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Recurrence windows will be grouped into 0-7 days, 8-14 days, 15-30 days, 31-60 days, and 61+ days. These buckets help management plan follow-ups around observed recurrence patterns.</w:t>
      </w:r>
    </w:p>
    <w:p w14:paraId="69454230"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Scheduled refresh:</w:t>
      </w:r>
    </w:p>
    <w:p w14:paraId="21090E45"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system will use a near-real-time refresh design rather than streaming real-time processing. A scheduled Python ETL job or BigQuery scheduled query will refresh cleaned tables and dashboard marts daily or weekly, depending on company needs and data update frequency. This is sufficient for management reporting, warranty review, and service planning because the main business questions are based on day/week/month trends rather than second-by-second operations.</w:t>
      </w:r>
    </w:p>
    <w:p w14:paraId="737536F1"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Recommendation log:</w:t>
      </w:r>
    </w:p>
    <w:p w14:paraId="72C9BF7F"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Prescriptive outputs will be stored in a recommendation log. Each record will include recommendation type, generated date, related customer/service/area, supporting reason, confidence or review label, management action taken, and later outcome where available. This allows the company to review whether suggested actions were useful and prepares the system for a future Ollama-based AI explanation layer.</w:t>
      </w:r>
    </w:p>
    <w:p w14:paraId="40C46665" w14:textId="77777777" w:rsidR="00BB18A2" w:rsidRDefault="00000000">
      <w:pPr>
        <w:spacing w:line="360" w:lineRule="auto" w:after="120"/>
        <w:jc w:val="both"/>
      </w:pPr>
      <w:r>
        <w:rPr>
          <w:rFonts w:ascii="Times New Roman" w:hAnsi="Times New Roman" w:eastAsia="Times New Roman" w:cs="Times New Roman"/>
          <w:sz w:val="24"/>
        </w:rPr>
        <w:t>Pipeline orchestration:</w:t>
      </w:r>
    </w:p>
    <w:p w14:paraId="499902E3" w14:textId="77777777" w:rsidR="00BB18A2" w:rsidRDefault="00000000">
      <w:pPr>
        <w:spacing w:line="360" w:lineRule="auto" w:after="120"/>
        <w:jc w:val="both"/>
      </w:pPr>
      <w:r>
        <w:rPr>
          <w:rFonts w:ascii="Times New Roman" w:hAnsi="Times New Roman" w:eastAsia="Times New Roman" w:cs="Times New Roman"/>
          <w:sz w:val="24"/>
        </w:rPr>
        <w:lastRenderedPageBreak/>
        <w:t>Apache Airflow will coordinate the CP2 pipeline as a directed workflow. A planned DAG will run tasks such as extract_google_sheets, extract_google_calendar, extract_weather_data, load_bronze_bigquery, run_dbt_models, run_dbt_tests, update_data_quality_log, and update_refresh_status. This demonstrates workflow scheduling, dependency management, retry handling, and failure monitoring.</w:t>
      </w:r>
    </w:p>
    <w:p w14:paraId="0E10A246" w14:textId="77777777" w:rsidR="00BB18A2" w:rsidRDefault="00000000">
      <w:pPr>
        <w:spacing w:line="360" w:lineRule="auto" w:after="120"/>
        <w:jc w:val="both"/>
      </w:pPr>
      <w:r>
        <w:rPr>
          <w:rFonts w:ascii="Times New Roman" w:hAnsi="Times New Roman" w:eastAsia="Times New Roman" w:cs="Times New Roman"/>
          <w:sz w:val="24"/>
        </w:rPr>
        <w:t>dbt transformations and lineage:</w:t>
      </w:r>
    </w:p>
    <w:p w14:paraId="2F2E08CF" w14:textId="77777777" w:rsidR="00BB18A2" w:rsidRDefault="00000000">
      <w:pPr>
        <w:spacing w:line="360" w:lineRule="auto" w:after="120"/>
        <w:jc w:val="both"/>
      </w:pPr>
      <w:r>
        <w:rPr>
          <w:rFonts w:ascii="Times New Roman" w:hAnsi="Times New Roman" w:eastAsia="Times New Roman" w:cs="Times New Roman"/>
          <w:sz w:val="24"/>
        </w:rPr>
        <w:t>dbt Core will transform BigQuery Bronze tables into Silver cleaned tables and Gold marts using modular SQL models. dbt tests will check fields such as uniqueness, not-null requirements, accepted values, and relationship consistency where practical. dbt documentation and lineage will show how raw data flows into dashboard outputs.</w:t>
      </w:r>
    </w:p>
    <w:p w14:paraId="1414BB94" w14:textId="77777777" w:rsidR="00BB18A2" w:rsidRDefault="00000000">
      <w:pPr>
        <w:spacing w:line="360" w:lineRule="auto" w:after="120"/>
        <w:jc w:val="both"/>
      </w:pPr>
      <w:r>
        <w:rPr>
          <w:rFonts w:ascii="Times New Roman" w:hAnsi="Times New Roman" w:eastAsia="Times New Roman" w:cs="Times New Roman"/>
          <w:sz w:val="24"/>
        </w:rPr>
        <w:t>Flexible data contracts:</w:t>
      </w:r>
    </w:p>
    <w:p w14:paraId="7A6CD017" w14:textId="77777777" w:rsidR="00BB18A2" w:rsidRDefault="00000000">
      <w:pPr>
        <w:spacing w:line="360" w:lineRule="auto" w:after="120"/>
        <w:jc w:val="both"/>
      </w:pPr>
      <w:r>
        <w:rPr>
          <w:rFonts w:ascii="Times New Roman" w:hAnsi="Times New Roman" w:eastAsia="Times New Roman" w:cs="Times New Roman"/>
          <w:sz w:val="24"/>
        </w:rPr>
        <w:t>Each source will have a flexible contract defining standard fields, accepted aliases, required/important/optional levels, and validation rules. For example, Nama, Name, and Customer Name may map to customer_name, while Phone No, Contact, and Tel may map to phone_number. If a critical field cannot be mapped, the source or row is flagged for review.</w:t>
      </w:r>
    </w:p>
    <w:p w14:paraId="3B77EC74" w14:textId="77777777" w:rsidR="00BB18A2" w:rsidRDefault="00000000">
      <w:pPr>
        <w:spacing w:line="360" w:lineRule="auto" w:after="120"/>
        <w:jc w:val="both"/>
      </w:pPr>
      <w:r>
        <w:rPr>
          <w:rFonts w:ascii="Times New Roman" w:hAnsi="Times New Roman" w:eastAsia="Times New Roman" w:cs="Times New Roman"/>
          <w:sz w:val="24"/>
        </w:rPr>
        <w:t>Incremental loading:</w:t>
      </w:r>
    </w:p>
    <w:p w14:paraId="02B6FFC7" w14:textId="77777777" w:rsidR="00BB18A2" w:rsidRDefault="00000000">
      <w:pPr>
        <w:spacing w:line="360" w:lineRule="auto" w:after="120"/>
        <w:jc w:val="both"/>
      </w:pPr>
      <w:r>
        <w:rPr>
          <w:rFonts w:ascii="Times New Roman" w:hAnsi="Times New Roman" w:eastAsia="Times New Roman" w:cs="Times New Roman"/>
          <w:sz w:val="24"/>
        </w:rPr>
        <w:t>Where a source provides updated timestamps or stable row identifiers, the pipeline will load only new or changed rows. If such metadata is unavailable, the prototype will use row hashes and loaded_at timestamps to detect changes. Full refresh remains available as a fallback during prototype testing.</w:t>
      </w:r>
    </w:p>
    <w:p w14:paraId="417F1C68" w14:textId="77777777" w:rsidR="0084730D" w:rsidRPr="00335C63" w:rsidRDefault="00357319" w:rsidP="008D6A1A">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3.8 Dashboard Design</w:t>
      </w:r>
    </w:p>
    <w:p w14:paraId="44719494"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The visualization layer will be implemented in Apache Superset to reduce custom frontend development and align the project with a data analytics capstone. Superset will connect only to curated Gold marts and anonymised reporting views in BigQuery rather than raw source tables. This ensures the dashboards are based on tested, documented, and refresh-controlled data outputs.</w:t>
      </w:r>
    </w:p>
    <w:tbl>
      <w:tblPr>
        <w:tblStyle w:val="TableGrid"/>
        <w:tblW w:w="5000" w:type="pct"/>
        <w:jc w:val="center"/>
        <w:tblLook w:val="04A0" w:firstRow="1" w:lastRow="0" w:firstColumn="1" w:lastColumn="0" w:noHBand="0" w:noVBand="1"/>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29"/>
        <w:gridCol w:w="5687"/>
      </w:tblGrid>
      <w:tr w:rsidR="0084730D" w:rsidRPr="00335C63" w14:paraId="2E720715" w14:textId="77777777" w:rsidTr="00997D20">
        <w:trPr>
          <w:cantSplit/>
          <w:tblHeader/>
          <w:jc w:val="center"/>
        </w:trPr>
        <w:tc>
          <w:tcPr>
            <w:tcW w:w="1846" w:type="pct"/>
            <w:shd w:val="clear" w:color="auto" w:fill="E8F1FA"/>
            <w:tcMar>
              <w:top w:w="90" w:type="dxa"/>
              <w:left w:w="90" w:type="dxa"/>
              <w:bottom w:w="90" w:type="dxa"/>
              <w:right w:w="90" w:type="dxa"/>
            </w:tcMar>
            <w:vAlign w:val="center"/>
            <w:shd w:fill="DCEAF7"/>
          </w:tcPr>
          <w:p w14:paraId="545DD79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Dashboard Area</w:t>
            </w:r>
          </w:p>
        </w:tc>
        <w:tc>
          <w:tcPr>
            <w:tcW w:w="3154" w:type="pct"/>
            <w:shd w:val="clear" w:color="auto" w:fill="E8F1FA"/>
            <w:tcMar>
              <w:top w:w="90" w:type="dxa"/>
              <w:left w:w="90" w:type="dxa"/>
              <w:bottom w:w="90" w:type="dxa"/>
              <w:right w:w="90" w:type="dxa"/>
            </w:tcMar>
            <w:vAlign w:val="center"/>
            <w:shd w:fill="DCEAF7"/>
          </w:tcPr>
          <w:p w14:paraId="2F24B64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Main Visuals</w:t>
            </w:r>
          </w:p>
        </w:tc>
      </w:tr>
      <w:tr w:rsidR="0084730D" w:rsidRPr="00335C63" w14:paraId="57FB1888" w14:textId="77777777" w:rsidTr="00997D20">
        <w:trPr>
          <w:cantSplit/>
          <w:jc w:val="center"/>
        </w:trPr>
        <w:tc>
          <w:tcPr>
            <w:tcW w:w="1846" w:type="pct"/>
            <w:tcMar>
              <w:top w:w="90" w:type="dxa"/>
              <w:left w:w="90" w:type="dxa"/>
              <w:bottom w:w="90" w:type="dxa"/>
              <w:right w:w="90" w:type="dxa"/>
            </w:tcMar>
            <w:vAlign w:val="center"/>
          </w:tcPr>
          <w:p w14:paraId="67866E1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Executive Summary</w:t>
            </w:r>
          </w:p>
        </w:tc>
        <w:tc>
          <w:tcPr>
            <w:tcW w:w="3154" w:type="pct"/>
            <w:tcMar>
              <w:top w:w="90" w:type="dxa"/>
              <w:left w:w="90" w:type="dxa"/>
              <w:bottom w:w="90" w:type="dxa"/>
              <w:right w:w="90" w:type="dxa"/>
            </w:tcMar>
            <w:vAlign w:val="center"/>
          </w:tcPr>
          <w:p w14:paraId="2B39804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KPI cards, service/revenue/warranty trends, top areas, active risk indicators</w:t>
            </w:r>
          </w:p>
        </w:tc>
      </w:tr>
      <w:tr w:rsidR="0084730D" w:rsidRPr="00335C63" w14:paraId="68C5388E" w14:textId="77777777" w:rsidTr="00997D20">
        <w:trPr>
          <w:cantSplit/>
          <w:jc w:val="center"/>
        </w:trPr>
        <w:tc>
          <w:tcPr>
            <w:tcW w:w="1846" w:type="pct"/>
            <w:tcMar>
              <w:top w:w="90" w:type="dxa"/>
              <w:left w:w="90" w:type="dxa"/>
              <w:bottom w:w="90" w:type="dxa"/>
              <w:right w:w="90" w:type="dxa"/>
            </w:tcMar>
            <w:vAlign w:val="center"/>
          </w:tcPr>
          <w:p w14:paraId="56E8F31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Marketing and Funnel</w:t>
            </w:r>
          </w:p>
        </w:tc>
        <w:tc>
          <w:tcPr>
            <w:tcW w:w="3154" w:type="pct"/>
            <w:tcMar>
              <w:top w:w="90" w:type="dxa"/>
              <w:left w:w="90" w:type="dxa"/>
              <w:bottom w:w="90" w:type="dxa"/>
              <w:right w:w="90" w:type="dxa"/>
            </w:tcMar>
            <w:vAlign w:val="center"/>
          </w:tcPr>
          <w:p w14:paraId="41C2C9D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Lead source quality, conversion funnel, follow-up depth, PIC performance</w:t>
            </w:r>
          </w:p>
        </w:tc>
      </w:tr>
      <w:tr w:rsidR="0084730D" w:rsidRPr="00335C63" w14:paraId="28ACE498" w14:textId="77777777" w:rsidTr="00997D20">
        <w:trPr>
          <w:cantSplit/>
          <w:jc w:val="center"/>
        </w:trPr>
        <w:tc>
          <w:tcPr>
            <w:tcW w:w="1846" w:type="pct"/>
            <w:tcMar>
              <w:top w:w="90" w:type="dxa"/>
              <w:left w:w="90" w:type="dxa"/>
              <w:bottom w:w="90" w:type="dxa"/>
              <w:right w:w="90" w:type="dxa"/>
            </w:tcMar>
            <w:vAlign w:val="center"/>
          </w:tcPr>
          <w:p w14:paraId="7117936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Area and Weather Risk</w:t>
            </w:r>
          </w:p>
        </w:tc>
        <w:tc>
          <w:tcPr>
            <w:tcW w:w="3154" w:type="pct"/>
            <w:tcMar>
              <w:top w:w="90" w:type="dxa"/>
              <w:left w:w="90" w:type="dxa"/>
              <w:bottom w:w="90" w:type="dxa"/>
              <w:right w:w="90" w:type="dxa"/>
            </w:tcMar>
            <w:vAlign w:val="center"/>
          </w:tcPr>
          <w:p w14:paraId="307F8F6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Map, rainfall indicators, area risk ranking, weather-associated labels</w:t>
            </w:r>
          </w:p>
        </w:tc>
      </w:tr>
      <w:tr w:rsidR="0084730D" w:rsidRPr="00335C63" w14:paraId="28426BA7" w14:textId="77777777" w:rsidTr="00997D20">
        <w:trPr>
          <w:cantSplit/>
          <w:jc w:val="center"/>
        </w:trPr>
        <w:tc>
          <w:tcPr>
            <w:tcW w:w="1846" w:type="pct"/>
            <w:tcMar>
              <w:top w:w="90" w:type="dxa"/>
              <w:left w:w="90" w:type="dxa"/>
              <w:bottom w:w="90" w:type="dxa"/>
              <w:right w:w="90" w:type="dxa"/>
            </w:tcMar>
            <w:vAlign w:val="center"/>
          </w:tcPr>
          <w:p w14:paraId="0BCA58F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Treatment Difficulty</w:t>
            </w:r>
          </w:p>
        </w:tc>
        <w:tc>
          <w:tcPr>
            <w:tcW w:w="3154" w:type="pct"/>
            <w:tcMar>
              <w:top w:w="90" w:type="dxa"/>
              <w:left w:w="90" w:type="dxa"/>
              <w:bottom w:w="90" w:type="dxa"/>
              <w:right w:w="90" w:type="dxa"/>
            </w:tcMar>
            <w:vAlign w:val="center"/>
          </w:tcPr>
          <w:p w14:paraId="6CC3A29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Difficulty ranking, area/pest/team score table, recommended planning actions</w:t>
            </w:r>
          </w:p>
        </w:tc>
      </w:tr>
      <w:tr w:rsidR="0084730D" w:rsidRPr="00335C63" w14:paraId="23B429C2" w14:textId="77777777" w:rsidTr="00997D20">
        <w:trPr>
          <w:cantSplit/>
          <w:jc w:val="center"/>
        </w:trPr>
        <w:tc>
          <w:tcPr>
            <w:tcW w:w="1846" w:type="pct"/>
            <w:tcMar>
              <w:top w:w="90" w:type="dxa"/>
              <w:left w:w="90" w:type="dxa"/>
              <w:bottom w:w="90" w:type="dxa"/>
              <w:right w:w="90" w:type="dxa"/>
            </w:tcMar>
            <w:vAlign w:val="center"/>
          </w:tcPr>
          <w:p w14:paraId="1728C10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lastRenderedPageBreak/>
              <w:t>Warranty and Repeat Analysis</w:t>
            </w:r>
          </w:p>
        </w:tc>
        <w:tc>
          <w:tcPr>
            <w:tcW w:w="3154" w:type="pct"/>
            <w:tcMar>
              <w:top w:w="90" w:type="dxa"/>
              <w:left w:w="90" w:type="dxa"/>
              <w:bottom w:w="90" w:type="dxa"/>
              <w:right w:w="90" w:type="dxa"/>
            </w:tcMar>
            <w:vAlign w:val="center"/>
          </w:tcPr>
          <w:p w14:paraId="11812D5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Warranty factors by area/pest/technician, review queue, repeat rate trends</w:t>
            </w:r>
          </w:p>
        </w:tc>
      </w:tr>
      <w:tr w:rsidR="0084730D" w:rsidRPr="00335C63" w14:paraId="0F11F27D" w14:textId="77777777" w:rsidTr="00997D20">
        <w:trPr>
          <w:cantSplit/>
          <w:jc w:val="center"/>
        </w:trPr>
        <w:tc>
          <w:tcPr>
            <w:tcW w:w="1846" w:type="pct"/>
            <w:tcMar>
              <w:top w:w="90" w:type="dxa"/>
              <w:left w:w="90" w:type="dxa"/>
              <w:bottom w:w="90" w:type="dxa"/>
              <w:right w:w="90" w:type="dxa"/>
            </w:tcMar>
            <w:vAlign w:val="center"/>
          </w:tcPr>
          <w:p w14:paraId="51B2CD3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Recurrence and Hotspots</w:t>
            </w:r>
          </w:p>
        </w:tc>
        <w:tc>
          <w:tcPr>
            <w:tcW w:w="3154" w:type="pct"/>
            <w:tcMar>
              <w:top w:w="90" w:type="dxa"/>
              <w:left w:w="90" w:type="dxa"/>
              <w:bottom w:w="90" w:type="dxa"/>
              <w:right w:w="90" w:type="dxa"/>
            </w:tcMar>
            <w:vAlign w:val="center"/>
          </w:tcPr>
          <w:p w14:paraId="5376C93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Recurrence buckets, DBSCAN clusters, KDE map layer, cluster movement by period</w:t>
            </w:r>
          </w:p>
        </w:tc>
      </w:tr>
      <w:tr w:rsidR="0084730D" w:rsidRPr="00335C63" w14:paraId="19B4D924" w14:textId="77777777" w:rsidTr="00997D20">
        <w:trPr>
          <w:cantSplit/>
          <w:jc w:val="center"/>
        </w:trPr>
        <w:tc>
          <w:tcPr>
            <w:tcW w:w="1846" w:type="pct"/>
            <w:tcMar>
              <w:top w:w="90" w:type="dxa"/>
              <w:left w:w="90" w:type="dxa"/>
              <w:bottom w:w="90" w:type="dxa"/>
              <w:right w:w="90" w:type="dxa"/>
            </w:tcMar>
            <w:vAlign w:val="center"/>
          </w:tcPr>
          <w:p w14:paraId="3E905F0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Upsell Intelligence</w:t>
            </w:r>
          </w:p>
        </w:tc>
        <w:tc>
          <w:tcPr>
            <w:tcW w:w="3154" w:type="pct"/>
            <w:tcMar>
              <w:top w:w="90" w:type="dxa"/>
              <w:left w:w="90" w:type="dxa"/>
              <w:bottom w:w="90" w:type="dxa"/>
              <w:right w:w="90" w:type="dxa"/>
            </w:tcMar>
            <w:vAlign w:val="center"/>
          </w:tcPr>
          <w:p w14:paraId="439A838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Package effectiveness, package-fit matrix, window performance</w:t>
            </w:r>
          </w:p>
        </w:tc>
      </w:tr>
      <w:tr w:rsidR="0084730D" w:rsidRPr="00335C63" w14:paraId="0850617D" w14:textId="77777777" w:rsidTr="00997D20">
        <w:trPr>
          <w:cantSplit/>
          <w:jc w:val="center"/>
        </w:trPr>
        <w:tc>
          <w:tcPr>
            <w:tcW w:w="1846" w:type="pct"/>
            <w:tcMar>
              <w:top w:w="90" w:type="dxa"/>
              <w:left w:w="90" w:type="dxa"/>
              <w:bottom w:w="90" w:type="dxa"/>
              <w:right w:w="90" w:type="dxa"/>
            </w:tcMar>
            <w:vAlign w:val="center"/>
          </w:tcPr>
          <w:p w14:paraId="49FB00A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Scheduling Capacity</w:t>
            </w:r>
          </w:p>
        </w:tc>
        <w:tc>
          <w:tcPr>
            <w:tcW w:w="3154" w:type="pct"/>
            <w:tcMar>
              <w:top w:w="90" w:type="dxa"/>
              <w:left w:w="90" w:type="dxa"/>
              <w:bottom w:w="90" w:type="dxa"/>
              <w:right w:w="90" w:type="dxa"/>
            </w:tcMar>
            <w:vAlign w:val="center"/>
          </w:tcPr>
          <w:p w14:paraId="3D55314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Slots used, new/warranty/extra split, peak days/times, area density</w:t>
            </w:r>
          </w:p>
        </w:tc>
      </w:tr>
      <w:tr w:rsidR="0084730D" w:rsidRPr="00335C63" w14:paraId="437ECE9C" w14:textId="77777777" w:rsidTr="00997D20">
        <w:trPr>
          <w:cantSplit/>
          <w:jc w:val="center"/>
        </w:trPr>
        <w:tc>
          <w:tcPr>
            <w:tcW w:w="1846" w:type="pct"/>
            <w:tcMar>
              <w:top w:w="90" w:type="dxa"/>
              <w:left w:w="90" w:type="dxa"/>
              <w:bottom w:w="90" w:type="dxa"/>
              <w:right w:w="90" w:type="dxa"/>
            </w:tcMar>
            <w:vAlign w:val="center"/>
          </w:tcPr>
          <w:p w14:paraId="0EB8B31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Refund Root Cause</w:t>
            </w:r>
          </w:p>
        </w:tc>
        <w:tc>
          <w:tcPr>
            <w:tcW w:w="3154" w:type="pct"/>
            <w:tcMar>
              <w:top w:w="90" w:type="dxa"/>
              <w:left w:w="90" w:type="dxa"/>
              <w:bottom w:w="90" w:type="dxa"/>
              <w:right w:w="90" w:type="dxa"/>
            </w:tcMar>
            <w:vAlign w:val="center"/>
          </w:tcPr>
          <w:p w14:paraId="5EBAE8B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Refund categories, amount/rate by area, pest, technician, and source</w:t>
            </w:r>
          </w:p>
        </w:tc>
      </w:tr>
      <w:tr w:rsidR="0084730D" w:rsidRPr="00335C63" w14:paraId="3A30E140" w14:textId="77777777" w:rsidTr="00997D20">
        <w:trPr>
          <w:cantSplit/>
          <w:jc w:val="center"/>
        </w:trPr>
        <w:tc>
          <w:tcPr>
            <w:tcW w:w="1846" w:type="pct"/>
            <w:tcMar>
              <w:top w:w="90" w:type="dxa"/>
              <w:left w:w="90" w:type="dxa"/>
              <w:bottom w:w="90" w:type="dxa"/>
              <w:right w:w="90" w:type="dxa"/>
            </w:tcMar>
            <w:vAlign w:val="center"/>
          </w:tcPr>
          <w:p w14:paraId="72C9027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Data Quality and Refresh</w:t>
            </w:r>
          </w:p>
        </w:tc>
        <w:tc>
          <w:tcPr>
            <w:tcW w:w="3154" w:type="pct"/>
            <w:tcMar>
              <w:top w:w="90" w:type="dxa"/>
              <w:left w:w="90" w:type="dxa"/>
              <w:bottom w:w="90" w:type="dxa"/>
              <w:right w:w="90" w:type="dxa"/>
            </w:tcMar>
            <w:vAlign w:val="center"/>
          </w:tcPr>
          <w:p w14:paraId="2471BB7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Missing values, duplicates, invalid dates, match confidence, weather coverage, refresh status</w:t>
            </w:r>
          </w:p>
        </w:tc>
      </w:tr>
      <w:tr w:rsidR="0084730D" w:rsidRPr="00335C63" w14:paraId="6643E2FB" w14:textId="77777777" w:rsidTr="00997D20">
        <w:trPr>
          <w:cantSplit/>
          <w:jc w:val="center"/>
        </w:trPr>
        <w:tc>
          <w:tcPr>
            <w:tcW w:w="1846" w:type="pct"/>
            <w:tcMar>
              <w:top w:w="90" w:type="dxa"/>
              <w:left w:w="90" w:type="dxa"/>
              <w:bottom w:w="90" w:type="dxa"/>
              <w:right w:w="90" w:type="dxa"/>
            </w:tcMar>
            <w:vAlign w:val="center"/>
          </w:tcPr>
          <w:p w14:paraId="003E301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Recommendation Log</w:t>
            </w:r>
          </w:p>
        </w:tc>
        <w:tc>
          <w:tcPr>
            <w:tcW w:w="3154" w:type="pct"/>
            <w:tcMar>
              <w:top w:w="90" w:type="dxa"/>
              <w:left w:w="90" w:type="dxa"/>
              <w:bottom w:w="90" w:type="dxa"/>
              <w:right w:w="90" w:type="dxa"/>
            </w:tcMar>
            <w:vAlign w:val="center"/>
          </w:tcPr>
          <w:p w14:paraId="6CC8968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Suggested action, reason, review label, management response, and outcome tracking</w:t>
            </w:r>
          </w:p>
        </w:tc>
      </w:tr>
    </w:tbl>
    <w:p w14:paraId="55679DE9" w14:textId="77777777" w:rsidR="0084730D" w:rsidRPr="00335C63" w:rsidRDefault="0084730D" w:rsidP="000F4170">
      <w:pPr>
        <w:spacing w:line="360" w:lineRule="auto" w:after="120"/>
        <w:jc w:val="left"/>
        <w:rPr>
          <w:rFonts w:ascii="Times New Roman" w:hAnsi="Times New Roman" w:cs="Times New Roman"/>
          <w:sz w:val="24"/>
          <w:szCs w:val="24"/>
        </w:rPr>
      </w:pPr>
    </w:p>
    <w:p w14:paraId="0321CE9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3.9 Data Governance and Privacy</w:t>
      </w:r>
    </w:p>
    <w:p w14:paraId="42FFFDC7"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dashboard will separate internal operational data from academic/reporting views. Sensitive fields such as customer names, phone numbers, and full addresses will be available only where needed for internal matching. Management dashboards and academic outputs will use customer IDs, general area/postcode, pest type, service type, and aggregated metrics. Technician-related analytics will be framed as review indicators for quality improvement rather than blame or direct causation.</w:t>
      </w:r>
    </w:p>
    <w:p w14:paraId="71B7A398" w14:textId="77777777" w:rsidR="008D6A1A" w:rsidRPr="00335C63" w:rsidRDefault="008D6A1A" w:rsidP="008D6A1A">
      <w:pPr>
        <w:spacing w:line="360" w:lineRule="auto" w:after="120"/>
        <w:jc w:val="left"/>
        <w:rPr>
          <w:rFonts w:ascii="Times New Roman" w:hAnsi="Times New Roman" w:cs="Times New Roman"/>
          <w:sz w:val="24"/>
          <w:szCs w:val="24"/>
        </w:rPr>
      </w:pPr>
    </w:p>
    <w:p w14:paraId="2D0BE911"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BigQuery model will support anonymised views for reporting. These views will remove or mask personally identifiable information while preserving the fields needed for analysis, such as service date, area, pest type, package type, claim status, refund category, and difficulty level. This supports privacy, ethics, and company confidence in using the system.</w:t>
      </w:r>
    </w:p>
    <w:p w14:paraId="3CF90BEA"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3.10 AI Recommendation Extension</w:t>
      </w:r>
    </w:p>
    <w:p w14:paraId="394AE893"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A future enhancement will connect a local Ollama model to the analytics system. The recommended design is to keep the AI outside BigQuery and Superset as a local service. The Python backend or worker will retrieve relevant scores from BigQuery, pass structured context to Ollama, and store the generated recommendation text back into the recommendation log for dashboard display.</w:t>
      </w:r>
    </w:p>
    <w:p w14:paraId="09C91DB5" w14:textId="77777777" w:rsidR="008D6A1A" w:rsidRPr="00335C63" w:rsidRDefault="008D6A1A" w:rsidP="008D6A1A">
      <w:pPr>
        <w:spacing w:line="360" w:lineRule="auto" w:after="120"/>
        <w:jc w:val="left"/>
        <w:rPr>
          <w:rFonts w:ascii="Times New Roman" w:hAnsi="Times New Roman" w:cs="Times New Roman"/>
          <w:sz w:val="24"/>
          <w:szCs w:val="24"/>
        </w:rPr>
      </w:pPr>
    </w:p>
    <w:p w14:paraId="0385551E"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This design avoids external AI API cost and protects company data. The AI will explain analytics-backed recommendations such as assigning an experienced technician, scheduling a follow-up within a specific window, reviewing an area/premise condition, or recommending a package-fit upsell. It will not make final decisions or invent unsupported claims.</w:t>
      </w:r>
    </w:p>
    <w:p w14:paraId="2D1F0165"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3.11 Computing Factors and Constraints</w:t>
      </w:r>
    </w:p>
    <w:tbl>
      <w:tblPr>
        <w:tblStyle w:val="TableGrid"/>
        <w:tblW w:w="5000" w:type="pct"/>
        <w:jc w:val="center"/>
        <w:tblLook w:val="04A0" w:firstRow="1" w:lastRow="0" w:firstColumn="1" w:lastColumn="0" w:noHBand="0" w:noVBand="1"/>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96"/>
        <w:gridCol w:w="2916"/>
        <w:gridCol w:w="3704"/>
      </w:tblGrid>
      <w:tr w:rsidR="0084730D" w:rsidRPr="00335C63" w14:paraId="5CB4D783" w14:textId="77777777" w:rsidTr="00997D20">
        <w:trPr>
          <w:cantSplit/>
          <w:tblHeader/>
          <w:jc w:val="center"/>
        </w:trPr>
        <w:tc>
          <w:tcPr>
            <w:tcW w:w="1329" w:type="pct"/>
            <w:shd w:val="clear" w:color="auto" w:fill="E8F1FA"/>
            <w:tcMar>
              <w:top w:w="90" w:type="dxa"/>
              <w:left w:w="90" w:type="dxa"/>
              <w:bottom w:w="90" w:type="dxa"/>
              <w:right w:w="90" w:type="dxa"/>
            </w:tcMar>
            <w:vAlign w:val="center"/>
            <w:shd w:fill="DCEAF7"/>
          </w:tcPr>
          <w:p w14:paraId="19853A9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Factor</w:t>
            </w:r>
          </w:p>
        </w:tc>
        <w:tc>
          <w:tcPr>
            <w:tcW w:w="1617" w:type="pct"/>
            <w:shd w:val="clear" w:color="auto" w:fill="E8F1FA"/>
            <w:tcMar>
              <w:top w:w="90" w:type="dxa"/>
              <w:left w:w="90" w:type="dxa"/>
              <w:bottom w:w="90" w:type="dxa"/>
              <w:right w:w="90" w:type="dxa"/>
            </w:tcMar>
            <w:vAlign w:val="center"/>
            <w:shd w:fill="DCEAF7"/>
          </w:tcPr>
          <w:p w14:paraId="27255D7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Consideration</w:t>
            </w:r>
          </w:p>
        </w:tc>
        <w:tc>
          <w:tcPr>
            <w:tcW w:w="2054" w:type="pct"/>
            <w:shd w:val="clear" w:color="auto" w:fill="E8F1FA"/>
            <w:tcMar>
              <w:top w:w="90" w:type="dxa"/>
              <w:left w:w="90" w:type="dxa"/>
              <w:bottom w:w="90" w:type="dxa"/>
              <w:right w:w="90" w:type="dxa"/>
            </w:tcMar>
            <w:vAlign w:val="center"/>
            <w:shd w:fill="DCEAF7"/>
          </w:tcPr>
          <w:p w14:paraId="5F806BC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Proposed Handling</w:t>
            </w:r>
          </w:p>
        </w:tc>
      </w:tr>
      <w:tr w:rsidR="0084730D" w:rsidRPr="00335C63" w14:paraId="0C378453" w14:textId="77777777" w:rsidTr="00997D20">
        <w:trPr>
          <w:cantSplit/>
          <w:jc w:val="center"/>
        </w:trPr>
        <w:tc>
          <w:tcPr>
            <w:tcW w:w="1329" w:type="pct"/>
            <w:tcMar>
              <w:top w:w="90" w:type="dxa"/>
              <w:left w:w="90" w:type="dxa"/>
              <w:bottom w:w="90" w:type="dxa"/>
              <w:right w:w="90" w:type="dxa"/>
            </w:tcMar>
            <w:vAlign w:val="center"/>
          </w:tcPr>
          <w:p w14:paraId="20BCAB5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Performance</w:t>
            </w:r>
          </w:p>
        </w:tc>
        <w:tc>
          <w:tcPr>
            <w:tcW w:w="1617" w:type="pct"/>
            <w:tcMar>
              <w:top w:w="90" w:type="dxa"/>
              <w:left w:w="90" w:type="dxa"/>
              <w:bottom w:w="90" w:type="dxa"/>
              <w:right w:w="90" w:type="dxa"/>
            </w:tcMar>
            <w:vAlign w:val="center"/>
          </w:tcPr>
          <w:p w14:paraId="0105C78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Dashboard queries should remain responsive</w:t>
            </w:r>
          </w:p>
        </w:tc>
        <w:tc>
          <w:tcPr>
            <w:tcW w:w="2054" w:type="pct"/>
            <w:tcMar>
              <w:top w:w="90" w:type="dxa"/>
              <w:left w:w="90" w:type="dxa"/>
              <w:bottom w:w="90" w:type="dxa"/>
              <w:right w:w="90" w:type="dxa"/>
            </w:tcMar>
            <w:vAlign w:val="center"/>
          </w:tcPr>
          <w:p w14:paraId="55C546B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BigQuery marts and scheduled transformations rather than recalculating every chart live</w:t>
            </w:r>
          </w:p>
        </w:tc>
      </w:tr>
      <w:tr w:rsidR="0084730D" w:rsidRPr="00335C63" w14:paraId="5785DAFF" w14:textId="77777777" w:rsidTr="00997D20">
        <w:trPr>
          <w:cantSplit/>
          <w:jc w:val="center"/>
        </w:trPr>
        <w:tc>
          <w:tcPr>
            <w:tcW w:w="1329" w:type="pct"/>
            <w:tcMar>
              <w:top w:w="90" w:type="dxa"/>
              <w:left w:w="90" w:type="dxa"/>
              <w:bottom w:w="90" w:type="dxa"/>
              <w:right w:w="90" w:type="dxa"/>
            </w:tcMar>
            <w:vAlign w:val="center"/>
          </w:tcPr>
          <w:p w14:paraId="48DC23E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Security and privacy</w:t>
            </w:r>
          </w:p>
        </w:tc>
        <w:tc>
          <w:tcPr>
            <w:tcW w:w="1617" w:type="pct"/>
            <w:tcMar>
              <w:top w:w="90" w:type="dxa"/>
              <w:left w:w="90" w:type="dxa"/>
              <w:bottom w:w="90" w:type="dxa"/>
              <w:right w:w="90" w:type="dxa"/>
            </w:tcMar>
            <w:vAlign w:val="center"/>
          </w:tcPr>
          <w:p w14:paraId="405AB7F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Customer names, phone numbers, and locations are sensitive</w:t>
            </w:r>
          </w:p>
        </w:tc>
        <w:tc>
          <w:tcPr>
            <w:tcW w:w="2054" w:type="pct"/>
            <w:tcMar>
              <w:top w:w="90" w:type="dxa"/>
              <w:left w:w="90" w:type="dxa"/>
              <w:bottom w:w="90" w:type="dxa"/>
              <w:right w:w="90" w:type="dxa"/>
            </w:tcMar>
            <w:vAlign w:val="center"/>
          </w:tcPr>
          <w:p w14:paraId="734FCD5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access control, anonymised reports, customer IDs, and area/postcode-level coordinates</w:t>
            </w:r>
          </w:p>
        </w:tc>
      </w:tr>
      <w:tr w:rsidR="0084730D" w:rsidRPr="00335C63" w14:paraId="6ED39400" w14:textId="77777777" w:rsidTr="00997D20">
        <w:trPr>
          <w:cantSplit/>
          <w:jc w:val="center"/>
        </w:trPr>
        <w:tc>
          <w:tcPr>
            <w:tcW w:w="1329" w:type="pct"/>
            <w:tcMar>
              <w:top w:w="90" w:type="dxa"/>
              <w:left w:w="90" w:type="dxa"/>
              <w:bottom w:w="90" w:type="dxa"/>
              <w:right w:w="90" w:type="dxa"/>
            </w:tcMar>
            <w:vAlign w:val="center"/>
          </w:tcPr>
          <w:p w14:paraId="452F58A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Ethics</w:t>
            </w:r>
          </w:p>
        </w:tc>
        <w:tc>
          <w:tcPr>
            <w:tcW w:w="1617" w:type="pct"/>
            <w:tcMar>
              <w:top w:w="90" w:type="dxa"/>
              <w:left w:w="90" w:type="dxa"/>
              <w:bottom w:w="90" w:type="dxa"/>
              <w:right w:w="90" w:type="dxa"/>
            </w:tcMar>
            <w:vAlign w:val="center"/>
          </w:tcPr>
          <w:p w14:paraId="4468EDB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Technician and weather analysis can be misread as blame or causation</w:t>
            </w:r>
          </w:p>
        </w:tc>
        <w:tc>
          <w:tcPr>
            <w:tcW w:w="2054" w:type="pct"/>
            <w:tcMar>
              <w:top w:w="90" w:type="dxa"/>
              <w:left w:w="90" w:type="dxa"/>
              <w:bottom w:w="90" w:type="dxa"/>
              <w:right w:w="90" w:type="dxa"/>
            </w:tcMar>
            <w:vAlign w:val="center"/>
          </w:tcPr>
          <w:p w14:paraId="0874404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wording such as review indicator, associated factor, and requires manual review</w:t>
            </w:r>
          </w:p>
        </w:tc>
      </w:tr>
      <w:tr w:rsidR="0084730D" w:rsidRPr="00335C63" w14:paraId="1BBAA2B2" w14:textId="77777777" w:rsidTr="00997D20">
        <w:trPr>
          <w:cantSplit/>
          <w:jc w:val="center"/>
        </w:trPr>
        <w:tc>
          <w:tcPr>
            <w:tcW w:w="1329" w:type="pct"/>
            <w:tcMar>
              <w:top w:w="90" w:type="dxa"/>
              <w:left w:w="90" w:type="dxa"/>
              <w:bottom w:w="90" w:type="dxa"/>
              <w:right w:w="90" w:type="dxa"/>
            </w:tcMar>
            <w:vAlign w:val="center"/>
          </w:tcPr>
          <w:p w14:paraId="45E1AF8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Usability</w:t>
            </w:r>
          </w:p>
        </w:tc>
        <w:tc>
          <w:tcPr>
            <w:tcW w:w="1617" w:type="pct"/>
            <w:tcMar>
              <w:top w:w="90" w:type="dxa"/>
              <w:left w:w="90" w:type="dxa"/>
              <w:bottom w:w="90" w:type="dxa"/>
              <w:right w:w="90" w:type="dxa"/>
            </w:tcMar>
            <w:vAlign w:val="center"/>
          </w:tcPr>
          <w:p w14:paraId="7E17745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Management needs quick insights, not technical complexity</w:t>
            </w:r>
          </w:p>
        </w:tc>
        <w:tc>
          <w:tcPr>
            <w:tcW w:w="2054" w:type="pct"/>
            <w:tcMar>
              <w:top w:w="90" w:type="dxa"/>
              <w:left w:w="90" w:type="dxa"/>
              <w:bottom w:w="90" w:type="dxa"/>
              <w:right w:w="90" w:type="dxa"/>
            </w:tcMar>
            <w:vAlign w:val="center"/>
          </w:tcPr>
          <w:p w14:paraId="64D6B3B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KPI cards, maps, filters, ranking tables, and short recommendations</w:t>
            </w:r>
          </w:p>
        </w:tc>
      </w:tr>
      <w:tr w:rsidR="0084730D" w:rsidRPr="00335C63" w14:paraId="4A7151C9" w14:textId="77777777" w:rsidTr="00997D20">
        <w:trPr>
          <w:cantSplit/>
          <w:jc w:val="center"/>
        </w:trPr>
        <w:tc>
          <w:tcPr>
            <w:tcW w:w="1329" w:type="pct"/>
            <w:tcMar>
              <w:top w:w="90" w:type="dxa"/>
              <w:left w:w="90" w:type="dxa"/>
              <w:bottom w:w="90" w:type="dxa"/>
              <w:right w:w="90" w:type="dxa"/>
            </w:tcMar>
            <w:vAlign w:val="center"/>
          </w:tcPr>
          <w:p w14:paraId="6200474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Data quality</w:t>
            </w:r>
          </w:p>
        </w:tc>
        <w:tc>
          <w:tcPr>
            <w:tcW w:w="1617" w:type="pct"/>
            <w:tcMar>
              <w:top w:w="90" w:type="dxa"/>
              <w:left w:w="90" w:type="dxa"/>
              <w:bottom w:w="90" w:type="dxa"/>
              <w:right w:w="90" w:type="dxa"/>
            </w:tcMar>
            <w:vAlign w:val="center"/>
          </w:tcPr>
          <w:p w14:paraId="3FBA521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Sheets may contain duplicates, missing fields, inconsistent labels</w:t>
            </w:r>
          </w:p>
        </w:tc>
        <w:tc>
          <w:tcPr>
            <w:tcW w:w="2054" w:type="pct"/>
            <w:tcMar>
              <w:top w:w="90" w:type="dxa"/>
              <w:left w:w="90" w:type="dxa"/>
              <w:bottom w:w="90" w:type="dxa"/>
              <w:right w:w="90" w:type="dxa"/>
            </w:tcMar>
            <w:vAlign w:val="center"/>
          </w:tcPr>
          <w:p w14:paraId="69ED2A0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Create cleaning rules, validation reports, unmatched-record logs, and data quality dashboard</w:t>
            </w:r>
          </w:p>
        </w:tc>
      </w:tr>
      <w:tr w:rsidR="0084730D" w:rsidRPr="00335C63" w14:paraId="1BA023C6" w14:textId="77777777" w:rsidTr="00997D20">
        <w:trPr>
          <w:cantSplit/>
          <w:jc w:val="center"/>
        </w:trPr>
        <w:tc>
          <w:tcPr>
            <w:tcW w:w="1329" w:type="pct"/>
            <w:tcMar>
              <w:top w:w="90" w:type="dxa"/>
              <w:left w:w="90" w:type="dxa"/>
              <w:bottom w:w="90" w:type="dxa"/>
              <w:right w:w="90" w:type="dxa"/>
            </w:tcMar>
            <w:vAlign w:val="center"/>
          </w:tcPr>
          <w:p w14:paraId="785B7BA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lastRenderedPageBreak/>
              <w:t>Refresh reliability</w:t>
            </w:r>
          </w:p>
        </w:tc>
        <w:tc>
          <w:tcPr>
            <w:tcW w:w="1617" w:type="pct"/>
            <w:tcMar>
              <w:top w:w="90" w:type="dxa"/>
              <w:left w:w="90" w:type="dxa"/>
              <w:bottom w:w="90" w:type="dxa"/>
              <w:right w:w="90" w:type="dxa"/>
            </w:tcMar>
            <w:vAlign w:val="center"/>
          </w:tcPr>
          <w:p w14:paraId="68A3F4F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Company data changes over time</w:t>
            </w:r>
          </w:p>
        </w:tc>
        <w:tc>
          <w:tcPr>
            <w:tcW w:w="2054" w:type="pct"/>
            <w:tcMar>
              <w:top w:w="90" w:type="dxa"/>
              <w:left w:w="90" w:type="dxa"/>
              <w:bottom w:w="90" w:type="dxa"/>
              <w:right w:w="90" w:type="dxa"/>
            </w:tcMar>
            <w:vAlign w:val="center"/>
          </w:tcPr>
          <w:p w14:paraId="74F950D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scheduled ETL/queries and show last refresh time and failed refresh status</w:t>
            </w:r>
          </w:p>
        </w:tc>
      </w:tr>
      <w:tr w:rsidR="0084730D" w:rsidRPr="00335C63" w14:paraId="33163FFC" w14:textId="77777777" w:rsidTr="00997D20">
        <w:trPr>
          <w:cantSplit/>
          <w:jc w:val="center"/>
        </w:trPr>
        <w:tc>
          <w:tcPr>
            <w:tcW w:w="1329" w:type="pct"/>
            <w:tcMar>
              <w:top w:w="90" w:type="dxa"/>
              <w:left w:w="90" w:type="dxa"/>
              <w:bottom w:w="90" w:type="dxa"/>
              <w:right w:w="90" w:type="dxa"/>
            </w:tcMar>
            <w:vAlign w:val="center"/>
          </w:tcPr>
          <w:p w14:paraId="6989359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Cost</w:t>
            </w:r>
          </w:p>
        </w:tc>
        <w:tc>
          <w:tcPr>
            <w:tcW w:w="1617" w:type="pct"/>
            <w:tcMar>
              <w:top w:w="90" w:type="dxa"/>
              <w:left w:w="90" w:type="dxa"/>
              <w:bottom w:w="90" w:type="dxa"/>
              <w:right w:w="90" w:type="dxa"/>
            </w:tcMar>
            <w:vAlign w:val="center"/>
          </w:tcPr>
          <w:p w14:paraId="4FD92FA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Company prefers low-cost tools</w:t>
            </w:r>
          </w:p>
        </w:tc>
        <w:tc>
          <w:tcPr>
            <w:tcW w:w="2054" w:type="pct"/>
            <w:tcMar>
              <w:top w:w="90" w:type="dxa"/>
              <w:left w:w="90" w:type="dxa"/>
              <w:bottom w:w="90" w:type="dxa"/>
              <w:right w:w="90" w:type="dxa"/>
            </w:tcMar>
            <w:vAlign w:val="center"/>
          </w:tcPr>
          <w:p w14:paraId="5A05FF0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BigQuery within free/low usage limits, Superset open source, Open-Meteo, and local Ollama later</w:t>
            </w:r>
          </w:p>
        </w:tc>
      </w:tr>
      <w:tr w:rsidR="0084730D" w:rsidRPr="00335C63" w14:paraId="2597DBB1" w14:textId="77777777" w:rsidTr="00997D20">
        <w:trPr>
          <w:cantSplit/>
          <w:jc w:val="center"/>
        </w:trPr>
        <w:tc>
          <w:tcPr>
            <w:tcW w:w="1329" w:type="pct"/>
            <w:tcMar>
              <w:top w:w="90" w:type="dxa"/>
              <w:left w:w="90" w:type="dxa"/>
              <w:bottom w:w="90" w:type="dxa"/>
              <w:right w:w="90" w:type="dxa"/>
            </w:tcMar>
            <w:vAlign w:val="center"/>
          </w:tcPr>
          <w:p w14:paraId="77A16B1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Model reliability</w:t>
            </w:r>
          </w:p>
        </w:tc>
        <w:tc>
          <w:tcPr>
            <w:tcW w:w="1617" w:type="pct"/>
            <w:tcMar>
              <w:top w:w="90" w:type="dxa"/>
              <w:left w:w="90" w:type="dxa"/>
              <w:bottom w:w="90" w:type="dxa"/>
              <w:right w:w="90" w:type="dxa"/>
            </w:tcMar>
            <w:vAlign w:val="center"/>
          </w:tcPr>
          <w:p w14:paraId="0696CC5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Warranty dataset is limited</w:t>
            </w:r>
          </w:p>
        </w:tc>
        <w:tc>
          <w:tcPr>
            <w:tcW w:w="2054" w:type="pct"/>
            <w:tcMar>
              <w:top w:w="90" w:type="dxa"/>
              <w:left w:w="90" w:type="dxa"/>
              <w:bottom w:w="90" w:type="dxa"/>
              <w:right w:w="90" w:type="dxa"/>
            </w:tcMar>
            <w:vAlign w:val="center"/>
          </w:tcPr>
          <w:p w14:paraId="622AF8C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Prefer explainable scoring and simple statistical methods before complex ML</w:t>
            </w:r>
          </w:p>
        </w:tc>
      </w:tr>
      <w:tr w:rsidR="00BB18A2" w14:paraId="58B6F22D" w14:textId="77777777">
        <w:trPr>
          <w:jc w:val="center"/>
        </w:trPr>
        <w:tc>
          <w:tcPr>
            <w:tcW w:w="2396" w:type="dxa"/>
            <w:vAlign w:val="center"/>
          </w:tcPr>
          <w:p w14:paraId="4DD3DB82" w14:textId="77777777" w:rsidR="00BB18A2" w:rsidRDefault="00000000">
            <w:pPr>
              <w:spacing w:line="276" w:lineRule="auto" w:after="60"/>
              <w:jc w:val="left"/>
            </w:pPr>
            <w:r>
              <w:rPr>
                <w:rFonts w:ascii="Times New Roman" w:hAnsi="Times New Roman" w:eastAsia="Times New Roman" w:cs="Times New Roman"/>
                <w:sz w:val="21"/>
              </w:rPr>
              <w:t>Pipeline complexity</w:t>
            </w:r>
          </w:p>
        </w:tc>
        <w:tc>
          <w:tcPr>
            <w:tcW w:w="2916" w:type="dxa"/>
            <w:vAlign w:val="center"/>
          </w:tcPr>
          <w:p w14:paraId="5398EBA2" w14:textId="77777777" w:rsidR="00BB18A2" w:rsidRDefault="00000000">
            <w:pPr>
              <w:spacing w:line="276" w:lineRule="auto" w:after="60"/>
              <w:jc w:val="left"/>
            </w:pPr>
            <w:r>
              <w:rPr>
                <w:rFonts w:ascii="Times New Roman" w:hAnsi="Times New Roman" w:eastAsia="Times New Roman" w:cs="Times New Roman"/>
                <w:sz w:val="21"/>
              </w:rPr>
              <w:t>Airflow and dbt add setup effort compared with a simple script</w:t>
            </w:r>
          </w:p>
        </w:tc>
        <w:tc>
          <w:tcPr>
            <w:tcW w:w="3704" w:type="dxa"/>
            <w:vAlign w:val="center"/>
          </w:tcPr>
          <w:p w14:paraId="2C9484CA" w14:textId="77777777" w:rsidR="00BB18A2" w:rsidRDefault="00000000">
            <w:pPr>
              <w:spacing w:line="276" w:lineRule="auto" w:after="60"/>
              <w:jc w:val="left"/>
            </w:pPr>
            <w:r>
              <w:rPr>
                <w:rFonts w:ascii="Times New Roman" w:hAnsi="Times New Roman" w:eastAsia="Times New Roman" w:cs="Times New Roman"/>
                <w:sz w:val="21"/>
              </w:rPr>
              <w:t>Keep the DAG small, use batch refresh, document fallback manual runs, and prioritise core tables first</w:t>
            </w:r>
          </w:p>
        </w:tc>
      </w:tr>
      <w:tr w:rsidR="00BB18A2" w14:paraId="2713ED82" w14:textId="77777777">
        <w:trPr>
          <w:jc w:val="center"/>
        </w:trPr>
        <w:tc>
          <w:tcPr>
            <w:tcW w:w="2396" w:type="dxa"/>
            <w:vAlign w:val="center"/>
          </w:tcPr>
          <w:p w14:paraId="7D759C68" w14:textId="77777777" w:rsidR="00BB18A2" w:rsidRDefault="00000000">
            <w:pPr>
              <w:spacing w:line="276" w:lineRule="auto" w:after="60"/>
              <w:jc w:val="left"/>
            </w:pPr>
            <w:r>
              <w:rPr>
                <w:rFonts w:ascii="Times New Roman" w:hAnsi="Times New Roman" w:eastAsia="Times New Roman" w:cs="Times New Roman"/>
                <w:sz w:val="21"/>
              </w:rPr>
              <w:t>Schema flexibility</w:t>
            </w:r>
          </w:p>
        </w:tc>
        <w:tc>
          <w:tcPr>
            <w:tcW w:w="2916" w:type="dxa"/>
            <w:vAlign w:val="center"/>
          </w:tcPr>
          <w:p w14:paraId="23FE4FD9" w14:textId="77777777" w:rsidR="00BB18A2" w:rsidRDefault="00000000">
            <w:pPr>
              <w:spacing w:line="276" w:lineRule="auto" w:after="60"/>
              <w:jc w:val="left"/>
            </w:pPr>
            <w:r>
              <w:rPr>
                <w:rFonts w:ascii="Times New Roman" w:hAnsi="Times New Roman" w:eastAsia="Times New Roman" w:cs="Times New Roman"/>
                <w:sz w:val="21"/>
              </w:rPr>
              <w:t>Company sheets may change column names or contain messy formats</w:t>
            </w:r>
          </w:p>
        </w:tc>
        <w:tc>
          <w:tcPr>
            <w:tcW w:w="3704" w:type="dxa"/>
            <w:vAlign w:val="center"/>
          </w:tcPr>
          <w:p w14:paraId="6E49FA4A" w14:textId="77777777" w:rsidR="00BB18A2" w:rsidRDefault="00000000">
            <w:pPr>
              <w:spacing w:line="276" w:lineRule="auto" w:after="60"/>
              <w:jc w:val="left"/>
            </w:pPr>
            <w:r>
              <w:rPr>
                <w:rFonts w:ascii="Times New Roman" w:hAnsi="Times New Roman" w:eastAsia="Times New Roman" w:cs="Times New Roman"/>
                <w:sz w:val="21"/>
              </w:rPr>
              <w:t>Use flexible data contracts, alias mapping, validation flags, and source-level quality status</w:t>
            </w:r>
          </w:p>
        </w:tc>
      </w:tr>
    </w:tbl>
    <w:p w14:paraId="428B5B2F" w14:textId="77777777" w:rsidR="0084730D" w:rsidRPr="00335C63" w:rsidRDefault="0084730D" w:rsidP="000F4170">
      <w:pPr>
        <w:spacing w:line="360" w:lineRule="auto" w:after="120"/>
        <w:jc w:val="left"/>
        <w:rPr>
          <w:rFonts w:ascii="Times New Roman" w:hAnsi="Times New Roman" w:cs="Times New Roman"/>
          <w:sz w:val="24"/>
          <w:szCs w:val="24"/>
        </w:rPr>
      </w:pPr>
    </w:p>
    <w:p w14:paraId="7735F46F"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3.12 Evaluation Plan</w:t>
      </w:r>
    </w:p>
    <w:p w14:paraId="6BEF48C6"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Functional testing: verify data upload/sync, cleaning outputs, BigQuery table creation, and dashboard refresh.</w:t>
      </w:r>
    </w:p>
    <w:p w14:paraId="55C7B6E9"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Data quality testing: verify missing-value summaries, duplicate counts, invalid-date flags, unmatched-customer logs, coordinate match confidence, weather coverage, and calendar matching confidence.</w:t>
      </w:r>
    </w:p>
    <w:p w14:paraId="69C0E088"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Refresh testing: confirm scheduled ETL or BigQuery scheduled queries update marts and show last refresh status.</w:t>
      </w:r>
    </w:p>
    <w:p w14:paraId="2772C415"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Analytics validation: compare selected dashboard metrics against manual spreadsheet calculations.</w:t>
      </w:r>
    </w:p>
    <w:p w14:paraId="78D92B13"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Usability testing: ask management or operations users to complete business questions using the dashboard.</w:t>
      </w:r>
    </w:p>
    <w:p w14:paraId="3E5662C0"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Privacy testing: confirm anonymised views remove customer names, phone numbers, and full address fields from academic/reporting outputs.</w:t>
      </w:r>
    </w:p>
    <w:p w14:paraId="13173A7E"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lastRenderedPageBreak/>
        <w:t>Recommendation testing: verify recommendation log fields are generated and that management response/outcome can be tracked.</w:t>
      </w:r>
    </w:p>
    <w:p w14:paraId="7D2BA5F9"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Insight usefulness: collect feedback on whether area risk, recurrence, treatment difficulty, and upsell outputs are actionable.</w:t>
      </w:r>
    </w:p>
    <w:p w14:paraId="0E8B3620"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Method review: confirm that weather and technician analysis is framed as association/review indicator, not direct blame or causation.</w:t>
      </w:r>
    </w:p>
    <w:p w14:paraId="0DA81610"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Chapter 4: Work Plan and Timeline</w:t>
      </w:r>
    </w:p>
    <w:p w14:paraId="04630C47"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project will be completed in iterative stages. The timeline below assumes a 14-week capstone implementation period after proposal approval. Activities are arranged to reduce risk: data understanding and warehouse design come first, then analytics logic, then dashboards, then evaluation.</w:t>
      </w:r>
    </w:p>
    <w:p w14:paraId="66DAB690" w14:textId="77777777" w:rsidR="00984EB3" w:rsidRDefault="003C0C08">
      <w:pPr>
        <w:pStyle w:val="Heading2"/>
        <w:spacing w:line="360" w:lineRule="auto" w:after="120" w:before="160"/>
        <w:jc w:val="left"/>
      </w:pPr>
      <w:r>
        <w:rPr>
          <w:rFonts w:ascii="Times New Roman" w:hAnsi="Times New Roman" w:eastAsia="Times New Roman" w:cs="Times New Roman"/>
          <w:b/>
          <w:color w:val="000000"/>
          <w:sz w:val="24"/>
        </w:rPr>
        <w:t>4.1 Proposed CP1 Gantt Chart</w:t>
      </w:r>
    </w:p>
    <w:p w14:paraId="6F9AAA0C" w14:textId="77777777" w:rsidR="00984EB3" w:rsidRPr="008D6A1A"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The Gantt chart below summarises the proposed CP1 planning timeline. It focuses on proposal preparation, literature review, methodology design, data understanding, architecture planning, and report finalisation. System implementation, dashboard development, and company evaluation will continue in CP2.</w:t>
      </w:r>
    </w:p>
    <w:p w14:paraId="1B7A723E" w14:textId="77777777" w:rsidR="00984EB3" w:rsidRDefault="00984EB3">
      <w:pPr>
        <w:spacing w:line="360" w:lineRule="auto" w:after="120"/>
        <w:jc w:val="left"/>
      </w:pPr>
    </w:p>
    <w:p w14:paraId="437D6CF2" w14:textId="77777777" w:rsidR="00984EB3" w:rsidRDefault="003C0C08">
      <w:pPr>
        <w:spacing w:line="360" w:lineRule="auto" w:after="120"/>
        <w:jc w:val="center"/>
      </w:pPr>
      <w:r>
        <w:rPr>
          <w:rFonts w:ascii="Times New Roman" w:hAnsi="Times New Roman" w:eastAsia="Times New Roman" w:cs="Times New Roman"/>
          <w:i/>
          <w:sz w:val="24"/>
        </w:rPr>
        <w:t>Figure 4.1: Proposed Gantt chart for Capstone Project 1 planning activities.</w:t>
      </w:r>
    </w:p>
    <w:p>
      <w:pPr>
        <w:pStyle w:val="Heading2"/>
        <w:spacing w:line="360" w:lineRule="auto" w:after="120" w:before="160"/>
        <w:jc w:val="left"/>
      </w:pPr>
      <w:r>
        <w:rPr>
          <w:rFonts w:ascii="Times New Roman" w:hAnsi="Times New Roman" w:eastAsia="Times New Roman"/>
          <w:b/>
          <w:color w:val="000000"/>
          <w:sz w:val="24"/>
        </w:rPr>
        <w:t>4.2 Proposed CP2 Gantt Chart</w:t>
      </w:r>
    </w:p>
    <w:p>
      <w:pPr>
        <w:spacing w:line="360" w:lineRule="auto" w:after="120"/>
        <w:jc w:val="both"/>
      </w:pPr>
      <w:r>
        <w:rPr>
          <w:rFonts w:ascii="Times New Roman" w:hAnsi="Times New Roman" w:eastAsia="Times New Roman"/>
          <w:sz w:val="24"/>
        </w:rPr>
        <w:t>The CP2 Gantt chart will guide the implementation semester. It covers source profiling, Python extraction, BigQuery loading, dbt transformations, weather enrichment, analytics mart development, Apache Superset dashboard creation, recommendation logging, testing, user feedback, and final presentation preparation. The editable Gantt workbook is saved separately so the timeline can be refined after supervisor approval.</w:t>
      </w:r>
    </w:p>
    <w:tbl>
      <w:tblPr>
        <w:tblW w:type="auto" w:w="0"/>
        <w:tblLook w:firstColumn="1" w:firstRow="1" w:lastColumn="0" w:lastRow="0" w:noHBand="0" w:noVBand="1" w:val="04A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56"/>
        <w:gridCol w:w="2256"/>
        <w:gridCol w:w="2256"/>
        <w:gridCol w:w="2256"/>
      </w:tblGrid>
      <w:tr>
        <w:tc>
          <w:tcPr>
            <w:tcW w:type="dxa" w:w="2256"/>
            <w:shd w:fill="1F2937"/>
            <w:vAlign w:val="center"/>
            <w:shd w:fill="DCEAF7"/>
          </w:tcPr>
          <w:p>
            <w:pPr>
              <w:spacing w:line="276" w:lineRule="auto" w:after="60"/>
              <w:jc w:val="left"/>
            </w:pPr>
            <w:r>
              <w:rPr>
                <w:rFonts w:ascii="Times New Roman" w:hAnsi="Times New Roman" w:eastAsia="Times New Roman"/>
                <w:b/>
                <w:color w:val="FFFFFF"/>
                <w:sz w:val="21"/>
              </w:rPr>
              <w:t>CP2 Phase</w:t>
            </w:r>
          </w:p>
        </w:tc>
        <w:tc>
          <w:tcPr>
            <w:tcW w:type="dxa" w:w="2256"/>
            <w:shd w:fill="1F2937"/>
            <w:vAlign w:val="center"/>
            <w:shd w:fill="DCEAF7"/>
          </w:tcPr>
          <w:p>
            <w:pPr>
              <w:spacing w:line="276" w:lineRule="auto" w:after="60"/>
              <w:jc w:val="left"/>
            </w:pPr>
            <w:r>
              <w:rPr>
                <w:rFonts w:ascii="Times New Roman" w:hAnsi="Times New Roman" w:eastAsia="Times New Roman"/>
                <w:b/>
                <w:color w:val="FFFFFF"/>
                <w:sz w:val="21"/>
              </w:rPr>
              <w:t>Main Work</w:t>
            </w:r>
          </w:p>
        </w:tc>
        <w:tc>
          <w:tcPr>
            <w:tcW w:type="dxa" w:w="2256"/>
            <w:shd w:fill="1F2937"/>
            <w:vAlign w:val="center"/>
            <w:shd w:fill="DCEAF7"/>
          </w:tcPr>
          <w:p>
            <w:pPr>
              <w:spacing w:line="276" w:lineRule="auto" w:after="60"/>
              <w:jc w:val="left"/>
            </w:pPr>
            <w:r>
              <w:rPr>
                <w:rFonts w:ascii="Times New Roman" w:hAnsi="Times New Roman" w:eastAsia="Times New Roman"/>
                <w:b/>
                <w:color w:val="FFFFFF"/>
                <w:sz w:val="21"/>
              </w:rPr>
              <w:t>Planned Weeks</w:t>
            </w:r>
          </w:p>
        </w:tc>
        <w:tc>
          <w:tcPr>
            <w:tcW w:type="dxa" w:w="2256"/>
            <w:shd w:fill="1F2937"/>
            <w:vAlign w:val="center"/>
            <w:shd w:fill="DCEAF7"/>
          </w:tcPr>
          <w:p>
            <w:pPr>
              <w:spacing w:line="276" w:lineRule="auto" w:after="60"/>
              <w:jc w:val="left"/>
            </w:pPr>
            <w:r>
              <w:rPr>
                <w:rFonts w:ascii="Times New Roman" w:hAnsi="Times New Roman" w:eastAsia="Times New Roman"/>
                <w:b/>
                <w:color w:val="FFFFFF"/>
                <w:sz w:val="21"/>
              </w:rPr>
              <w:t>Expected Output</w:t>
            </w:r>
          </w:p>
        </w:tc>
      </w:tr>
      <w:tr>
        <w:tc>
          <w:tcPr>
            <w:tcW w:type="dxa" w:w="2256"/>
            <w:vAlign w:val="center"/>
          </w:tcPr>
          <w:p>
            <w:pPr>
              <w:spacing w:line="276" w:lineRule="auto" w:after="60"/>
              <w:jc w:val="left"/>
            </w:pPr>
            <w:r>
              <w:rPr>
                <w:rFonts w:ascii="Times New Roman" w:hAnsi="Times New Roman" w:eastAsia="Times New Roman"/>
                <w:sz w:val="21"/>
              </w:rPr>
              <w:t>Setup and profiling</w:t>
            </w:r>
          </w:p>
        </w:tc>
        <w:tc>
          <w:tcPr>
            <w:tcW w:type="dxa" w:w="2256"/>
            <w:vAlign w:val="center"/>
          </w:tcPr>
          <w:p>
            <w:pPr>
              <w:spacing w:line="276" w:lineRule="auto" w:after="60"/>
              <w:jc w:val="left"/>
            </w:pPr>
            <w:r>
              <w:rPr>
                <w:rFonts w:ascii="Times New Roman" w:hAnsi="Times New Roman" w:eastAsia="Times New Roman"/>
                <w:sz w:val="21"/>
              </w:rPr>
              <w:t>Configure repository, environments, source access and data profiling scripts.</w:t>
            </w:r>
          </w:p>
        </w:tc>
        <w:tc>
          <w:tcPr>
            <w:tcW w:type="dxa" w:w="2256"/>
            <w:vAlign w:val="center"/>
          </w:tcPr>
          <w:p>
            <w:pPr>
              <w:spacing w:line="276" w:lineRule="auto" w:after="60"/>
              <w:jc w:val="left"/>
            </w:pPr>
            <w:r>
              <w:rPr>
                <w:rFonts w:ascii="Times New Roman" w:hAnsi="Times New Roman" w:eastAsia="Times New Roman"/>
                <w:sz w:val="21"/>
              </w:rPr>
              <w:t>Weeks 1-3</w:t>
            </w:r>
          </w:p>
        </w:tc>
        <w:tc>
          <w:tcPr>
            <w:tcW w:type="dxa" w:w="2256"/>
            <w:vAlign w:val="center"/>
          </w:tcPr>
          <w:p>
            <w:pPr>
              <w:spacing w:line="276" w:lineRule="auto" w:after="60"/>
              <w:jc w:val="left"/>
            </w:pPr>
            <w:r>
              <w:rPr>
                <w:rFonts w:ascii="Times New Roman" w:hAnsi="Times New Roman" w:eastAsia="Times New Roman"/>
                <w:sz w:val="21"/>
              </w:rPr>
              <w:t>Confirmed source inventory and project setup</w:t>
            </w:r>
          </w:p>
        </w:tc>
      </w:tr>
      <w:tr>
        <w:tc>
          <w:tcPr>
            <w:tcW w:type="dxa" w:w="2256"/>
            <w:vAlign w:val="center"/>
          </w:tcPr>
          <w:p>
            <w:pPr>
              <w:spacing w:line="276" w:lineRule="auto" w:after="60"/>
              <w:jc w:val="left"/>
            </w:pPr>
            <w:r>
              <w:rPr>
                <w:rFonts w:ascii="Times New Roman" w:hAnsi="Times New Roman" w:eastAsia="Times New Roman"/>
                <w:sz w:val="21"/>
              </w:rPr>
              <w:t>ETL and warehouse</w:t>
            </w:r>
          </w:p>
        </w:tc>
        <w:tc>
          <w:tcPr>
            <w:tcW w:type="dxa" w:w="2256"/>
            <w:vAlign w:val="center"/>
          </w:tcPr>
          <w:p>
            <w:pPr>
              <w:spacing w:line="276" w:lineRule="auto" w:after="60"/>
              <w:jc w:val="left"/>
            </w:pPr>
            <w:r>
              <w:rPr>
                <w:rFonts w:ascii="Times New Roman" w:hAnsi="Times New Roman" w:eastAsia="Times New Roman"/>
                <w:sz w:val="21"/>
              </w:rPr>
              <w:t>Build Python extraction, BigQuery bronze loading, data quality checks and dbt silver models.</w:t>
            </w:r>
          </w:p>
        </w:tc>
        <w:tc>
          <w:tcPr>
            <w:tcW w:type="dxa" w:w="2256"/>
            <w:vAlign w:val="center"/>
          </w:tcPr>
          <w:p>
            <w:pPr>
              <w:spacing w:line="276" w:lineRule="auto" w:after="60"/>
              <w:jc w:val="left"/>
            </w:pPr>
            <w:r>
              <w:rPr>
                <w:rFonts w:ascii="Times New Roman" w:hAnsi="Times New Roman" w:eastAsia="Times New Roman"/>
                <w:sz w:val="21"/>
              </w:rPr>
              <w:t>Weeks 4-9</w:t>
            </w:r>
          </w:p>
        </w:tc>
        <w:tc>
          <w:tcPr>
            <w:tcW w:type="dxa" w:w="2256"/>
            <w:vAlign w:val="center"/>
          </w:tcPr>
          <w:p>
            <w:pPr>
              <w:spacing w:line="276" w:lineRule="auto" w:after="60"/>
              <w:jc w:val="left"/>
            </w:pPr>
            <w:r>
              <w:rPr>
                <w:rFonts w:ascii="Times New Roman" w:hAnsi="Times New Roman" w:eastAsia="Times New Roman"/>
                <w:sz w:val="21"/>
              </w:rPr>
              <w:t>Validated warehouse tables and data quality outputs</w:t>
            </w:r>
          </w:p>
        </w:tc>
      </w:tr>
      <w:tr>
        <w:tc>
          <w:tcPr>
            <w:tcW w:type="dxa" w:w="2256"/>
            <w:vAlign w:val="center"/>
          </w:tcPr>
          <w:p>
            <w:pPr>
              <w:spacing w:line="276" w:lineRule="auto" w:after="60"/>
              <w:jc w:val="left"/>
            </w:pPr>
            <w:r>
              <w:rPr>
                <w:rFonts w:ascii="Times New Roman" w:hAnsi="Times New Roman" w:eastAsia="Times New Roman"/>
                <w:sz w:val="21"/>
              </w:rPr>
              <w:t>Analytics marts</w:t>
            </w:r>
          </w:p>
        </w:tc>
        <w:tc>
          <w:tcPr>
            <w:tcW w:type="dxa" w:w="2256"/>
            <w:vAlign w:val="center"/>
          </w:tcPr>
          <w:p>
            <w:pPr>
              <w:spacing w:line="276" w:lineRule="auto" w:after="60"/>
              <w:jc w:val="left"/>
            </w:pPr>
            <w:r>
              <w:rPr>
                <w:rFonts w:ascii="Times New Roman" w:hAnsi="Times New Roman" w:eastAsia="Times New Roman"/>
                <w:sz w:val="21"/>
              </w:rPr>
              <w:t>Create weather, recurrence, hotspot, treatment difficulty, warranty and upsell mart tables.</w:t>
            </w:r>
          </w:p>
        </w:tc>
        <w:tc>
          <w:tcPr>
            <w:tcW w:type="dxa" w:w="2256"/>
            <w:vAlign w:val="center"/>
          </w:tcPr>
          <w:p>
            <w:pPr>
              <w:spacing w:line="276" w:lineRule="auto" w:after="60"/>
              <w:jc w:val="left"/>
            </w:pPr>
            <w:r>
              <w:rPr>
                <w:rFonts w:ascii="Times New Roman" w:hAnsi="Times New Roman" w:eastAsia="Times New Roman"/>
                <w:sz w:val="21"/>
              </w:rPr>
              <w:t>Weeks 8-13</w:t>
            </w:r>
          </w:p>
        </w:tc>
        <w:tc>
          <w:tcPr>
            <w:tcW w:type="dxa" w:w="2256"/>
            <w:vAlign w:val="center"/>
          </w:tcPr>
          <w:p>
            <w:pPr>
              <w:spacing w:line="276" w:lineRule="auto" w:after="60"/>
              <w:jc w:val="left"/>
            </w:pPr>
            <w:r>
              <w:rPr>
                <w:rFonts w:ascii="Times New Roman" w:hAnsi="Times New Roman" w:eastAsia="Times New Roman"/>
                <w:sz w:val="21"/>
              </w:rPr>
              <w:t>Dashboard-ready gold-layer marts</w:t>
            </w:r>
          </w:p>
        </w:tc>
      </w:tr>
      <w:tr>
        <w:tc>
          <w:tcPr>
            <w:tcW w:type="dxa" w:w="2256"/>
            <w:vAlign w:val="center"/>
          </w:tcPr>
          <w:p>
            <w:pPr>
              <w:spacing w:line="276" w:lineRule="auto" w:after="60"/>
              <w:jc w:val="left"/>
            </w:pPr>
            <w:r>
              <w:rPr>
                <w:rFonts w:ascii="Times New Roman" w:hAnsi="Times New Roman" w:eastAsia="Times New Roman"/>
                <w:sz w:val="21"/>
              </w:rPr>
              <w:t>Dashboard and decision support</w:t>
            </w:r>
          </w:p>
        </w:tc>
        <w:tc>
          <w:tcPr>
            <w:tcW w:type="dxa" w:w="2256"/>
            <w:vAlign w:val="center"/>
          </w:tcPr>
          <w:p>
            <w:pPr>
              <w:spacing w:line="276" w:lineRule="auto" w:after="60"/>
              <w:jc w:val="left"/>
            </w:pPr>
            <w:r>
              <w:rPr>
                <w:rFonts w:ascii="Times New Roman" w:hAnsi="Times New Roman" w:eastAsia="Times New Roman"/>
                <w:sz w:val="21"/>
              </w:rPr>
              <w:t>Build Superset dashboards and recommendation log outputs.</w:t>
            </w:r>
          </w:p>
        </w:tc>
        <w:tc>
          <w:tcPr>
            <w:tcW w:type="dxa" w:w="2256"/>
            <w:vAlign w:val="center"/>
          </w:tcPr>
          <w:p>
            <w:pPr>
              <w:spacing w:line="276" w:lineRule="auto" w:after="60"/>
              <w:jc w:val="left"/>
            </w:pPr>
            <w:r>
              <w:rPr>
                <w:rFonts w:ascii="Times New Roman" w:hAnsi="Times New Roman" w:eastAsia="Times New Roman"/>
                <w:sz w:val="21"/>
              </w:rPr>
              <w:t>Weeks 12-15</w:t>
            </w:r>
          </w:p>
        </w:tc>
        <w:tc>
          <w:tcPr>
            <w:tcW w:type="dxa" w:w="2256"/>
            <w:vAlign w:val="center"/>
          </w:tcPr>
          <w:p>
            <w:pPr>
              <w:spacing w:line="276" w:lineRule="auto" w:after="60"/>
              <w:jc w:val="left"/>
            </w:pPr>
            <w:r>
              <w:rPr>
                <w:rFonts w:ascii="Times New Roman" w:hAnsi="Times New Roman" w:eastAsia="Times New Roman"/>
                <w:sz w:val="21"/>
              </w:rPr>
              <w:t>Management dashboard prototype</w:t>
            </w:r>
          </w:p>
        </w:tc>
      </w:tr>
      <w:tr>
        <w:tc>
          <w:tcPr>
            <w:tcW w:type="dxa" w:w="2256"/>
            <w:vAlign w:val="center"/>
          </w:tcPr>
          <w:p>
            <w:pPr>
              <w:spacing w:line="276" w:lineRule="auto" w:after="60"/>
              <w:jc w:val="left"/>
            </w:pPr>
            <w:r>
              <w:rPr>
                <w:rFonts w:ascii="Times New Roman" w:hAnsi="Times New Roman" w:eastAsia="Times New Roman"/>
                <w:sz w:val="21"/>
              </w:rPr>
              <w:t>Testing and evaluation</w:t>
            </w:r>
          </w:p>
        </w:tc>
        <w:tc>
          <w:tcPr>
            <w:tcW w:type="dxa" w:w="2256"/>
            <w:vAlign w:val="center"/>
          </w:tcPr>
          <w:p>
            <w:pPr>
              <w:spacing w:line="276" w:lineRule="auto" w:after="60"/>
              <w:jc w:val="left"/>
            </w:pPr>
            <w:r>
              <w:rPr>
                <w:rFonts w:ascii="Times New Roman" w:hAnsi="Times New Roman" w:eastAsia="Times New Roman"/>
                <w:sz w:val="21"/>
              </w:rPr>
              <w:t>Run pipeline checks, dashboard verification, sample validation and company feedback.</w:t>
            </w:r>
          </w:p>
        </w:tc>
        <w:tc>
          <w:tcPr>
            <w:tcW w:type="dxa" w:w="2256"/>
            <w:vAlign w:val="center"/>
          </w:tcPr>
          <w:p>
            <w:pPr>
              <w:spacing w:line="276" w:lineRule="auto" w:after="60"/>
              <w:jc w:val="left"/>
            </w:pPr>
            <w:r>
              <w:rPr>
                <w:rFonts w:ascii="Times New Roman" w:hAnsi="Times New Roman" w:eastAsia="Times New Roman"/>
                <w:sz w:val="21"/>
              </w:rPr>
              <w:t>Weeks 15-17</w:t>
            </w:r>
          </w:p>
        </w:tc>
        <w:tc>
          <w:tcPr>
            <w:tcW w:type="dxa" w:w="2256"/>
            <w:vAlign w:val="center"/>
          </w:tcPr>
          <w:p>
            <w:pPr>
              <w:spacing w:line="276" w:lineRule="auto" w:after="60"/>
              <w:jc w:val="left"/>
            </w:pPr>
            <w:r>
              <w:rPr>
                <w:rFonts w:ascii="Times New Roman" w:hAnsi="Times New Roman" w:eastAsia="Times New Roman"/>
                <w:sz w:val="21"/>
              </w:rPr>
              <w:t>Evaluation results and improvement notes</w:t>
            </w:r>
          </w:p>
        </w:tc>
      </w:tr>
      <w:tr>
        <w:tc>
          <w:tcPr>
            <w:tcW w:type="dxa" w:w="2256"/>
            <w:vAlign w:val="center"/>
          </w:tcPr>
          <w:p>
            <w:pPr>
              <w:spacing w:line="276" w:lineRule="auto" w:after="60"/>
              <w:jc w:val="left"/>
            </w:pPr>
            <w:r>
              <w:rPr>
                <w:rFonts w:ascii="Times New Roman" w:hAnsi="Times New Roman" w:eastAsia="Times New Roman"/>
                <w:sz w:val="21"/>
              </w:rPr>
              <w:t>Final reporting</w:t>
            </w:r>
          </w:p>
        </w:tc>
        <w:tc>
          <w:tcPr>
            <w:tcW w:type="dxa" w:w="2256"/>
            <w:vAlign w:val="center"/>
          </w:tcPr>
          <w:p>
            <w:pPr>
              <w:spacing w:line="276" w:lineRule="auto" w:after="60"/>
              <w:jc w:val="left"/>
            </w:pPr>
            <w:r>
              <w:rPr>
                <w:rFonts w:ascii="Times New Roman" w:hAnsi="Times New Roman" w:eastAsia="Times New Roman"/>
                <w:sz w:val="21"/>
              </w:rPr>
              <w:t>Prepare CP2 report, presentation, demo flow, limitations and future work.</w:t>
            </w:r>
          </w:p>
        </w:tc>
        <w:tc>
          <w:tcPr>
            <w:tcW w:type="dxa" w:w="2256"/>
            <w:vAlign w:val="center"/>
          </w:tcPr>
          <w:p>
            <w:pPr>
              <w:spacing w:line="276" w:lineRule="auto" w:after="60"/>
              <w:jc w:val="left"/>
            </w:pPr>
            <w:r>
              <w:rPr>
                <w:rFonts w:ascii="Times New Roman" w:hAnsi="Times New Roman" w:eastAsia="Times New Roman"/>
                <w:sz w:val="21"/>
              </w:rPr>
              <w:t>Weeks 17-20</w:t>
            </w:r>
          </w:p>
        </w:tc>
        <w:tc>
          <w:tcPr>
            <w:tcW w:type="dxa" w:w="2256"/>
            <w:vAlign w:val="center"/>
          </w:tcPr>
          <w:p>
            <w:pPr>
              <w:spacing w:line="276" w:lineRule="auto" w:after="60"/>
              <w:jc w:val="left"/>
            </w:pPr>
            <w:r>
              <w:rPr>
                <w:rFonts w:ascii="Times New Roman" w:hAnsi="Times New Roman" w:eastAsia="Times New Roman"/>
                <w:sz w:val="21"/>
              </w:rPr>
              <w:t>Final capstone submission</w:t>
            </w:r>
          </w:p>
        </w:tc>
      </w:tr>
    </w:tbl>
    <w:p>
      <w:pPr>
        <w:spacing w:line="360" w:lineRule="auto" w:after="120"/>
        <w:jc w:val="center"/>
      </w:pPr>
      <w:r>
        <w:rPr>
          <w:rFonts w:ascii="Times New Roman" w:hAnsi="Times New Roman" w:eastAsia="Times New Roman"/>
          <w:i/>
          <w:sz w:val="24"/>
        </w:rPr>
        <w:t>Table 4.1: Summary of the proposed CP2 implementation timeline. The detailed editable chart is provided in Nomobug_CP1_CP2_Gantt_Chart.xlsx.</w:t>
      </w:r>
    </w:p>
    <w:tbl>
      <w:tblPr>
        <w:tblStyle w:val="TableGrid"/>
        <w:tblW w:w="5000" w:type="pct"/>
        <w:jc w:val="center"/>
        <w:tblLook w:val="04A0" w:firstRow="1" w:lastRow="0" w:firstColumn="1" w:lastColumn="0" w:noHBand="0" w:noVBand="1"/>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72"/>
        <w:gridCol w:w="4320"/>
        <w:gridCol w:w="3424"/>
      </w:tblGrid>
      <w:tr w:rsidR="0084730D" w:rsidRPr="00335C63" w14:paraId="6405BD33" w14:textId="77777777" w:rsidTr="00997D20">
        <w:trPr>
          <w:cantSplit/>
          <w:tblHeader/>
          <w:jc w:val="center"/>
        </w:trPr>
        <w:tc>
          <w:tcPr>
            <w:tcW w:w="705" w:type="pct"/>
            <w:shd w:val="clear" w:color="auto" w:fill="E8F1FA"/>
            <w:tcMar>
              <w:top w:w="90" w:type="dxa"/>
              <w:left w:w="90" w:type="dxa"/>
              <w:bottom w:w="90" w:type="dxa"/>
              <w:right w:w="90" w:type="dxa"/>
            </w:tcMar>
            <w:vAlign w:val="center"/>
            <w:shd w:fill="DCEAF7"/>
          </w:tcPr>
          <w:p w14:paraId="3DC9512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Week</w:t>
            </w:r>
          </w:p>
        </w:tc>
        <w:tc>
          <w:tcPr>
            <w:tcW w:w="2396" w:type="pct"/>
            <w:shd w:val="clear" w:color="auto" w:fill="E8F1FA"/>
            <w:tcMar>
              <w:top w:w="90" w:type="dxa"/>
              <w:left w:w="90" w:type="dxa"/>
              <w:bottom w:w="90" w:type="dxa"/>
              <w:right w:w="90" w:type="dxa"/>
            </w:tcMar>
            <w:vAlign w:val="center"/>
            <w:shd w:fill="DCEAF7"/>
          </w:tcPr>
          <w:p w14:paraId="6F3A81A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Work Package</w:t>
            </w:r>
          </w:p>
        </w:tc>
        <w:tc>
          <w:tcPr>
            <w:tcW w:w="1899" w:type="pct"/>
            <w:shd w:val="clear" w:color="auto" w:fill="E8F1FA"/>
            <w:tcMar>
              <w:top w:w="90" w:type="dxa"/>
              <w:left w:w="90" w:type="dxa"/>
              <w:bottom w:w="90" w:type="dxa"/>
              <w:right w:w="90" w:type="dxa"/>
            </w:tcMar>
            <w:vAlign w:val="center"/>
            <w:shd w:fill="DCEAF7"/>
          </w:tcPr>
          <w:p w14:paraId="328CF0F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Deliverable</w:t>
            </w:r>
          </w:p>
        </w:tc>
      </w:tr>
      <w:tr w:rsidR="0084730D" w:rsidRPr="00335C63" w14:paraId="2CDE19D2" w14:textId="77777777" w:rsidTr="00997D20">
        <w:trPr>
          <w:cantSplit/>
          <w:jc w:val="center"/>
        </w:trPr>
        <w:tc>
          <w:tcPr>
            <w:tcW w:w="705" w:type="pct"/>
            <w:tcMar>
              <w:top w:w="90" w:type="dxa"/>
              <w:left w:w="90" w:type="dxa"/>
              <w:bottom w:w="90" w:type="dxa"/>
              <w:right w:w="90" w:type="dxa"/>
            </w:tcMar>
            <w:vAlign w:val="center"/>
          </w:tcPr>
          <w:p w14:paraId="4B383C9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1</w:t>
            </w:r>
          </w:p>
        </w:tc>
        <w:tc>
          <w:tcPr>
            <w:tcW w:w="2396" w:type="pct"/>
            <w:tcMar>
              <w:top w:w="90" w:type="dxa"/>
              <w:left w:w="90" w:type="dxa"/>
              <w:bottom w:w="90" w:type="dxa"/>
              <w:right w:w="90" w:type="dxa"/>
            </w:tcMar>
            <w:vAlign w:val="center"/>
          </w:tcPr>
          <w:p w14:paraId="47788E3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Confirm scope, finalise data sources, review rubric and supervisor feedback</w:t>
            </w:r>
          </w:p>
        </w:tc>
        <w:tc>
          <w:tcPr>
            <w:tcW w:w="1899" w:type="pct"/>
            <w:tcMar>
              <w:top w:w="90" w:type="dxa"/>
              <w:left w:w="90" w:type="dxa"/>
              <w:bottom w:w="90" w:type="dxa"/>
              <w:right w:w="90" w:type="dxa"/>
            </w:tcMar>
            <w:vAlign w:val="center"/>
          </w:tcPr>
          <w:p w14:paraId="76F4EAB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Approved project scope and data access checklist</w:t>
            </w:r>
          </w:p>
        </w:tc>
      </w:tr>
      <w:tr w:rsidR="0084730D" w:rsidRPr="00335C63" w14:paraId="1451E390" w14:textId="77777777" w:rsidTr="00997D20">
        <w:trPr>
          <w:cantSplit/>
          <w:jc w:val="center"/>
        </w:trPr>
        <w:tc>
          <w:tcPr>
            <w:tcW w:w="705" w:type="pct"/>
            <w:tcMar>
              <w:top w:w="90" w:type="dxa"/>
              <w:left w:w="90" w:type="dxa"/>
              <w:bottom w:w="90" w:type="dxa"/>
              <w:right w:w="90" w:type="dxa"/>
            </w:tcMar>
            <w:vAlign w:val="center"/>
          </w:tcPr>
          <w:p w14:paraId="5F9159F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2</w:t>
            </w:r>
          </w:p>
        </w:tc>
        <w:tc>
          <w:tcPr>
            <w:tcW w:w="2396" w:type="pct"/>
            <w:tcMar>
              <w:top w:w="90" w:type="dxa"/>
              <w:left w:w="90" w:type="dxa"/>
              <w:bottom w:w="90" w:type="dxa"/>
              <w:right w:w="90" w:type="dxa"/>
            </w:tcMar>
            <w:vAlign w:val="center"/>
          </w:tcPr>
          <w:p w14:paraId="6634456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Data profiling for Google Sheets, warranty records, refunds, services, payments, and calendar exports</w:t>
            </w:r>
          </w:p>
        </w:tc>
        <w:tc>
          <w:tcPr>
            <w:tcW w:w="1899" w:type="pct"/>
            <w:tcMar>
              <w:top w:w="90" w:type="dxa"/>
              <w:left w:w="90" w:type="dxa"/>
              <w:bottom w:w="90" w:type="dxa"/>
              <w:right w:w="90" w:type="dxa"/>
            </w:tcMar>
            <w:vAlign w:val="center"/>
          </w:tcPr>
          <w:p w14:paraId="7E58160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Data quality report</w:t>
            </w:r>
          </w:p>
        </w:tc>
      </w:tr>
      <w:tr w:rsidR="0084730D" w:rsidRPr="00335C63" w14:paraId="4E69EFA5" w14:textId="77777777" w:rsidTr="00997D20">
        <w:trPr>
          <w:cantSplit/>
          <w:jc w:val="center"/>
        </w:trPr>
        <w:tc>
          <w:tcPr>
            <w:tcW w:w="705" w:type="pct"/>
            <w:tcMar>
              <w:top w:w="90" w:type="dxa"/>
              <w:left w:w="90" w:type="dxa"/>
              <w:bottom w:w="90" w:type="dxa"/>
              <w:right w:w="90" w:type="dxa"/>
            </w:tcMar>
            <w:vAlign w:val="center"/>
          </w:tcPr>
          <w:p w14:paraId="2493B6B3" w14:textId="77777777" w:rsidR="00BB18A2" w:rsidRDefault="00000000">
            <w:pPr>
              <w:spacing w:line="276" w:lineRule="auto" w:after="60"/>
              <w:jc w:val="left"/>
            </w:pPr>
            <w:r>
              <w:rPr>
                <w:rFonts w:ascii="Times New Roman" w:hAnsi="Times New Roman" w:eastAsia="Times New Roman" w:cs="Times New Roman"/>
                <w:sz w:val="21"/>
              </w:rPr>
              <w:t>3</w:t>
            </w:r>
          </w:p>
        </w:tc>
        <w:tc>
          <w:tcPr>
            <w:tcW w:w="2396" w:type="pct"/>
            <w:tcMar>
              <w:top w:w="90" w:type="dxa"/>
              <w:left w:w="90" w:type="dxa"/>
              <w:bottom w:w="90" w:type="dxa"/>
              <w:right w:w="90" w:type="dxa"/>
            </w:tcMar>
            <w:vAlign w:val="center"/>
          </w:tcPr>
          <w:p w14:paraId="51D4AB05" w14:textId="77777777" w:rsidR="00BB18A2" w:rsidRDefault="00000000">
            <w:pPr>
              <w:spacing w:line="276" w:lineRule="auto" w:after="60"/>
              <w:jc w:val="left"/>
            </w:pPr>
            <w:r>
              <w:rPr>
                <w:rFonts w:ascii="Times New Roman" w:hAnsi="Times New Roman" w:eastAsia="Times New Roman" w:cs="Times New Roman"/>
                <w:sz w:val="21"/>
              </w:rPr>
              <w:t>Design Bronze/Silver/Gold BigQuery warehouse, dbt model layers, table relationships, matching keys, anonymised views, and recommendation log</w:t>
            </w:r>
          </w:p>
        </w:tc>
        <w:tc>
          <w:tcPr>
            <w:tcW w:w="1899" w:type="pct"/>
            <w:tcMar>
              <w:top w:w="90" w:type="dxa"/>
              <w:left w:w="90" w:type="dxa"/>
              <w:bottom w:w="90" w:type="dxa"/>
              <w:right w:w="90" w:type="dxa"/>
            </w:tcMar>
            <w:vAlign w:val="center"/>
          </w:tcPr>
          <w:p w14:paraId="66B1CF48" w14:textId="77777777" w:rsidR="00BB18A2" w:rsidRDefault="00000000">
            <w:pPr>
              <w:spacing w:line="276" w:lineRule="auto" w:after="60"/>
              <w:jc w:val="left"/>
            </w:pPr>
            <w:r>
              <w:rPr>
                <w:rFonts w:ascii="Times New Roman" w:hAnsi="Times New Roman" w:eastAsia="Times New Roman" w:cs="Times New Roman"/>
                <w:sz w:val="21"/>
              </w:rPr>
              <w:t>Warehouse and dbt design document</w:t>
            </w:r>
          </w:p>
        </w:tc>
      </w:tr>
      <w:tr w:rsidR="0084730D" w:rsidRPr="00335C63" w14:paraId="06523649" w14:textId="77777777" w:rsidTr="00997D20">
        <w:trPr>
          <w:cantSplit/>
          <w:jc w:val="center"/>
        </w:trPr>
        <w:tc>
          <w:tcPr>
            <w:tcW w:w="705" w:type="pct"/>
            <w:tcMar>
              <w:top w:w="90" w:type="dxa"/>
              <w:left w:w="90" w:type="dxa"/>
              <w:bottom w:w="90" w:type="dxa"/>
              <w:right w:w="90" w:type="dxa"/>
            </w:tcMar>
            <w:vAlign w:val="center"/>
          </w:tcPr>
          <w:p w14:paraId="511B7BC2" w14:textId="77777777" w:rsidR="00BB18A2" w:rsidRDefault="00000000">
            <w:pPr>
              <w:spacing w:line="276" w:lineRule="auto" w:after="60"/>
              <w:jc w:val="left"/>
            </w:pPr>
            <w:r>
              <w:rPr>
                <w:rFonts w:ascii="Times New Roman" w:hAnsi="Times New Roman" w:eastAsia="Times New Roman" w:cs="Times New Roman"/>
                <w:sz w:val="21"/>
              </w:rPr>
              <w:lastRenderedPageBreak/>
              <w:t>4</w:t>
            </w:r>
          </w:p>
        </w:tc>
        <w:tc>
          <w:tcPr>
            <w:tcW w:w="2396" w:type="pct"/>
            <w:tcMar>
              <w:top w:w="90" w:type="dxa"/>
              <w:left w:w="90" w:type="dxa"/>
              <w:bottom w:w="90" w:type="dxa"/>
              <w:right w:w="90" w:type="dxa"/>
            </w:tcMar>
            <w:vAlign w:val="center"/>
          </w:tcPr>
          <w:p w14:paraId="2667B41E" w14:textId="77777777" w:rsidR="00BB18A2" w:rsidRDefault="00000000">
            <w:pPr>
              <w:spacing w:line="276" w:lineRule="auto" w:after="60"/>
              <w:jc w:val="left"/>
            </w:pPr>
            <w:r>
              <w:rPr>
                <w:rFonts w:ascii="Times New Roman" w:hAnsi="Times New Roman" w:eastAsia="Times New Roman" w:cs="Times New Roman"/>
                <w:sz w:val="21"/>
              </w:rPr>
              <w:t>Build Python extraction/load scripts, flexible data contracts, validation flags, and Bronze raw loading</w:t>
            </w:r>
          </w:p>
        </w:tc>
        <w:tc>
          <w:tcPr>
            <w:tcW w:w="1899" w:type="pct"/>
            <w:tcMar>
              <w:top w:w="90" w:type="dxa"/>
              <w:left w:w="90" w:type="dxa"/>
              <w:bottom w:w="90" w:type="dxa"/>
              <w:right w:w="90" w:type="dxa"/>
            </w:tcMar>
            <w:vAlign w:val="center"/>
          </w:tcPr>
          <w:p w14:paraId="7375B94A" w14:textId="77777777" w:rsidR="00BB18A2" w:rsidRDefault="00000000">
            <w:pPr>
              <w:spacing w:line="276" w:lineRule="auto" w:after="60"/>
              <w:jc w:val="left"/>
            </w:pPr>
            <w:r>
              <w:rPr>
                <w:rFonts w:ascii="Times New Roman" w:hAnsi="Times New Roman" w:eastAsia="Times New Roman" w:cs="Times New Roman"/>
                <w:sz w:val="21"/>
              </w:rPr>
              <w:t>Bronze loading pipeline and source quality report</w:t>
            </w:r>
          </w:p>
        </w:tc>
      </w:tr>
      <w:tr w:rsidR="0084730D" w:rsidRPr="00335C63" w14:paraId="7B0C7647" w14:textId="77777777" w:rsidTr="00997D20">
        <w:trPr>
          <w:cantSplit/>
          <w:jc w:val="center"/>
        </w:trPr>
        <w:tc>
          <w:tcPr>
            <w:tcW w:w="705" w:type="pct"/>
            <w:tcMar>
              <w:top w:w="90" w:type="dxa"/>
              <w:left w:w="90" w:type="dxa"/>
              <w:bottom w:w="90" w:type="dxa"/>
              <w:right w:w="90" w:type="dxa"/>
            </w:tcMar>
            <w:vAlign w:val="center"/>
          </w:tcPr>
          <w:p w14:paraId="1AF93F4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5</w:t>
            </w:r>
          </w:p>
        </w:tc>
        <w:tc>
          <w:tcPr>
            <w:tcW w:w="2396" w:type="pct"/>
            <w:tcMar>
              <w:top w:w="90" w:type="dxa"/>
              <w:left w:w="90" w:type="dxa"/>
              <w:bottom w:w="90" w:type="dxa"/>
              <w:right w:w="90" w:type="dxa"/>
            </w:tcMar>
            <w:vAlign w:val="center"/>
          </w:tcPr>
          <w:p w14:paraId="66FE29F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Implement area/postcode lookup, weather enrichment features, and weather coverage reporting</w:t>
            </w:r>
          </w:p>
        </w:tc>
        <w:tc>
          <w:tcPr>
            <w:tcW w:w="1899" w:type="pct"/>
            <w:tcMar>
              <w:top w:w="90" w:type="dxa"/>
              <w:left w:w="90" w:type="dxa"/>
              <w:bottom w:w="90" w:type="dxa"/>
              <w:right w:w="90" w:type="dxa"/>
            </w:tcMar>
            <w:vAlign w:val="center"/>
          </w:tcPr>
          <w:p w14:paraId="3F9CBD0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Weather-enriched service table</w:t>
            </w:r>
          </w:p>
        </w:tc>
      </w:tr>
      <w:tr w:rsidR="0084730D" w:rsidRPr="00335C63" w14:paraId="325260FC" w14:textId="77777777" w:rsidTr="00997D20">
        <w:trPr>
          <w:cantSplit/>
          <w:jc w:val="center"/>
        </w:trPr>
        <w:tc>
          <w:tcPr>
            <w:tcW w:w="705" w:type="pct"/>
            <w:tcMar>
              <w:top w:w="90" w:type="dxa"/>
              <w:left w:w="90" w:type="dxa"/>
              <w:bottom w:w="90" w:type="dxa"/>
              <w:right w:w="90" w:type="dxa"/>
            </w:tcMar>
            <w:vAlign w:val="center"/>
          </w:tcPr>
          <w:p w14:paraId="28227F99" w14:textId="77777777" w:rsidR="00BB18A2" w:rsidRDefault="00000000">
            <w:pPr>
              <w:spacing w:line="276" w:lineRule="auto" w:after="60"/>
              <w:jc w:val="left"/>
            </w:pPr>
            <w:r>
              <w:rPr>
                <w:rFonts w:ascii="Times New Roman" w:hAnsi="Times New Roman" w:eastAsia="Times New Roman" w:cs="Times New Roman"/>
                <w:sz w:val="21"/>
              </w:rPr>
              <w:t>6</w:t>
            </w:r>
          </w:p>
        </w:tc>
        <w:tc>
          <w:tcPr>
            <w:tcW w:w="2396" w:type="pct"/>
            <w:tcMar>
              <w:top w:w="90" w:type="dxa"/>
              <w:left w:w="90" w:type="dxa"/>
              <w:bottom w:w="90" w:type="dxa"/>
              <w:right w:w="90" w:type="dxa"/>
            </w:tcMar>
            <w:vAlign w:val="center"/>
          </w:tcPr>
          <w:p w14:paraId="4E85E985" w14:textId="77777777" w:rsidR="00BB18A2" w:rsidRDefault="00000000">
            <w:pPr>
              <w:spacing w:line="276" w:lineRule="auto" w:after="60"/>
              <w:jc w:val="left"/>
            </w:pPr>
            <w:r>
              <w:rPr>
                <w:rFonts w:ascii="Times New Roman" w:hAnsi="Times New Roman" w:eastAsia="Times New Roman" w:cs="Times New Roman"/>
                <w:sz w:val="21"/>
              </w:rPr>
              <w:t>Build dbt staging, fact, dimension, and core descriptive marts for service, sales, warranty, refund, and scheduling</w:t>
            </w:r>
          </w:p>
        </w:tc>
        <w:tc>
          <w:tcPr>
            <w:tcW w:w="1899" w:type="pct"/>
            <w:tcMar>
              <w:top w:w="90" w:type="dxa"/>
              <w:left w:w="90" w:type="dxa"/>
              <w:bottom w:w="90" w:type="dxa"/>
              <w:right w:w="90" w:type="dxa"/>
            </w:tcMar>
            <w:vAlign w:val="center"/>
          </w:tcPr>
          <w:p w14:paraId="025C8476" w14:textId="77777777" w:rsidR="00BB18A2" w:rsidRDefault="00000000">
            <w:pPr>
              <w:spacing w:line="276" w:lineRule="auto" w:after="60"/>
              <w:jc w:val="left"/>
            </w:pPr>
            <w:r>
              <w:rPr>
                <w:rFonts w:ascii="Times New Roman" w:hAnsi="Times New Roman" w:eastAsia="Times New Roman" w:cs="Times New Roman"/>
                <w:sz w:val="21"/>
              </w:rPr>
              <w:t>Silver tables and core Gold marts</w:t>
            </w:r>
          </w:p>
        </w:tc>
      </w:tr>
      <w:tr w:rsidR="0084730D" w:rsidRPr="00335C63" w14:paraId="78F2A772" w14:textId="77777777" w:rsidTr="00997D20">
        <w:trPr>
          <w:cantSplit/>
          <w:jc w:val="center"/>
        </w:trPr>
        <w:tc>
          <w:tcPr>
            <w:tcW w:w="705" w:type="pct"/>
            <w:tcMar>
              <w:top w:w="90" w:type="dxa"/>
              <w:left w:w="90" w:type="dxa"/>
              <w:bottom w:w="90" w:type="dxa"/>
              <w:right w:w="90" w:type="dxa"/>
            </w:tcMar>
            <w:vAlign w:val="center"/>
          </w:tcPr>
          <w:p w14:paraId="1D5F6D4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7</w:t>
            </w:r>
          </w:p>
        </w:tc>
        <w:tc>
          <w:tcPr>
            <w:tcW w:w="2396" w:type="pct"/>
            <w:tcMar>
              <w:top w:w="90" w:type="dxa"/>
              <w:left w:w="90" w:type="dxa"/>
              <w:bottom w:w="90" w:type="dxa"/>
              <w:right w:w="90" w:type="dxa"/>
            </w:tcMar>
            <w:vAlign w:val="center"/>
          </w:tcPr>
          <w:p w14:paraId="70F0237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Develop treatment difficulty, recurrence window, and warranty factor analytics</w:t>
            </w:r>
          </w:p>
        </w:tc>
        <w:tc>
          <w:tcPr>
            <w:tcW w:w="1899" w:type="pct"/>
            <w:tcMar>
              <w:top w:w="90" w:type="dxa"/>
              <w:left w:w="90" w:type="dxa"/>
              <w:bottom w:w="90" w:type="dxa"/>
              <w:right w:w="90" w:type="dxa"/>
            </w:tcMar>
            <w:vAlign w:val="center"/>
          </w:tcPr>
          <w:p w14:paraId="478CA06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Quality and recurrence marts</w:t>
            </w:r>
          </w:p>
        </w:tc>
      </w:tr>
      <w:tr w:rsidR="0084730D" w:rsidRPr="00335C63" w14:paraId="5D500FD8" w14:textId="77777777" w:rsidTr="00997D20">
        <w:trPr>
          <w:cantSplit/>
          <w:jc w:val="center"/>
        </w:trPr>
        <w:tc>
          <w:tcPr>
            <w:tcW w:w="705" w:type="pct"/>
            <w:tcMar>
              <w:top w:w="90" w:type="dxa"/>
              <w:left w:w="90" w:type="dxa"/>
              <w:bottom w:w="90" w:type="dxa"/>
              <w:right w:w="90" w:type="dxa"/>
            </w:tcMar>
            <w:vAlign w:val="center"/>
          </w:tcPr>
          <w:p w14:paraId="100EAF5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8</w:t>
            </w:r>
          </w:p>
        </w:tc>
        <w:tc>
          <w:tcPr>
            <w:tcW w:w="2396" w:type="pct"/>
            <w:tcMar>
              <w:top w:w="90" w:type="dxa"/>
              <w:left w:w="90" w:type="dxa"/>
              <w:bottom w:w="90" w:type="dxa"/>
              <w:right w:w="90" w:type="dxa"/>
            </w:tcMar>
            <w:vAlign w:val="center"/>
          </w:tcPr>
          <w:p w14:paraId="1E683CF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Develop DBSCAN hotspot detection and KDE map-ready outputs</w:t>
            </w:r>
          </w:p>
        </w:tc>
        <w:tc>
          <w:tcPr>
            <w:tcW w:w="1899" w:type="pct"/>
            <w:tcMar>
              <w:top w:w="90" w:type="dxa"/>
              <w:left w:w="90" w:type="dxa"/>
              <w:bottom w:w="90" w:type="dxa"/>
              <w:right w:w="90" w:type="dxa"/>
            </w:tcMar>
            <w:vAlign w:val="center"/>
          </w:tcPr>
          <w:p w14:paraId="1FF6E23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Hotspot output table</w:t>
            </w:r>
          </w:p>
        </w:tc>
      </w:tr>
      <w:tr w:rsidR="0084730D" w:rsidRPr="00335C63" w14:paraId="1A71B322" w14:textId="77777777" w:rsidTr="00997D20">
        <w:trPr>
          <w:cantSplit/>
          <w:jc w:val="center"/>
        </w:trPr>
        <w:tc>
          <w:tcPr>
            <w:tcW w:w="705" w:type="pct"/>
            <w:tcMar>
              <w:top w:w="90" w:type="dxa"/>
              <w:left w:w="90" w:type="dxa"/>
              <w:bottom w:w="90" w:type="dxa"/>
              <w:right w:w="90" w:type="dxa"/>
            </w:tcMar>
            <w:vAlign w:val="center"/>
          </w:tcPr>
          <w:p w14:paraId="637CCB7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9</w:t>
            </w:r>
          </w:p>
        </w:tc>
        <w:tc>
          <w:tcPr>
            <w:tcW w:w="2396" w:type="pct"/>
            <w:tcMar>
              <w:top w:w="90" w:type="dxa"/>
              <w:left w:w="90" w:type="dxa"/>
              <w:bottom w:w="90" w:type="dxa"/>
              <w:right w:w="90" w:type="dxa"/>
            </w:tcMar>
            <w:vAlign w:val="center"/>
          </w:tcPr>
          <w:p w14:paraId="4595EFE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Develop upsell package effectiveness, package-fit, window performance analytics, and recommendation log outputs</w:t>
            </w:r>
          </w:p>
        </w:tc>
        <w:tc>
          <w:tcPr>
            <w:tcW w:w="1899" w:type="pct"/>
            <w:tcMar>
              <w:top w:w="90" w:type="dxa"/>
              <w:left w:w="90" w:type="dxa"/>
              <w:bottom w:w="90" w:type="dxa"/>
              <w:right w:w="90" w:type="dxa"/>
            </w:tcMar>
            <w:vAlign w:val="center"/>
          </w:tcPr>
          <w:p w14:paraId="2420D3F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Upsell intelligence and recommendation marts</w:t>
            </w:r>
          </w:p>
        </w:tc>
      </w:tr>
      <w:tr w:rsidR="0084730D" w:rsidRPr="00335C63" w14:paraId="13CC63E7" w14:textId="77777777" w:rsidTr="00997D20">
        <w:trPr>
          <w:cantSplit/>
          <w:jc w:val="center"/>
        </w:trPr>
        <w:tc>
          <w:tcPr>
            <w:tcW w:w="705" w:type="pct"/>
            <w:tcMar>
              <w:top w:w="90" w:type="dxa"/>
              <w:left w:w="90" w:type="dxa"/>
              <w:bottom w:w="90" w:type="dxa"/>
              <w:right w:w="90" w:type="dxa"/>
            </w:tcMar>
            <w:vAlign w:val="center"/>
          </w:tcPr>
          <w:p w14:paraId="16F1DC7F" w14:textId="77777777" w:rsidR="00BB18A2" w:rsidRDefault="00000000">
            <w:pPr>
              <w:spacing w:line="276" w:lineRule="auto" w:after="60"/>
              <w:jc w:val="left"/>
            </w:pPr>
            <w:r>
              <w:rPr>
                <w:rFonts w:ascii="Times New Roman" w:hAnsi="Times New Roman" w:eastAsia="Times New Roman" w:cs="Times New Roman"/>
                <w:sz w:val="21"/>
              </w:rPr>
              <w:t>10</w:t>
            </w:r>
          </w:p>
        </w:tc>
        <w:tc>
          <w:tcPr>
            <w:tcW w:w="2396" w:type="pct"/>
            <w:tcMar>
              <w:top w:w="90" w:type="dxa"/>
              <w:left w:w="90" w:type="dxa"/>
              <w:bottom w:w="90" w:type="dxa"/>
              <w:right w:w="90" w:type="dxa"/>
            </w:tcMar>
            <w:vAlign w:val="center"/>
          </w:tcPr>
          <w:p w14:paraId="57A4B001" w14:textId="77777777" w:rsidR="00BB18A2" w:rsidRDefault="00000000">
            <w:pPr>
              <w:spacing w:line="276" w:lineRule="auto" w:after="60"/>
              <w:jc w:val="left"/>
            </w:pPr>
            <w:r>
              <w:rPr>
                <w:rFonts w:ascii="Times New Roman" w:hAnsi="Times New Roman" w:eastAsia="Times New Roman" w:cs="Times New Roman"/>
                <w:sz w:val="21"/>
              </w:rPr>
              <w:t>Create Airflow DAG to orchestrate extraction, BigQuery loading, dbt models/tests, weather enrichment, and refresh logging</w:t>
            </w:r>
          </w:p>
        </w:tc>
        <w:tc>
          <w:tcPr>
            <w:tcW w:w="1899" w:type="pct"/>
            <w:tcMar>
              <w:top w:w="90" w:type="dxa"/>
              <w:left w:w="90" w:type="dxa"/>
              <w:bottom w:w="90" w:type="dxa"/>
              <w:right w:w="90" w:type="dxa"/>
            </w:tcMar>
            <w:vAlign w:val="center"/>
          </w:tcPr>
          <w:p w14:paraId="6400F538" w14:textId="77777777" w:rsidR="00BB18A2" w:rsidRDefault="00000000">
            <w:pPr>
              <w:spacing w:line="276" w:lineRule="auto" w:after="60"/>
              <w:jc w:val="left"/>
            </w:pPr>
            <w:r>
              <w:rPr>
                <w:rFonts w:ascii="Times New Roman" w:hAnsi="Times New Roman" w:eastAsia="Times New Roman" w:cs="Times New Roman"/>
                <w:sz w:val="21"/>
              </w:rPr>
              <w:t>Airflow-orchestrated ELT prototype</w:t>
            </w:r>
          </w:p>
        </w:tc>
      </w:tr>
      <w:tr w:rsidR="0084730D" w:rsidRPr="00335C63" w14:paraId="0CBC07E1" w14:textId="77777777" w:rsidTr="00997D20">
        <w:trPr>
          <w:cantSplit/>
          <w:jc w:val="center"/>
        </w:trPr>
        <w:tc>
          <w:tcPr>
            <w:tcW w:w="705" w:type="pct"/>
            <w:tcMar>
              <w:top w:w="90" w:type="dxa"/>
              <w:left w:w="90" w:type="dxa"/>
              <w:bottom w:w="90" w:type="dxa"/>
              <w:right w:w="90" w:type="dxa"/>
            </w:tcMar>
            <w:vAlign w:val="center"/>
          </w:tcPr>
          <w:p w14:paraId="23214061" w14:textId="77777777" w:rsidR="00BB18A2" w:rsidRDefault="00000000">
            <w:pPr>
              <w:spacing w:line="276" w:lineRule="auto" w:after="60"/>
              <w:jc w:val="left"/>
            </w:pPr>
            <w:r>
              <w:rPr>
                <w:rFonts w:ascii="Times New Roman" w:hAnsi="Times New Roman" w:eastAsia="Times New Roman" w:cs="Times New Roman"/>
                <w:sz w:val="21"/>
              </w:rPr>
              <w:t>11</w:t>
            </w:r>
          </w:p>
        </w:tc>
        <w:tc>
          <w:tcPr>
            <w:tcW w:w="2396" w:type="pct"/>
            <w:tcMar>
              <w:top w:w="90" w:type="dxa"/>
              <w:left w:w="90" w:type="dxa"/>
              <w:bottom w:w="90" w:type="dxa"/>
              <w:right w:w="90" w:type="dxa"/>
            </w:tcMar>
            <w:vAlign w:val="center"/>
          </w:tcPr>
          <w:p w14:paraId="4DAF8A33" w14:textId="77777777" w:rsidR="00BB18A2" w:rsidRDefault="00000000">
            <w:pPr>
              <w:spacing w:line="276" w:lineRule="auto" w:after="60"/>
              <w:jc w:val="left"/>
            </w:pPr>
            <w:r>
              <w:rPr>
                <w:rFonts w:ascii="Times New Roman" w:hAnsi="Times New Roman" w:eastAsia="Times New Roman" w:cs="Times New Roman"/>
                <w:sz w:val="21"/>
              </w:rPr>
              <w:t>Connect Apache Superset to BigQuery Gold marts and build first dashboard pages</w:t>
            </w:r>
          </w:p>
        </w:tc>
        <w:tc>
          <w:tcPr>
            <w:tcW w:w="1899" w:type="pct"/>
            <w:tcMar>
              <w:top w:w="90" w:type="dxa"/>
              <w:left w:w="90" w:type="dxa"/>
              <w:bottom w:w="90" w:type="dxa"/>
              <w:right w:w="90" w:type="dxa"/>
            </w:tcMar>
            <w:vAlign w:val="center"/>
          </w:tcPr>
          <w:p w14:paraId="6255B2DF" w14:textId="77777777" w:rsidR="00BB18A2" w:rsidRDefault="00000000">
            <w:pPr>
              <w:spacing w:line="276" w:lineRule="auto" w:after="60"/>
              <w:jc w:val="left"/>
            </w:pPr>
            <w:r>
              <w:rPr>
                <w:rFonts w:ascii="Times New Roman" w:hAnsi="Times New Roman" w:eastAsia="Times New Roman" w:cs="Times New Roman"/>
                <w:sz w:val="21"/>
              </w:rPr>
              <w:t>Dashboard prototype v1</w:t>
            </w:r>
          </w:p>
        </w:tc>
      </w:tr>
      <w:tr w:rsidR="0084730D" w:rsidRPr="00335C63" w14:paraId="00F50213" w14:textId="77777777" w:rsidTr="00997D20">
        <w:trPr>
          <w:cantSplit/>
          <w:jc w:val="center"/>
        </w:trPr>
        <w:tc>
          <w:tcPr>
            <w:tcW w:w="705" w:type="pct"/>
            <w:tcMar>
              <w:top w:w="90" w:type="dxa"/>
              <w:left w:w="90" w:type="dxa"/>
              <w:bottom w:w="90" w:type="dxa"/>
              <w:right w:w="90" w:type="dxa"/>
            </w:tcMar>
            <w:vAlign w:val="center"/>
          </w:tcPr>
          <w:p w14:paraId="248707AD" w14:textId="77777777" w:rsidR="00BB18A2" w:rsidRDefault="00000000">
            <w:pPr>
              <w:spacing w:line="276" w:lineRule="auto" w:after="60"/>
              <w:jc w:val="left"/>
            </w:pPr>
            <w:r>
              <w:rPr>
                <w:rFonts w:ascii="Times New Roman" w:hAnsi="Times New Roman" w:eastAsia="Times New Roman" w:cs="Times New Roman"/>
                <w:sz w:val="21"/>
              </w:rPr>
              <w:t>12</w:t>
            </w:r>
          </w:p>
        </w:tc>
        <w:tc>
          <w:tcPr>
            <w:tcW w:w="2396" w:type="pct"/>
            <w:tcMar>
              <w:top w:w="90" w:type="dxa"/>
              <w:left w:w="90" w:type="dxa"/>
              <w:bottom w:w="90" w:type="dxa"/>
              <w:right w:w="90" w:type="dxa"/>
            </w:tcMar>
            <w:vAlign w:val="center"/>
          </w:tcPr>
          <w:p w14:paraId="6B3E2F84" w14:textId="77777777" w:rsidR="00BB18A2" w:rsidRDefault="00000000">
            <w:pPr>
              <w:spacing w:line="276" w:lineRule="auto" w:after="60"/>
              <w:jc w:val="left"/>
            </w:pPr>
            <w:r>
              <w:rPr>
                <w:rFonts w:ascii="Times New Roman" w:hAnsi="Times New Roman" w:eastAsia="Times New Roman" w:cs="Times New Roman"/>
                <w:sz w:val="21"/>
              </w:rPr>
              <w:t>Refine filters, maps, data quality views, pipeline status, rankings, and recommendations with company feedback</w:t>
            </w:r>
          </w:p>
        </w:tc>
        <w:tc>
          <w:tcPr>
            <w:tcW w:w="1899" w:type="pct"/>
            <w:tcMar>
              <w:top w:w="90" w:type="dxa"/>
              <w:left w:w="90" w:type="dxa"/>
              <w:bottom w:w="90" w:type="dxa"/>
              <w:right w:w="90" w:type="dxa"/>
            </w:tcMar>
            <w:vAlign w:val="center"/>
          </w:tcPr>
          <w:p w14:paraId="4BB1D995" w14:textId="77777777" w:rsidR="00BB18A2" w:rsidRDefault="00000000">
            <w:pPr>
              <w:spacing w:line="276" w:lineRule="auto" w:after="60"/>
              <w:jc w:val="left"/>
            </w:pPr>
            <w:r>
              <w:rPr>
                <w:rFonts w:ascii="Times New Roman" w:hAnsi="Times New Roman" w:eastAsia="Times New Roman" w:cs="Times New Roman"/>
                <w:sz w:val="21"/>
              </w:rPr>
              <w:t>Dashboard prototype v2 and pipeline status view</w:t>
            </w:r>
          </w:p>
        </w:tc>
      </w:tr>
      <w:tr w:rsidR="0084730D" w:rsidRPr="00335C63" w14:paraId="49BB36F4" w14:textId="77777777" w:rsidTr="00997D20">
        <w:trPr>
          <w:cantSplit/>
          <w:jc w:val="center"/>
        </w:trPr>
        <w:tc>
          <w:tcPr>
            <w:tcW w:w="705" w:type="pct"/>
            <w:tcMar>
              <w:top w:w="90" w:type="dxa"/>
              <w:left w:w="90" w:type="dxa"/>
              <w:bottom w:w="90" w:type="dxa"/>
              <w:right w:w="90" w:type="dxa"/>
            </w:tcMar>
            <w:vAlign w:val="center"/>
          </w:tcPr>
          <w:p w14:paraId="525D3751" w14:textId="77777777" w:rsidR="00BB18A2" w:rsidRDefault="00000000">
            <w:pPr>
              <w:spacing w:line="276" w:lineRule="auto" w:after="60"/>
              <w:jc w:val="left"/>
            </w:pPr>
            <w:r>
              <w:rPr>
                <w:rFonts w:ascii="Times New Roman" w:hAnsi="Times New Roman" w:eastAsia="Times New Roman" w:cs="Times New Roman"/>
                <w:sz w:val="21"/>
              </w:rPr>
              <w:t>13</w:t>
            </w:r>
          </w:p>
        </w:tc>
        <w:tc>
          <w:tcPr>
            <w:tcW w:w="2396" w:type="pct"/>
            <w:tcMar>
              <w:top w:w="90" w:type="dxa"/>
              <w:left w:w="90" w:type="dxa"/>
              <w:bottom w:w="90" w:type="dxa"/>
              <w:right w:w="90" w:type="dxa"/>
            </w:tcMar>
            <w:vAlign w:val="center"/>
          </w:tcPr>
          <w:p w14:paraId="5D2002E8" w14:textId="77777777" w:rsidR="00BB18A2" w:rsidRDefault="00000000">
            <w:pPr>
              <w:spacing w:line="276" w:lineRule="auto" w:after="60"/>
              <w:jc w:val="left"/>
            </w:pPr>
            <w:r>
              <w:rPr>
                <w:rFonts w:ascii="Times New Roman" w:hAnsi="Times New Roman" w:eastAsia="Times New Roman" w:cs="Times New Roman"/>
                <w:sz w:val="21"/>
              </w:rPr>
              <w:t>Evaluate dashboard and pipeline against manual spreadsheet answers, dbt test results, and refresh logs</w:t>
            </w:r>
          </w:p>
        </w:tc>
        <w:tc>
          <w:tcPr>
            <w:tcW w:w="1899" w:type="pct"/>
            <w:tcMar>
              <w:top w:w="90" w:type="dxa"/>
              <w:left w:w="90" w:type="dxa"/>
              <w:bottom w:w="90" w:type="dxa"/>
              <w:right w:w="90" w:type="dxa"/>
            </w:tcMar>
            <w:vAlign w:val="center"/>
          </w:tcPr>
          <w:p w14:paraId="301C537A" w14:textId="77777777" w:rsidR="00BB18A2" w:rsidRDefault="00000000">
            <w:pPr>
              <w:spacing w:line="276" w:lineRule="auto" w:after="60"/>
              <w:jc w:val="left"/>
            </w:pPr>
            <w:r>
              <w:rPr>
                <w:rFonts w:ascii="Times New Roman" w:hAnsi="Times New Roman" w:eastAsia="Times New Roman" w:cs="Times New Roman"/>
                <w:sz w:val="21"/>
              </w:rPr>
              <w:t>Evaluation report draft</w:t>
            </w:r>
          </w:p>
        </w:tc>
      </w:tr>
      <w:tr w:rsidR="0084730D" w:rsidRPr="00335C63" w14:paraId="739E1980" w14:textId="77777777" w:rsidTr="00997D20">
        <w:trPr>
          <w:cantSplit/>
          <w:jc w:val="center"/>
        </w:trPr>
        <w:tc>
          <w:tcPr>
            <w:tcW w:w="705" w:type="pct"/>
            <w:tcMar>
              <w:top w:w="90" w:type="dxa"/>
              <w:left w:w="90" w:type="dxa"/>
              <w:bottom w:w="90" w:type="dxa"/>
              <w:right w:w="90" w:type="dxa"/>
            </w:tcMar>
            <w:vAlign w:val="center"/>
          </w:tcPr>
          <w:p w14:paraId="2E37FAFE" w14:textId="77777777" w:rsidR="00BB18A2" w:rsidRDefault="00000000">
            <w:pPr>
              <w:spacing w:line="276" w:lineRule="auto" w:after="60"/>
              <w:jc w:val="left"/>
            </w:pPr>
            <w:r>
              <w:rPr>
                <w:rFonts w:ascii="Times New Roman" w:hAnsi="Times New Roman" w:eastAsia="Times New Roman" w:cs="Times New Roman"/>
                <w:sz w:val="21"/>
              </w:rPr>
              <w:t>14</w:t>
            </w:r>
          </w:p>
        </w:tc>
        <w:tc>
          <w:tcPr>
            <w:tcW w:w="2396" w:type="pct"/>
            <w:tcMar>
              <w:top w:w="90" w:type="dxa"/>
              <w:left w:w="90" w:type="dxa"/>
              <w:bottom w:w="90" w:type="dxa"/>
              <w:right w:w="90" w:type="dxa"/>
            </w:tcMar>
            <w:vAlign w:val="center"/>
          </w:tcPr>
          <w:p w14:paraId="34A4BFA3" w14:textId="77777777" w:rsidR="00BB18A2" w:rsidRDefault="00000000">
            <w:pPr>
              <w:spacing w:line="276" w:lineRule="auto" w:after="60"/>
              <w:jc w:val="left"/>
            </w:pPr>
            <w:r>
              <w:rPr>
                <w:rFonts w:ascii="Times New Roman" w:hAnsi="Times New Roman" w:eastAsia="Times New Roman" w:cs="Times New Roman"/>
                <w:sz w:val="21"/>
              </w:rPr>
              <w:t>Prepare final report, screenshots, architecture diagram, Airflow DAG view, dbt lineage graph, and viva explanation</w:t>
            </w:r>
          </w:p>
        </w:tc>
        <w:tc>
          <w:tcPr>
            <w:tcW w:w="1899" w:type="pct"/>
            <w:tcMar>
              <w:top w:w="90" w:type="dxa"/>
              <w:left w:w="90" w:type="dxa"/>
              <w:bottom w:w="90" w:type="dxa"/>
              <w:right w:w="90" w:type="dxa"/>
            </w:tcMar>
            <w:vAlign w:val="center"/>
          </w:tcPr>
          <w:p w14:paraId="2F589021" w14:textId="77777777" w:rsidR="00BB18A2" w:rsidRDefault="00000000">
            <w:pPr>
              <w:spacing w:line="276" w:lineRule="auto" w:after="60"/>
              <w:jc w:val="left"/>
            </w:pPr>
            <w:r>
              <w:rPr>
                <w:rFonts w:ascii="Times New Roman" w:hAnsi="Times New Roman" w:eastAsia="Times New Roman" w:cs="Times New Roman"/>
                <w:sz w:val="21"/>
              </w:rPr>
              <w:t>Final project submission</w:t>
            </w:r>
          </w:p>
        </w:tc>
      </w:tr>
    </w:tbl>
    <w:p w14:paraId="134549B3" w14:textId="77777777" w:rsidR="0084730D" w:rsidRPr="00335C63" w:rsidRDefault="0084730D" w:rsidP="000F4170">
      <w:pPr>
        <w:spacing w:line="360" w:lineRule="auto" w:after="120"/>
        <w:jc w:val="left"/>
        <w:rPr>
          <w:rFonts w:ascii="Times New Roman" w:hAnsi="Times New Roman" w:cs="Times New Roman"/>
          <w:sz w:val="24"/>
          <w:szCs w:val="24"/>
        </w:rPr>
      </w:pPr>
    </w:p>
    <w:p w14:paraId="642917CA"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b/>
          <w:color w:val="000000"/>
          <w:sz w:val="24"/>
        </w:rPr>
        <w:t>4.3 Milestones</w:t>
      </w:r>
    </w:p>
    <w:tbl>
      <w:tblPr>
        <w:tblStyle w:val="TableGrid"/>
        <w:tblW w:w="5000" w:type="pct"/>
        <w:jc w:val="center"/>
        <w:tblLook w:val="04A0" w:firstRow="1" w:lastRow="0" w:firstColumn="1" w:lastColumn="0" w:noHBand="0" w:noVBand="1"/>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857"/>
        <w:gridCol w:w="1518"/>
        <w:gridCol w:w="4641"/>
      </w:tblGrid>
      <w:tr w:rsidR="0084730D" w:rsidRPr="00335C63" w14:paraId="71219287" w14:textId="77777777" w:rsidTr="00997D20">
        <w:trPr>
          <w:cantSplit/>
          <w:tblHeader/>
          <w:jc w:val="center"/>
        </w:trPr>
        <w:tc>
          <w:tcPr>
            <w:tcW w:w="1584" w:type="pct"/>
            <w:shd w:val="clear" w:color="auto" w:fill="E8F1FA"/>
            <w:tcMar>
              <w:top w:w="90" w:type="dxa"/>
              <w:left w:w="90" w:type="dxa"/>
              <w:bottom w:w="90" w:type="dxa"/>
              <w:right w:w="90" w:type="dxa"/>
            </w:tcMar>
            <w:vAlign w:val="center"/>
            <w:shd w:fill="DCEAF7"/>
          </w:tcPr>
          <w:p w14:paraId="1782905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Milestone</w:t>
            </w:r>
          </w:p>
        </w:tc>
        <w:tc>
          <w:tcPr>
            <w:tcW w:w="842" w:type="pct"/>
            <w:shd w:val="clear" w:color="auto" w:fill="E8F1FA"/>
            <w:tcMar>
              <w:top w:w="90" w:type="dxa"/>
              <w:left w:w="90" w:type="dxa"/>
              <w:bottom w:w="90" w:type="dxa"/>
              <w:right w:w="90" w:type="dxa"/>
            </w:tcMar>
            <w:vAlign w:val="center"/>
            <w:shd w:fill="DCEAF7"/>
          </w:tcPr>
          <w:p w14:paraId="06E7A83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Target Week</w:t>
            </w:r>
          </w:p>
        </w:tc>
        <w:tc>
          <w:tcPr>
            <w:tcW w:w="2573" w:type="pct"/>
            <w:shd w:val="clear" w:color="auto" w:fill="E8F1FA"/>
            <w:tcMar>
              <w:top w:w="90" w:type="dxa"/>
              <w:left w:w="90" w:type="dxa"/>
              <w:bottom w:w="90" w:type="dxa"/>
              <w:right w:w="90" w:type="dxa"/>
            </w:tcMar>
            <w:vAlign w:val="center"/>
            <w:shd w:fill="DCEAF7"/>
          </w:tcPr>
          <w:p w14:paraId="002D9E6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Success Criteria</w:t>
            </w:r>
          </w:p>
        </w:tc>
      </w:tr>
      <w:tr w:rsidR="0084730D" w:rsidRPr="00335C63" w14:paraId="7CBB7A67" w14:textId="77777777" w:rsidTr="00997D20">
        <w:trPr>
          <w:cantSplit/>
          <w:jc w:val="center"/>
        </w:trPr>
        <w:tc>
          <w:tcPr>
            <w:tcW w:w="1584" w:type="pct"/>
            <w:tcMar>
              <w:top w:w="90" w:type="dxa"/>
              <w:left w:w="90" w:type="dxa"/>
              <w:bottom w:w="90" w:type="dxa"/>
              <w:right w:w="90" w:type="dxa"/>
            </w:tcMar>
            <w:vAlign w:val="center"/>
          </w:tcPr>
          <w:p w14:paraId="2FFF341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M1: Data source confirmation</w:t>
            </w:r>
          </w:p>
        </w:tc>
        <w:tc>
          <w:tcPr>
            <w:tcW w:w="842" w:type="pct"/>
            <w:tcMar>
              <w:top w:w="90" w:type="dxa"/>
              <w:left w:w="90" w:type="dxa"/>
              <w:bottom w:w="90" w:type="dxa"/>
              <w:right w:w="90" w:type="dxa"/>
            </w:tcMar>
            <w:vAlign w:val="center"/>
          </w:tcPr>
          <w:p w14:paraId="6C7E1F8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Week 1</w:t>
            </w:r>
          </w:p>
        </w:tc>
        <w:tc>
          <w:tcPr>
            <w:tcW w:w="2573" w:type="pct"/>
            <w:tcMar>
              <w:top w:w="90" w:type="dxa"/>
              <w:left w:w="90" w:type="dxa"/>
              <w:bottom w:w="90" w:type="dxa"/>
              <w:right w:w="90" w:type="dxa"/>
            </w:tcMar>
            <w:vAlign w:val="center"/>
          </w:tcPr>
          <w:p w14:paraId="3D8D9C8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Required sheets/calendar exports identified and accessible</w:t>
            </w:r>
          </w:p>
        </w:tc>
      </w:tr>
      <w:tr w:rsidR="0084730D" w:rsidRPr="00335C63" w14:paraId="4DD68E9F" w14:textId="77777777" w:rsidTr="00997D20">
        <w:trPr>
          <w:cantSplit/>
          <w:jc w:val="center"/>
        </w:trPr>
        <w:tc>
          <w:tcPr>
            <w:tcW w:w="1584" w:type="pct"/>
            <w:tcMar>
              <w:top w:w="90" w:type="dxa"/>
              <w:left w:w="90" w:type="dxa"/>
              <w:bottom w:w="90" w:type="dxa"/>
              <w:right w:w="90" w:type="dxa"/>
            </w:tcMar>
            <w:vAlign w:val="center"/>
          </w:tcPr>
          <w:p w14:paraId="3F53AF9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M2: Clean analytics dataset</w:t>
            </w:r>
          </w:p>
        </w:tc>
        <w:tc>
          <w:tcPr>
            <w:tcW w:w="842" w:type="pct"/>
            <w:tcMar>
              <w:top w:w="90" w:type="dxa"/>
              <w:left w:w="90" w:type="dxa"/>
              <w:bottom w:w="90" w:type="dxa"/>
              <w:right w:w="90" w:type="dxa"/>
            </w:tcMar>
            <w:vAlign w:val="center"/>
          </w:tcPr>
          <w:p w14:paraId="088301C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Week 4</w:t>
            </w:r>
          </w:p>
        </w:tc>
        <w:tc>
          <w:tcPr>
            <w:tcW w:w="2573" w:type="pct"/>
            <w:tcMar>
              <w:top w:w="90" w:type="dxa"/>
              <w:left w:w="90" w:type="dxa"/>
              <w:bottom w:w="90" w:type="dxa"/>
              <w:right w:w="90" w:type="dxa"/>
            </w:tcMar>
            <w:vAlign w:val="center"/>
          </w:tcPr>
          <w:p w14:paraId="24E705C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 xml:space="preserve">Cleaning rules run </w:t>
            </w:r>
            <w:proofErr w:type="gramStart"/>
            <w:r w:rsidRPr="00335C63">
              <w:rPr>
                <w:rFonts w:ascii="Times New Roman" w:hAnsi="Times New Roman" w:cs="Times New Roman" w:eastAsia="Times New Roman"/>
                <w:sz w:val="21"/>
                <w:szCs w:val="24"/>
              </w:rPr>
              <w:t>successfully</w:t>
            </w:r>
            <w:proofErr w:type="gramEnd"/>
            <w:r w:rsidRPr="00335C63">
              <w:rPr>
                <w:rFonts w:ascii="Times New Roman" w:hAnsi="Times New Roman" w:cs="Times New Roman" w:eastAsia="Times New Roman"/>
                <w:sz w:val="21"/>
                <w:szCs w:val="24"/>
              </w:rPr>
              <w:t xml:space="preserve"> and data quality issues are documented</w:t>
            </w:r>
          </w:p>
        </w:tc>
      </w:tr>
      <w:tr w:rsidR="0084730D" w:rsidRPr="00335C63" w14:paraId="7776D649" w14:textId="77777777" w:rsidTr="00997D20">
        <w:trPr>
          <w:cantSplit/>
          <w:jc w:val="center"/>
        </w:trPr>
        <w:tc>
          <w:tcPr>
            <w:tcW w:w="1584" w:type="pct"/>
            <w:tcMar>
              <w:top w:w="90" w:type="dxa"/>
              <w:left w:w="90" w:type="dxa"/>
              <w:bottom w:w="90" w:type="dxa"/>
              <w:right w:w="90" w:type="dxa"/>
            </w:tcMar>
            <w:vAlign w:val="center"/>
          </w:tcPr>
          <w:p w14:paraId="3B2A3AFC" w14:textId="77777777" w:rsidR="00BB18A2" w:rsidRDefault="00000000">
            <w:pPr>
              <w:spacing w:line="276" w:lineRule="auto" w:after="60"/>
              <w:jc w:val="left"/>
            </w:pPr>
            <w:r>
              <w:rPr>
                <w:rFonts w:ascii="Times New Roman" w:hAnsi="Times New Roman" w:eastAsia="Times New Roman" w:cs="Times New Roman"/>
                <w:sz w:val="21"/>
              </w:rPr>
              <w:t>M3: BigQuery and dbt warehouse ready</w:t>
            </w:r>
          </w:p>
        </w:tc>
        <w:tc>
          <w:tcPr>
            <w:tcW w:w="842" w:type="pct"/>
            <w:tcMar>
              <w:top w:w="90" w:type="dxa"/>
              <w:left w:w="90" w:type="dxa"/>
              <w:bottom w:w="90" w:type="dxa"/>
              <w:right w:w="90" w:type="dxa"/>
            </w:tcMar>
            <w:vAlign w:val="center"/>
          </w:tcPr>
          <w:p w14:paraId="5E25AB7D" w14:textId="77777777" w:rsidR="00BB18A2" w:rsidRDefault="00000000">
            <w:pPr>
              <w:spacing w:line="276" w:lineRule="auto" w:after="60"/>
              <w:jc w:val="left"/>
            </w:pPr>
            <w:r>
              <w:rPr>
                <w:rFonts w:ascii="Times New Roman" w:hAnsi="Times New Roman" w:eastAsia="Times New Roman" w:cs="Times New Roman"/>
                <w:sz w:val="21"/>
              </w:rPr>
              <w:t>Week 6</w:t>
            </w:r>
          </w:p>
        </w:tc>
        <w:tc>
          <w:tcPr>
            <w:tcW w:w="2573" w:type="pct"/>
            <w:tcMar>
              <w:top w:w="90" w:type="dxa"/>
              <w:left w:w="90" w:type="dxa"/>
              <w:bottom w:w="90" w:type="dxa"/>
              <w:right w:w="90" w:type="dxa"/>
            </w:tcMar>
            <w:vAlign w:val="center"/>
          </w:tcPr>
          <w:p w14:paraId="6630C15C" w14:textId="77777777" w:rsidR="00BB18A2" w:rsidRDefault="00000000">
            <w:pPr>
              <w:spacing w:line="276" w:lineRule="auto" w:after="60"/>
              <w:jc w:val="left"/>
            </w:pPr>
            <w:r>
              <w:rPr>
                <w:rFonts w:ascii="Times New Roman" w:hAnsi="Times New Roman" w:eastAsia="Times New Roman" w:cs="Times New Roman"/>
                <w:sz w:val="21"/>
              </w:rPr>
              <w:t>Bronze, Silver, and Gold tables created with dbt models and initial tests</w:t>
            </w:r>
          </w:p>
        </w:tc>
      </w:tr>
      <w:tr w:rsidR="0084730D" w:rsidRPr="00335C63" w14:paraId="7E3990E1" w14:textId="77777777" w:rsidTr="00997D20">
        <w:trPr>
          <w:cantSplit/>
          <w:jc w:val="center"/>
        </w:trPr>
        <w:tc>
          <w:tcPr>
            <w:tcW w:w="1584" w:type="pct"/>
            <w:tcMar>
              <w:top w:w="90" w:type="dxa"/>
              <w:left w:w="90" w:type="dxa"/>
              <w:bottom w:w="90" w:type="dxa"/>
              <w:right w:w="90" w:type="dxa"/>
            </w:tcMar>
            <w:vAlign w:val="center"/>
          </w:tcPr>
          <w:p w14:paraId="2507B5F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M4: Core analytics complete</w:t>
            </w:r>
          </w:p>
        </w:tc>
        <w:tc>
          <w:tcPr>
            <w:tcW w:w="842" w:type="pct"/>
            <w:tcMar>
              <w:top w:w="90" w:type="dxa"/>
              <w:left w:w="90" w:type="dxa"/>
              <w:bottom w:w="90" w:type="dxa"/>
              <w:right w:w="90" w:type="dxa"/>
            </w:tcMar>
            <w:vAlign w:val="center"/>
          </w:tcPr>
          <w:p w14:paraId="33DD945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Week 9</w:t>
            </w:r>
          </w:p>
        </w:tc>
        <w:tc>
          <w:tcPr>
            <w:tcW w:w="2573" w:type="pct"/>
            <w:tcMar>
              <w:top w:w="90" w:type="dxa"/>
              <w:left w:w="90" w:type="dxa"/>
              <w:bottom w:w="90" w:type="dxa"/>
              <w:right w:w="90" w:type="dxa"/>
            </w:tcMar>
            <w:vAlign w:val="center"/>
          </w:tcPr>
          <w:p w14:paraId="5690708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Treatment, recurrence, hotspot, weather, and upsell analytics produce outputs</w:t>
            </w:r>
          </w:p>
        </w:tc>
      </w:tr>
      <w:tr w:rsidR="0084730D" w:rsidRPr="00335C63" w14:paraId="30ED2AAA" w14:textId="77777777" w:rsidTr="00997D20">
        <w:trPr>
          <w:cantSplit/>
          <w:jc w:val="center"/>
        </w:trPr>
        <w:tc>
          <w:tcPr>
            <w:tcW w:w="1584" w:type="pct"/>
            <w:tcMar>
              <w:top w:w="90" w:type="dxa"/>
              <w:left w:w="90" w:type="dxa"/>
              <w:bottom w:w="90" w:type="dxa"/>
              <w:right w:w="90" w:type="dxa"/>
            </w:tcMar>
            <w:vAlign w:val="center"/>
          </w:tcPr>
          <w:p w14:paraId="0177FD88" w14:textId="77777777" w:rsidR="00BB18A2" w:rsidRDefault="00000000">
            <w:pPr>
              <w:spacing w:line="276" w:lineRule="auto" w:after="60"/>
              <w:jc w:val="left"/>
            </w:pPr>
            <w:r>
              <w:rPr>
                <w:rFonts w:ascii="Times New Roman" w:hAnsi="Times New Roman" w:eastAsia="Times New Roman" w:cs="Times New Roman"/>
                <w:sz w:val="21"/>
              </w:rPr>
              <w:t>M5: Airflow and dashboard prototype complete</w:t>
            </w:r>
          </w:p>
        </w:tc>
        <w:tc>
          <w:tcPr>
            <w:tcW w:w="842" w:type="pct"/>
            <w:tcMar>
              <w:top w:w="90" w:type="dxa"/>
              <w:left w:w="90" w:type="dxa"/>
              <w:bottom w:w="90" w:type="dxa"/>
              <w:right w:w="90" w:type="dxa"/>
            </w:tcMar>
            <w:vAlign w:val="center"/>
          </w:tcPr>
          <w:p w14:paraId="7345EC32" w14:textId="77777777" w:rsidR="00BB18A2" w:rsidRDefault="00000000">
            <w:pPr>
              <w:spacing w:line="276" w:lineRule="auto" w:after="60"/>
              <w:jc w:val="left"/>
            </w:pPr>
            <w:r>
              <w:rPr>
                <w:rFonts w:ascii="Times New Roman" w:hAnsi="Times New Roman" w:eastAsia="Times New Roman" w:cs="Times New Roman"/>
                <w:sz w:val="21"/>
              </w:rPr>
              <w:t>Week 11</w:t>
            </w:r>
          </w:p>
        </w:tc>
        <w:tc>
          <w:tcPr>
            <w:tcW w:w="2573" w:type="pct"/>
            <w:tcMar>
              <w:top w:w="90" w:type="dxa"/>
              <w:left w:w="90" w:type="dxa"/>
              <w:bottom w:w="90" w:type="dxa"/>
              <w:right w:w="90" w:type="dxa"/>
            </w:tcMar>
            <w:vAlign w:val="center"/>
          </w:tcPr>
          <w:p w14:paraId="5C83374B" w14:textId="77777777" w:rsidR="00BB18A2" w:rsidRDefault="00000000">
            <w:pPr>
              <w:spacing w:line="276" w:lineRule="auto" w:after="60"/>
              <w:jc w:val="left"/>
            </w:pPr>
            <w:r>
              <w:rPr>
                <w:rFonts w:ascii="Times New Roman" w:hAnsi="Times New Roman" w:eastAsia="Times New Roman" w:cs="Times New Roman"/>
                <w:sz w:val="21"/>
              </w:rPr>
              <w:t>Airflow DAG runs core pipeline and Superset dashboards answer key management questions</w:t>
            </w:r>
          </w:p>
        </w:tc>
      </w:tr>
      <w:tr w:rsidR="0084730D" w:rsidRPr="00335C63" w14:paraId="4FFADDB0" w14:textId="77777777" w:rsidTr="00997D20">
        <w:trPr>
          <w:cantSplit/>
          <w:jc w:val="center"/>
        </w:trPr>
        <w:tc>
          <w:tcPr>
            <w:tcW w:w="1584" w:type="pct"/>
            <w:tcMar>
              <w:top w:w="90" w:type="dxa"/>
              <w:left w:w="90" w:type="dxa"/>
              <w:bottom w:w="90" w:type="dxa"/>
              <w:right w:w="90" w:type="dxa"/>
            </w:tcMar>
            <w:vAlign w:val="center"/>
          </w:tcPr>
          <w:p w14:paraId="158A7D4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M6: Evaluation complete</w:t>
            </w:r>
          </w:p>
        </w:tc>
        <w:tc>
          <w:tcPr>
            <w:tcW w:w="842" w:type="pct"/>
            <w:tcMar>
              <w:top w:w="90" w:type="dxa"/>
              <w:left w:w="90" w:type="dxa"/>
              <w:bottom w:w="90" w:type="dxa"/>
              <w:right w:w="90" w:type="dxa"/>
            </w:tcMar>
            <w:vAlign w:val="center"/>
          </w:tcPr>
          <w:p w14:paraId="7CF3AA4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Week 12</w:t>
            </w:r>
          </w:p>
        </w:tc>
        <w:tc>
          <w:tcPr>
            <w:tcW w:w="2573" w:type="pct"/>
            <w:tcMar>
              <w:top w:w="90" w:type="dxa"/>
              <w:left w:w="90" w:type="dxa"/>
              <w:bottom w:w="90" w:type="dxa"/>
              <w:right w:w="90" w:type="dxa"/>
            </w:tcMar>
            <w:vAlign w:val="center"/>
          </w:tcPr>
          <w:p w14:paraId="2AD8888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Management feedback and manual-check comparison documented</w:t>
            </w:r>
          </w:p>
        </w:tc>
      </w:tr>
      <w:tr w:rsidR="0084730D" w:rsidRPr="00335C63" w14:paraId="651221F2" w14:textId="77777777" w:rsidTr="00997D20">
        <w:trPr>
          <w:cantSplit/>
          <w:jc w:val="center"/>
        </w:trPr>
        <w:tc>
          <w:tcPr>
            <w:tcW w:w="1584" w:type="pct"/>
            <w:tcMar>
              <w:top w:w="90" w:type="dxa"/>
              <w:left w:w="90" w:type="dxa"/>
              <w:bottom w:w="90" w:type="dxa"/>
              <w:right w:w="90" w:type="dxa"/>
            </w:tcMar>
            <w:vAlign w:val="center"/>
          </w:tcPr>
          <w:p w14:paraId="661794A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M7: Final submission ready</w:t>
            </w:r>
          </w:p>
        </w:tc>
        <w:tc>
          <w:tcPr>
            <w:tcW w:w="842" w:type="pct"/>
            <w:tcMar>
              <w:top w:w="90" w:type="dxa"/>
              <w:left w:w="90" w:type="dxa"/>
              <w:bottom w:w="90" w:type="dxa"/>
              <w:right w:w="90" w:type="dxa"/>
            </w:tcMar>
            <w:vAlign w:val="center"/>
          </w:tcPr>
          <w:p w14:paraId="31AFDF0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Week 14</w:t>
            </w:r>
          </w:p>
        </w:tc>
        <w:tc>
          <w:tcPr>
            <w:tcW w:w="2573" w:type="pct"/>
            <w:tcMar>
              <w:top w:w="90" w:type="dxa"/>
              <w:left w:w="90" w:type="dxa"/>
              <w:bottom w:w="90" w:type="dxa"/>
              <w:right w:w="90" w:type="dxa"/>
            </w:tcMar>
            <w:vAlign w:val="center"/>
          </w:tcPr>
          <w:p w14:paraId="430D01F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Report, dashboard screenshots, and demonstration environment prepared</w:t>
            </w:r>
          </w:p>
        </w:tc>
      </w:tr>
    </w:tbl>
    <w:p w14:paraId="03AD355B" w14:textId="77777777" w:rsidR="0084730D" w:rsidRPr="00335C63" w:rsidRDefault="0084730D" w:rsidP="000F4170">
      <w:pPr>
        <w:spacing w:line="360" w:lineRule="auto" w:after="120"/>
        <w:jc w:val="left"/>
        <w:rPr>
          <w:rFonts w:ascii="Times New Roman" w:hAnsi="Times New Roman" w:cs="Times New Roman"/>
          <w:sz w:val="24"/>
          <w:szCs w:val="24"/>
        </w:rPr>
      </w:pPr>
    </w:p>
    <w:p w14:paraId="26E4A1E0"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b/>
          <w:color w:val="000000"/>
          <w:sz w:val="24"/>
        </w:rPr>
        <w:t>4.4 Risks and Mitigation</w:t>
      </w:r>
    </w:p>
    <w:tbl>
      <w:tblPr>
        <w:tblStyle w:val="TableGrid"/>
        <w:tblW w:w="5000" w:type="pct"/>
        <w:jc w:val="center"/>
        <w:tblLook w:val="04A0" w:firstRow="1" w:lastRow="0" w:firstColumn="1" w:lastColumn="0" w:noHBand="0" w:noVBand="1"/>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94"/>
        <w:gridCol w:w="2416"/>
        <w:gridCol w:w="3206"/>
      </w:tblGrid>
      <w:tr w:rsidR="0084730D" w:rsidRPr="00335C63" w14:paraId="7A403D77" w14:textId="77777777" w:rsidTr="00997D20">
        <w:trPr>
          <w:cantSplit/>
          <w:tblHeader/>
          <w:jc w:val="center"/>
        </w:trPr>
        <w:tc>
          <w:tcPr>
            <w:tcW w:w="1882" w:type="pct"/>
            <w:shd w:val="clear" w:color="auto" w:fill="E8F1FA"/>
            <w:tcMar>
              <w:top w:w="90" w:type="dxa"/>
              <w:left w:w="90" w:type="dxa"/>
              <w:bottom w:w="90" w:type="dxa"/>
              <w:right w:w="90" w:type="dxa"/>
            </w:tcMar>
            <w:vAlign w:val="center"/>
            <w:shd w:fill="DCEAF7"/>
          </w:tcPr>
          <w:p w14:paraId="2C22E29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Risk</w:t>
            </w:r>
          </w:p>
        </w:tc>
        <w:tc>
          <w:tcPr>
            <w:tcW w:w="1340" w:type="pct"/>
            <w:shd w:val="clear" w:color="auto" w:fill="E8F1FA"/>
            <w:tcMar>
              <w:top w:w="90" w:type="dxa"/>
              <w:left w:w="90" w:type="dxa"/>
              <w:bottom w:w="90" w:type="dxa"/>
              <w:right w:w="90" w:type="dxa"/>
            </w:tcMar>
            <w:vAlign w:val="center"/>
            <w:shd w:fill="DCEAF7"/>
          </w:tcPr>
          <w:p w14:paraId="515BC15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Impact</w:t>
            </w:r>
          </w:p>
        </w:tc>
        <w:tc>
          <w:tcPr>
            <w:tcW w:w="1778" w:type="pct"/>
            <w:shd w:val="clear" w:color="auto" w:fill="E8F1FA"/>
            <w:tcMar>
              <w:top w:w="90" w:type="dxa"/>
              <w:left w:w="90" w:type="dxa"/>
              <w:bottom w:w="90" w:type="dxa"/>
              <w:right w:w="90" w:type="dxa"/>
            </w:tcMar>
            <w:vAlign w:val="center"/>
            <w:shd w:fill="DCEAF7"/>
          </w:tcPr>
          <w:p w14:paraId="4815754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Mitigation</w:t>
            </w:r>
          </w:p>
        </w:tc>
      </w:tr>
      <w:tr w:rsidR="0084730D" w:rsidRPr="00335C63" w14:paraId="2B5E89D6" w14:textId="77777777" w:rsidTr="00997D20">
        <w:trPr>
          <w:cantSplit/>
          <w:jc w:val="center"/>
        </w:trPr>
        <w:tc>
          <w:tcPr>
            <w:tcW w:w="1882" w:type="pct"/>
            <w:tcMar>
              <w:top w:w="90" w:type="dxa"/>
              <w:left w:w="90" w:type="dxa"/>
              <w:bottom w:w="90" w:type="dxa"/>
              <w:right w:w="90" w:type="dxa"/>
            </w:tcMar>
            <w:vAlign w:val="center"/>
          </w:tcPr>
          <w:p w14:paraId="0D82EBE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Warranty data has only around 200+ records</w:t>
            </w:r>
          </w:p>
        </w:tc>
        <w:tc>
          <w:tcPr>
            <w:tcW w:w="1340" w:type="pct"/>
            <w:tcMar>
              <w:top w:w="90" w:type="dxa"/>
              <w:left w:w="90" w:type="dxa"/>
              <w:bottom w:w="90" w:type="dxa"/>
              <w:right w:w="90" w:type="dxa"/>
            </w:tcMar>
            <w:vAlign w:val="center"/>
          </w:tcPr>
          <w:p w14:paraId="72A1B9F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Complex ML may overfit</w:t>
            </w:r>
          </w:p>
        </w:tc>
        <w:tc>
          <w:tcPr>
            <w:tcW w:w="1778" w:type="pct"/>
            <w:tcMar>
              <w:top w:w="90" w:type="dxa"/>
              <w:left w:w="90" w:type="dxa"/>
              <w:bottom w:w="90" w:type="dxa"/>
              <w:right w:w="90" w:type="dxa"/>
            </w:tcMar>
            <w:vAlign w:val="center"/>
          </w:tcPr>
          <w:p w14:paraId="41671A0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explainable scoring, lag analysis, and logistic regression only if stable</w:t>
            </w:r>
          </w:p>
        </w:tc>
      </w:tr>
      <w:tr w:rsidR="0084730D" w:rsidRPr="00335C63" w14:paraId="01D5243F" w14:textId="77777777" w:rsidTr="00997D20">
        <w:trPr>
          <w:cantSplit/>
          <w:jc w:val="center"/>
        </w:trPr>
        <w:tc>
          <w:tcPr>
            <w:tcW w:w="1882" w:type="pct"/>
            <w:tcMar>
              <w:top w:w="90" w:type="dxa"/>
              <w:left w:w="90" w:type="dxa"/>
              <w:bottom w:w="90" w:type="dxa"/>
              <w:right w:w="90" w:type="dxa"/>
            </w:tcMar>
            <w:vAlign w:val="center"/>
          </w:tcPr>
          <w:p w14:paraId="64DAA3E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Google Sheets columns change</w:t>
            </w:r>
          </w:p>
        </w:tc>
        <w:tc>
          <w:tcPr>
            <w:tcW w:w="1340" w:type="pct"/>
            <w:tcMar>
              <w:top w:w="90" w:type="dxa"/>
              <w:left w:w="90" w:type="dxa"/>
              <w:bottom w:w="90" w:type="dxa"/>
              <w:right w:w="90" w:type="dxa"/>
            </w:tcMar>
            <w:vAlign w:val="center"/>
          </w:tcPr>
          <w:p w14:paraId="32CF4BA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ETL can break</w:t>
            </w:r>
          </w:p>
        </w:tc>
        <w:tc>
          <w:tcPr>
            <w:tcW w:w="1778" w:type="pct"/>
            <w:tcMar>
              <w:top w:w="90" w:type="dxa"/>
              <w:left w:w="90" w:type="dxa"/>
              <w:bottom w:w="90" w:type="dxa"/>
              <w:right w:w="90" w:type="dxa"/>
            </w:tcMar>
            <w:vAlign w:val="center"/>
          </w:tcPr>
          <w:p w14:paraId="55964B5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canonical column mapping and alias handling</w:t>
            </w:r>
          </w:p>
        </w:tc>
      </w:tr>
      <w:tr w:rsidR="0084730D" w:rsidRPr="00335C63" w14:paraId="39F7F4EC" w14:textId="77777777" w:rsidTr="00997D20">
        <w:trPr>
          <w:cantSplit/>
          <w:jc w:val="center"/>
        </w:trPr>
        <w:tc>
          <w:tcPr>
            <w:tcW w:w="1882" w:type="pct"/>
            <w:tcMar>
              <w:top w:w="90" w:type="dxa"/>
              <w:left w:w="90" w:type="dxa"/>
              <w:bottom w:w="90" w:type="dxa"/>
              <w:right w:w="90" w:type="dxa"/>
            </w:tcMar>
            <w:vAlign w:val="center"/>
          </w:tcPr>
          <w:p w14:paraId="68DC3DF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Calendar event names are inconsistent</w:t>
            </w:r>
          </w:p>
        </w:tc>
        <w:tc>
          <w:tcPr>
            <w:tcW w:w="1340" w:type="pct"/>
            <w:tcMar>
              <w:top w:w="90" w:type="dxa"/>
              <w:left w:w="90" w:type="dxa"/>
              <w:bottom w:w="90" w:type="dxa"/>
              <w:right w:w="90" w:type="dxa"/>
            </w:tcMar>
            <w:vAlign w:val="center"/>
          </w:tcPr>
          <w:p w14:paraId="6442AFC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Session classification errors</w:t>
            </w:r>
          </w:p>
        </w:tc>
        <w:tc>
          <w:tcPr>
            <w:tcW w:w="1778" w:type="pct"/>
            <w:tcMar>
              <w:top w:w="90" w:type="dxa"/>
              <w:left w:w="90" w:type="dxa"/>
              <w:bottom w:w="90" w:type="dxa"/>
              <w:right w:w="90" w:type="dxa"/>
            </w:tcMar>
            <w:vAlign w:val="center"/>
          </w:tcPr>
          <w:p w14:paraId="6D5D93B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keyword rules and manual review list</w:t>
            </w:r>
          </w:p>
        </w:tc>
      </w:tr>
      <w:tr w:rsidR="0084730D" w:rsidRPr="00335C63" w14:paraId="53BDC5B1" w14:textId="77777777" w:rsidTr="00997D20">
        <w:trPr>
          <w:cantSplit/>
          <w:jc w:val="center"/>
        </w:trPr>
        <w:tc>
          <w:tcPr>
            <w:tcW w:w="1882" w:type="pct"/>
            <w:tcMar>
              <w:top w:w="90" w:type="dxa"/>
              <w:left w:w="90" w:type="dxa"/>
              <w:bottom w:w="90" w:type="dxa"/>
              <w:right w:w="90" w:type="dxa"/>
            </w:tcMar>
            <w:vAlign w:val="center"/>
          </w:tcPr>
          <w:p w14:paraId="787BD2E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lastRenderedPageBreak/>
              <w:t>Coordinates are incomplete</w:t>
            </w:r>
          </w:p>
        </w:tc>
        <w:tc>
          <w:tcPr>
            <w:tcW w:w="1340" w:type="pct"/>
            <w:tcMar>
              <w:top w:w="90" w:type="dxa"/>
              <w:left w:w="90" w:type="dxa"/>
              <w:bottom w:w="90" w:type="dxa"/>
              <w:right w:w="90" w:type="dxa"/>
            </w:tcMar>
            <w:vAlign w:val="center"/>
          </w:tcPr>
          <w:p w14:paraId="4155F71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Hotspot analysis becomes less precise</w:t>
            </w:r>
          </w:p>
        </w:tc>
        <w:tc>
          <w:tcPr>
            <w:tcW w:w="1778" w:type="pct"/>
            <w:tcMar>
              <w:top w:w="90" w:type="dxa"/>
              <w:left w:w="90" w:type="dxa"/>
              <w:bottom w:w="90" w:type="dxa"/>
              <w:right w:w="90" w:type="dxa"/>
            </w:tcMar>
            <w:vAlign w:val="center"/>
          </w:tcPr>
          <w:p w14:paraId="19F47F2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postcode/area centroid fallback and document confidence</w:t>
            </w:r>
          </w:p>
        </w:tc>
      </w:tr>
      <w:tr w:rsidR="0084730D" w:rsidRPr="00335C63" w14:paraId="570DB832" w14:textId="77777777" w:rsidTr="00997D20">
        <w:trPr>
          <w:cantSplit/>
          <w:jc w:val="center"/>
        </w:trPr>
        <w:tc>
          <w:tcPr>
            <w:tcW w:w="1882" w:type="pct"/>
            <w:tcMar>
              <w:top w:w="90" w:type="dxa"/>
              <w:left w:w="90" w:type="dxa"/>
              <w:bottom w:w="90" w:type="dxa"/>
              <w:right w:w="90" w:type="dxa"/>
            </w:tcMar>
            <w:vAlign w:val="center"/>
          </w:tcPr>
          <w:p w14:paraId="3255F3B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 data does not match micro-location conditions</w:t>
            </w:r>
          </w:p>
        </w:tc>
        <w:tc>
          <w:tcPr>
            <w:tcW w:w="1340" w:type="pct"/>
            <w:tcMar>
              <w:top w:w="90" w:type="dxa"/>
              <w:left w:w="90" w:type="dxa"/>
              <w:bottom w:w="90" w:type="dxa"/>
              <w:right w:w="90" w:type="dxa"/>
            </w:tcMar>
            <w:vAlign w:val="center"/>
          </w:tcPr>
          <w:p w14:paraId="26727F5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Risk of overclaiming weather effect</w:t>
            </w:r>
          </w:p>
        </w:tc>
        <w:tc>
          <w:tcPr>
            <w:tcW w:w="1778" w:type="pct"/>
            <w:tcMar>
              <w:top w:w="90" w:type="dxa"/>
              <w:left w:w="90" w:type="dxa"/>
              <w:bottom w:w="90" w:type="dxa"/>
              <w:right w:w="90" w:type="dxa"/>
            </w:tcMar>
            <w:vAlign w:val="center"/>
          </w:tcPr>
          <w:p w14:paraId="118C866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association wording and service-date weather windows</w:t>
            </w:r>
          </w:p>
        </w:tc>
      </w:tr>
      <w:tr w:rsidR="0084730D" w:rsidRPr="00335C63" w14:paraId="4E7C08BE" w14:textId="77777777" w:rsidTr="00997D20">
        <w:trPr>
          <w:cantSplit/>
          <w:jc w:val="center"/>
        </w:trPr>
        <w:tc>
          <w:tcPr>
            <w:tcW w:w="1882" w:type="pct"/>
            <w:tcMar>
              <w:top w:w="90" w:type="dxa"/>
              <w:left w:w="90" w:type="dxa"/>
              <w:bottom w:w="90" w:type="dxa"/>
              <w:right w:w="90" w:type="dxa"/>
            </w:tcMar>
            <w:vAlign w:val="center"/>
          </w:tcPr>
          <w:p w14:paraId="446043A2" w14:textId="77777777" w:rsidR="00BB18A2" w:rsidRDefault="00000000">
            <w:pPr>
              <w:spacing w:line="276" w:lineRule="auto" w:after="60"/>
              <w:jc w:val="left"/>
            </w:pPr>
            <w:r>
              <w:rPr>
                <w:rFonts w:ascii="Times New Roman" w:hAnsi="Times New Roman" w:eastAsia="Times New Roman" w:cs="Times New Roman"/>
                <w:sz w:val="21"/>
              </w:rPr>
              <w:t>Airflow, dbt, or Google Sheets access fails during demo</w:t>
            </w:r>
          </w:p>
        </w:tc>
        <w:tc>
          <w:tcPr>
            <w:tcW w:w="1340" w:type="pct"/>
            <w:tcMar>
              <w:top w:w="90" w:type="dxa"/>
              <w:left w:w="90" w:type="dxa"/>
              <w:bottom w:w="90" w:type="dxa"/>
              <w:right w:w="90" w:type="dxa"/>
            </w:tcMar>
            <w:vAlign w:val="center"/>
          </w:tcPr>
          <w:p w14:paraId="3C0F8627" w14:textId="77777777" w:rsidR="00BB18A2" w:rsidRDefault="00000000">
            <w:pPr>
              <w:spacing w:line="276" w:lineRule="auto" w:after="60"/>
              <w:jc w:val="left"/>
            </w:pPr>
            <w:r>
              <w:rPr>
                <w:rFonts w:ascii="Times New Roman" w:hAnsi="Times New Roman" w:eastAsia="Times New Roman" w:cs="Times New Roman"/>
                <w:sz w:val="21"/>
              </w:rPr>
              <w:t>Pipeline/dashboard may show stale data</w:t>
            </w:r>
          </w:p>
        </w:tc>
        <w:tc>
          <w:tcPr>
            <w:tcW w:w="1778" w:type="pct"/>
            <w:tcMar>
              <w:top w:w="90" w:type="dxa"/>
              <w:left w:w="90" w:type="dxa"/>
              <w:bottom w:w="90" w:type="dxa"/>
              <w:right w:w="90" w:type="dxa"/>
            </w:tcMar>
            <w:vAlign w:val="center"/>
          </w:tcPr>
          <w:p w14:paraId="3A9A5A03" w14:textId="77777777" w:rsidR="00BB18A2" w:rsidRDefault="00000000">
            <w:pPr>
              <w:spacing w:line="276" w:lineRule="auto" w:after="60"/>
              <w:jc w:val="left"/>
            </w:pPr>
            <w:r>
              <w:rPr>
                <w:rFonts w:ascii="Times New Roman" w:hAnsi="Times New Roman" w:eastAsia="Times New Roman" w:cs="Times New Roman"/>
                <w:sz w:val="21"/>
              </w:rPr>
              <w:t>Show last successful refresh, failed task status, manual run fallback, and static exported marts for backup</w:t>
            </w:r>
          </w:p>
        </w:tc>
      </w:tr>
      <w:tr w:rsidR="0084730D" w:rsidRPr="00335C63" w14:paraId="202F6658" w14:textId="77777777" w:rsidTr="00997D20">
        <w:trPr>
          <w:cantSplit/>
          <w:jc w:val="center"/>
        </w:trPr>
        <w:tc>
          <w:tcPr>
            <w:tcW w:w="1882" w:type="pct"/>
            <w:tcMar>
              <w:top w:w="90" w:type="dxa"/>
              <w:left w:w="90" w:type="dxa"/>
              <w:bottom w:w="90" w:type="dxa"/>
              <w:right w:w="90" w:type="dxa"/>
            </w:tcMar>
            <w:vAlign w:val="center"/>
          </w:tcPr>
          <w:p w14:paraId="07685132" w14:textId="77777777" w:rsidR="00BB18A2" w:rsidRDefault="00000000">
            <w:pPr>
              <w:spacing w:line="276" w:lineRule="auto" w:after="60"/>
              <w:jc w:val="left"/>
            </w:pPr>
            <w:r>
              <w:rPr>
                <w:rFonts w:ascii="Times New Roman" w:hAnsi="Times New Roman" w:eastAsia="Times New Roman" w:cs="Times New Roman"/>
                <w:sz w:val="21"/>
              </w:rPr>
              <w:t>BigQuery/Superset/dbt setup takes longer than expected</w:t>
            </w:r>
          </w:p>
        </w:tc>
        <w:tc>
          <w:tcPr>
            <w:tcW w:w="1340" w:type="pct"/>
            <w:tcMar>
              <w:top w:w="90" w:type="dxa"/>
              <w:left w:w="90" w:type="dxa"/>
              <w:bottom w:w="90" w:type="dxa"/>
              <w:right w:w="90" w:type="dxa"/>
            </w:tcMar>
            <w:vAlign w:val="center"/>
          </w:tcPr>
          <w:p w14:paraId="47FF9B6B" w14:textId="77777777" w:rsidR="00BB18A2" w:rsidRDefault="00000000">
            <w:pPr>
              <w:spacing w:line="276" w:lineRule="auto" w:after="60"/>
              <w:jc w:val="left"/>
            </w:pPr>
            <w:r>
              <w:rPr>
                <w:rFonts w:ascii="Times New Roman" w:hAnsi="Times New Roman" w:eastAsia="Times New Roman" w:cs="Times New Roman"/>
                <w:sz w:val="21"/>
              </w:rPr>
              <w:t>Dashboard delivery risk</w:t>
            </w:r>
          </w:p>
        </w:tc>
        <w:tc>
          <w:tcPr>
            <w:tcW w:w="1778" w:type="pct"/>
            <w:tcMar>
              <w:top w:w="90" w:type="dxa"/>
              <w:left w:w="90" w:type="dxa"/>
              <w:bottom w:w="90" w:type="dxa"/>
              <w:right w:w="90" w:type="dxa"/>
            </w:tcMar>
            <w:vAlign w:val="center"/>
          </w:tcPr>
          <w:p w14:paraId="33FA30D0" w14:textId="77777777" w:rsidR="00BB18A2" w:rsidRDefault="00000000">
            <w:pPr>
              <w:spacing w:line="276" w:lineRule="auto" w:after="60"/>
              <w:jc w:val="left"/>
            </w:pPr>
            <w:r>
              <w:rPr>
                <w:rFonts w:ascii="Times New Roman" w:hAnsi="Times New Roman" w:eastAsia="Times New Roman" w:cs="Times New Roman"/>
                <w:sz w:val="21"/>
              </w:rPr>
              <w:t>Build minimum Bronze/Silver/Gold path first and add advanced marts after core pipeline works</w:t>
            </w:r>
          </w:p>
        </w:tc>
      </w:tr>
      <w:tr w:rsidR="0084730D" w:rsidRPr="00335C63" w14:paraId="53667F9E" w14:textId="77777777" w:rsidTr="00997D20">
        <w:trPr>
          <w:cantSplit/>
          <w:jc w:val="center"/>
        </w:trPr>
        <w:tc>
          <w:tcPr>
            <w:tcW w:w="1882" w:type="pct"/>
            <w:tcMar>
              <w:top w:w="90" w:type="dxa"/>
              <w:left w:w="90" w:type="dxa"/>
              <w:bottom w:w="90" w:type="dxa"/>
              <w:right w:w="90" w:type="dxa"/>
            </w:tcMar>
            <w:vAlign w:val="center"/>
          </w:tcPr>
          <w:p w14:paraId="5575FC1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Company users need simpler explanations</w:t>
            </w:r>
          </w:p>
        </w:tc>
        <w:tc>
          <w:tcPr>
            <w:tcW w:w="1340" w:type="pct"/>
            <w:tcMar>
              <w:top w:w="90" w:type="dxa"/>
              <w:left w:w="90" w:type="dxa"/>
              <w:bottom w:w="90" w:type="dxa"/>
              <w:right w:w="90" w:type="dxa"/>
            </w:tcMar>
            <w:vAlign w:val="center"/>
          </w:tcPr>
          <w:p w14:paraId="2A54A1B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Low adoption</w:t>
            </w:r>
          </w:p>
        </w:tc>
        <w:tc>
          <w:tcPr>
            <w:tcW w:w="1778" w:type="pct"/>
            <w:tcMar>
              <w:top w:w="90" w:type="dxa"/>
              <w:left w:w="90" w:type="dxa"/>
              <w:bottom w:w="90" w:type="dxa"/>
              <w:right w:w="90" w:type="dxa"/>
            </w:tcMar>
            <w:vAlign w:val="center"/>
          </w:tcPr>
          <w:p w14:paraId="0BCD05D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short recommendation labels and management-friendly dashboards</w:t>
            </w:r>
          </w:p>
        </w:tc>
      </w:tr>
      <w:tr w:rsidR="00BB18A2" w14:paraId="5FD114D6" w14:textId="77777777">
        <w:trPr>
          <w:jc w:val="center"/>
        </w:trPr>
        <w:tc>
          <w:tcPr>
            <w:tcW w:w="3394" w:type="dxa"/>
            <w:vAlign w:val="center"/>
          </w:tcPr>
          <w:p w14:paraId="1E3AC12B" w14:textId="77777777" w:rsidR="00BB18A2" w:rsidRDefault="00000000">
            <w:pPr>
              <w:spacing w:line="276" w:lineRule="auto" w:after="60"/>
              <w:jc w:val="left"/>
            </w:pPr>
            <w:r>
              <w:rPr>
                <w:rFonts w:ascii="Times New Roman" w:hAnsi="Times New Roman" w:eastAsia="Times New Roman" w:cs="Times New Roman"/>
                <w:sz w:val="21"/>
              </w:rPr>
              <w:t>Flexible contracts map a field incorrectly</w:t>
            </w:r>
          </w:p>
        </w:tc>
        <w:tc>
          <w:tcPr>
            <w:tcW w:w="2416" w:type="dxa"/>
            <w:vAlign w:val="center"/>
          </w:tcPr>
          <w:p w14:paraId="4F115042" w14:textId="77777777" w:rsidR="00BB18A2" w:rsidRDefault="00000000">
            <w:pPr>
              <w:spacing w:line="276" w:lineRule="auto" w:after="60"/>
              <w:jc w:val="left"/>
            </w:pPr>
            <w:r>
              <w:rPr>
                <w:rFonts w:ascii="Times New Roman" w:hAnsi="Times New Roman" w:eastAsia="Times New Roman" w:cs="Times New Roman"/>
                <w:sz w:val="21"/>
              </w:rPr>
              <w:t>Analytics may use wrong source meaning</w:t>
            </w:r>
          </w:p>
        </w:tc>
        <w:tc>
          <w:tcPr>
            <w:tcW w:w="3206" w:type="dxa"/>
            <w:vAlign w:val="center"/>
          </w:tcPr>
          <w:p w14:paraId="6640D24F" w14:textId="77777777" w:rsidR="00BB18A2" w:rsidRDefault="00000000">
            <w:pPr>
              <w:spacing w:line="276" w:lineRule="auto" w:after="60"/>
              <w:jc w:val="left"/>
            </w:pPr>
            <w:r>
              <w:rPr>
                <w:rFonts w:ascii="Times New Roman" w:hAnsi="Times New Roman" w:eastAsia="Times New Roman" w:cs="Times New Roman"/>
                <w:sz w:val="21"/>
              </w:rPr>
              <w:t>Store source-to-standard mappings, mapping confidence, and manual review notes in the data quality report</w:t>
            </w:r>
          </w:p>
        </w:tc>
      </w:tr>
    </w:tbl>
    <w:p w14:paraId="73194469" w14:textId="77777777" w:rsidR="0084730D" w:rsidRPr="00335C63" w:rsidRDefault="0084730D" w:rsidP="000F4170">
      <w:pPr>
        <w:spacing w:line="360" w:lineRule="auto" w:after="120"/>
        <w:jc w:val="left"/>
        <w:rPr>
          <w:rFonts w:ascii="Times New Roman" w:hAnsi="Times New Roman" w:cs="Times New Roman"/>
          <w:sz w:val="24"/>
          <w:szCs w:val="24"/>
        </w:rPr>
      </w:pPr>
    </w:p>
    <w:p w14:paraId="2B6254DA"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References</w:t>
      </w:r>
    </w:p>
    <w:p w14:paraId="765DE777" w14:textId="77777777" w:rsidR="00BB18A2" w:rsidRDefault="00000000">
      <w:pPr>
        <w:spacing w:line="360" w:lineRule="auto" w:after="120"/>
        <w:jc w:val="both"/>
      </w:pPr>
      <w:r>
        <w:rPr>
          <w:rFonts w:ascii="Times New Roman" w:hAnsi="Times New Roman" w:eastAsia="Times New Roman" w:cs="Times New Roman"/>
          <w:sz w:val="24"/>
        </w:rPr>
        <w:t>Apache Airflow. (2026). Apache Airflow documentation. https://airflow.apache.org/docs/</w:t>
      </w:r>
    </w:p>
    <w:p w14:paraId="0B85A9E2" w14:textId="77777777" w:rsidR="00BB18A2" w:rsidRDefault="00000000">
      <w:pPr>
        <w:spacing w:line="360" w:lineRule="auto" w:after="120"/>
        <w:jc w:val="both"/>
      </w:pPr>
      <w:r>
        <w:rPr>
          <w:rFonts w:ascii="Times New Roman" w:hAnsi="Times New Roman" w:eastAsia="Times New Roman" w:cs="Times New Roman"/>
          <w:sz w:val="24"/>
        </w:rPr>
        <w:t>Apache Airflow. (2026). DAGs. https://airflow.apache.org/docs/apache-airflow/stable/core-concepts/dags.html</w:t>
      </w:r>
    </w:p>
    <w:p w14:paraId="21D2FB13" w14:textId="77777777" w:rsidR="00BB18A2" w:rsidRDefault="00000000">
      <w:pPr>
        <w:spacing w:line="360" w:lineRule="auto" w:after="120"/>
        <w:jc w:val="both"/>
      </w:pPr>
      <w:r>
        <w:rPr>
          <w:rFonts w:ascii="Times New Roman" w:hAnsi="Times New Roman" w:eastAsia="Times New Roman" w:cs="Times New Roman"/>
          <w:sz w:val="24"/>
        </w:rPr>
        <w:t>Apache Superset. (2026). Google BigQuery database support. https://superset.apache.org/user-docs/databases/supported/google-bigquery</w:t>
      </w:r>
    </w:p>
    <w:p w14:paraId="35F6D5AE" w14:textId="77777777" w:rsidR="00BB18A2" w:rsidRDefault="00000000">
      <w:pPr>
        <w:spacing w:line="360" w:lineRule="auto" w:after="120"/>
        <w:jc w:val="both"/>
      </w:pPr>
      <w:r>
        <w:rPr>
          <w:rFonts w:ascii="Times New Roman" w:hAnsi="Times New Roman" w:eastAsia="Times New Roman" w:cs="Times New Roman"/>
          <w:sz w:val="24"/>
        </w:rPr>
        <w:t>Apache Superset. (2026). Introduction to Apache Superset. https://superset.apache.org/user-docs/intro/</w:t>
      </w:r>
    </w:p>
    <w:p w14:paraId="59703C84" w14:textId="77777777" w:rsidR="00BB18A2" w:rsidRDefault="00000000">
      <w:pPr>
        <w:spacing w:line="360" w:lineRule="auto" w:after="120"/>
        <w:jc w:val="both"/>
      </w:pPr>
      <w:r>
        <w:rPr>
          <w:rFonts w:ascii="Times New Roman" w:hAnsi="Times New Roman" w:eastAsia="Times New Roman" w:cs="Times New Roman"/>
          <w:sz w:val="24"/>
        </w:rPr>
        <w:t>Biswas, S., Mohite, J., &amp; Pappula, S. (2022). Systems and methods for pest forecasting using historical pesticide usage information. U.S. Patent No. US11397837B2. https://patents.google.com/patent/US11397837B2</w:t>
      </w:r>
    </w:p>
    <w:p w14:paraId="41CE78A8" w14:textId="77777777" w:rsidR="00BB18A2" w:rsidRDefault="00000000">
      <w:pPr>
        <w:spacing w:line="360" w:lineRule="auto" w:after="120"/>
        <w:jc w:val="both"/>
      </w:pPr>
      <w:r>
        <w:rPr>
          <w:rFonts w:ascii="Times New Roman" w:hAnsi="Times New Roman" w:eastAsia="Times New Roman" w:cs="Times New Roman"/>
          <w:sz w:val="24"/>
        </w:rPr>
        <w:lastRenderedPageBreak/>
        <w:t>Blacketer, C., Defalco, F. J., Ryan, P. B., &amp; Rijnbeek, P. R. (2021). Increasing trust in real-world evidence through evaluation of observational data quality. Journal of the American Medical Informatics Association, 28(10), 2251-2257. https://doi.org/10.1093/jamia/ocab132</w:t>
      </w:r>
    </w:p>
    <w:p w14:paraId="28F7A3AB" w14:textId="77777777" w:rsidR="00BB18A2" w:rsidRDefault="00000000">
      <w:pPr>
        <w:spacing w:line="360" w:lineRule="auto" w:after="120"/>
        <w:jc w:val="both"/>
      </w:pPr>
      <w:r>
        <w:rPr>
          <w:rFonts w:ascii="Times New Roman" w:hAnsi="Times New Roman" w:eastAsia="Times New Roman" w:cs="Times New Roman"/>
          <w:sz w:val="24"/>
        </w:rPr>
        <w:t>Brimblecombe, P., Muller, G., Schmidt, M., Tischhauser, W., Landau, I., &amp; Querner, P. (2023). Urban pest abundance and public enquiries in Zurich 1991-2022. Insects, 14(10), 798. https://doi.org/10.3390/insects14100798</w:t>
      </w:r>
    </w:p>
    <w:p w14:paraId="3F4E9A68" w14:textId="77777777" w:rsidR="00BB18A2" w:rsidRDefault="00000000">
      <w:pPr>
        <w:spacing w:line="360" w:lineRule="auto" w:after="120"/>
        <w:jc w:val="both"/>
      </w:pPr>
      <w:r>
        <w:rPr>
          <w:rFonts w:ascii="Times New Roman" w:hAnsi="Times New Roman" w:eastAsia="Times New Roman" w:cs="Times New Roman"/>
          <w:sz w:val="24"/>
        </w:rPr>
        <w:t>Calatayud, J., Jornet, M., Mateu, J., &amp; Pinto, C. M. A. (2023). A new population model for urban infestations. Chaos, Solitons &amp; Fractals, 175, 113939. https://doi.org/10.1016/j.chaos.2023.113939</w:t>
      </w:r>
    </w:p>
    <w:p w14:paraId="458665F7" w14:textId="77777777" w:rsidR="00BB18A2" w:rsidRDefault="00000000">
      <w:pPr>
        <w:spacing w:line="360" w:lineRule="auto" w:after="120"/>
        <w:jc w:val="both"/>
      </w:pPr>
      <w:r>
        <w:rPr>
          <w:rFonts w:ascii="Times New Roman" w:hAnsi="Times New Roman" w:eastAsia="Times New Roman" w:cs="Times New Roman"/>
          <w:sz w:val="24"/>
        </w:rPr>
        <w:t>Choi, C., &amp; Hong, S.-Y. (2021). MDST-DBSCAN: A density-based clustering method for multidimensional spatiotemporal data. ISPRS International Journal of Geo-Information, 10(6), 391. https://doi.org/10.3390/ijgi10060391</w:t>
      </w:r>
    </w:p>
    <w:p w14:paraId="50029AEF" w14:textId="77777777" w:rsidR="00BB18A2" w:rsidRDefault="00000000">
      <w:pPr>
        <w:spacing w:line="360" w:lineRule="auto" w:after="120"/>
        <w:jc w:val="both"/>
      </w:pPr>
      <w:r>
        <w:rPr>
          <w:rFonts w:ascii="Times New Roman" w:hAnsi="Times New Roman" w:eastAsia="Times New Roman" w:cs="Times New Roman"/>
          <w:sz w:val="24"/>
        </w:rPr>
        <w:t>Cordon, J. A. (2026). Temporal evolution of predictive heat maps for Periplaneta americana infestation in urban sanitation networks (April 7 - June 23, 2022). Zenodo. https://doi.org/10.5281/zenodo.18186918</w:t>
      </w:r>
    </w:p>
    <w:p w14:paraId="0EFE9360" w14:textId="77777777" w:rsidR="00BB18A2" w:rsidRDefault="00000000">
      <w:pPr>
        <w:spacing w:line="360" w:lineRule="auto" w:after="120"/>
        <w:jc w:val="both"/>
      </w:pPr>
      <w:r>
        <w:rPr>
          <w:rFonts w:ascii="Times New Roman" w:hAnsi="Times New Roman" w:eastAsia="Times New Roman" w:cs="Times New Roman"/>
          <w:sz w:val="24"/>
        </w:rPr>
        <w:t>dbt Labs. (2026). About dbt documentation. https://docs.getdbt.com/docs/build/documentation</w:t>
      </w:r>
    </w:p>
    <w:p w14:paraId="57688777" w14:textId="77777777" w:rsidR="00BB18A2" w:rsidRDefault="00000000">
      <w:pPr>
        <w:spacing w:line="360" w:lineRule="auto" w:after="120"/>
        <w:jc w:val="both"/>
      </w:pPr>
      <w:r>
        <w:rPr>
          <w:rFonts w:ascii="Times New Roman" w:hAnsi="Times New Roman" w:eastAsia="Times New Roman" w:cs="Times New Roman"/>
          <w:sz w:val="24"/>
        </w:rPr>
        <w:t>dbt Labs. (2026). What is dbt? https://docs.getdbt.com/docs/introduction</w:t>
      </w:r>
    </w:p>
    <w:p w14:paraId="6021C5E8" w14:textId="77777777" w:rsidR="00BB18A2" w:rsidRDefault="00000000">
      <w:pPr>
        <w:spacing w:line="360" w:lineRule="auto" w:after="120"/>
        <w:jc w:val="both"/>
      </w:pPr>
      <w:r>
        <w:rPr>
          <w:rFonts w:ascii="Times New Roman" w:hAnsi="Times New Roman" w:eastAsia="Times New Roman" w:cs="Times New Roman"/>
          <w:sz w:val="24"/>
        </w:rPr>
        <w:t>Dey, S., &amp; Roy, S. (2025). Digital Guardians: Revolutionizing pest management with AI and IoT for a greener future. In IoT and advanced intelligence computation for smart agriculture. CRC Press. https://doi.org/10.1201/9781003527664-5</w:t>
      </w:r>
    </w:p>
    <w:p w14:paraId="0AB241C8" w14:textId="77777777" w:rsidR="00BB18A2" w:rsidRDefault="00000000">
      <w:pPr>
        <w:spacing w:line="360" w:lineRule="auto" w:after="120"/>
        <w:jc w:val="both"/>
      </w:pPr>
      <w:r>
        <w:rPr>
          <w:rFonts w:ascii="Times New Roman" w:hAnsi="Times New Roman" w:eastAsia="Times New Roman" w:cs="Times New Roman"/>
          <w:sz w:val="24"/>
        </w:rPr>
        <w:t>Ejike, O., Ndzi, D., &amp; Shakir, M. Z. (2025). Comparative study of machine learning-based rainfall prediction in tropical and temperate climates. Climate, 13(8), 167. https://doi.org/10.3390/cli13080167</w:t>
      </w:r>
    </w:p>
    <w:p w14:paraId="739249BB" w14:textId="77777777" w:rsidR="00BB18A2" w:rsidRDefault="00000000">
      <w:pPr>
        <w:spacing w:line="360" w:lineRule="auto" w:after="120"/>
        <w:jc w:val="both"/>
      </w:pPr>
      <w:r>
        <w:rPr>
          <w:rFonts w:ascii="Times New Roman" w:hAnsi="Times New Roman" w:eastAsia="Times New Roman" w:cs="Times New Roman"/>
          <w:sz w:val="24"/>
        </w:rPr>
        <w:t>Erguler, K., et al. (2024). VEClim: An early warning decision support system for climate-sensitive vector activity and vector-borne disease risk assessment. Wellcome Open Research, 9, 697. https://doi.org/10.12688/wellcomeopenres.23122.1</w:t>
      </w:r>
    </w:p>
    <w:p w14:paraId="4E236DFD" w14:textId="77777777" w:rsidR="00BB18A2" w:rsidRDefault="00000000">
      <w:pPr>
        <w:spacing w:line="360" w:lineRule="auto" w:after="120"/>
        <w:jc w:val="both"/>
      </w:pPr>
      <w:r>
        <w:rPr>
          <w:rFonts w:ascii="Times New Roman" w:hAnsi="Times New Roman" w:eastAsia="Times New Roman" w:cs="Times New Roman"/>
          <w:sz w:val="24"/>
        </w:rPr>
        <w:t>Fiori, M., Fois, G., Gerardi, M. S., Maggio, F., Milesi, C., &amp; Pinna, A. (2024). SMARTerra, a high-resolution decision support system for monitoring plant pests and diseases. Applied Sciences, 14(18), 8275. https://doi.org/10.3390/app14188275</w:t>
      </w:r>
    </w:p>
    <w:p w14:paraId="403F61D8" w14:textId="77777777" w:rsidR="00BB18A2" w:rsidRDefault="00000000">
      <w:pPr>
        <w:spacing w:line="360" w:lineRule="auto" w:after="120"/>
        <w:jc w:val="both"/>
      </w:pPr>
      <w:r>
        <w:rPr>
          <w:rFonts w:ascii="Times New Roman" w:hAnsi="Times New Roman" w:eastAsia="Times New Roman" w:cs="Times New Roman"/>
          <w:sz w:val="24"/>
        </w:rPr>
        <w:t>Fu, Q., Nicholson, G. L., &amp; Easton, J. M. (2024). Understanding data quality in a data-driven industry context: Insights from the fundamentals. Journal of Industrial Information Integration, 42, 100729. https://doi.org/10.1016/j.jii.2024.100729</w:t>
      </w:r>
    </w:p>
    <w:p w14:paraId="5A997AA0" w14:textId="77777777" w:rsidR="00BB18A2" w:rsidRDefault="00000000">
      <w:pPr>
        <w:spacing w:line="360" w:lineRule="auto" w:after="120"/>
        <w:jc w:val="both"/>
      </w:pPr>
      <w:r>
        <w:rPr>
          <w:rFonts w:ascii="Times New Roman" w:hAnsi="Times New Roman" w:eastAsia="Times New Roman" w:cs="Times New Roman"/>
          <w:sz w:val="24"/>
        </w:rPr>
        <w:t>Google Calendar. (2026). Events: list. https://developers.google.com/workspace/calendar/api/v3/reference/events/list</w:t>
      </w:r>
    </w:p>
    <w:p w14:paraId="4D024030" w14:textId="77777777" w:rsidR="00BB18A2" w:rsidRDefault="00000000">
      <w:pPr>
        <w:spacing w:line="360" w:lineRule="auto" w:after="120"/>
        <w:jc w:val="both"/>
      </w:pPr>
      <w:r>
        <w:rPr>
          <w:rFonts w:ascii="Times New Roman" w:hAnsi="Times New Roman" w:eastAsia="Times New Roman" w:cs="Times New Roman"/>
          <w:sz w:val="24"/>
        </w:rPr>
        <w:t>Google Calendar. (2026). Google Calendar API overview. https://developers.google.com/workspace/calendar/api/guides/overview</w:t>
      </w:r>
    </w:p>
    <w:p w14:paraId="6A655923" w14:textId="77777777" w:rsidR="00BB18A2" w:rsidRDefault="00000000">
      <w:pPr>
        <w:spacing w:line="360" w:lineRule="auto" w:after="120"/>
        <w:jc w:val="both"/>
      </w:pPr>
      <w:r>
        <w:rPr>
          <w:rFonts w:ascii="Times New Roman" w:hAnsi="Times New Roman" w:eastAsia="Times New Roman" w:cs="Times New Roman"/>
          <w:sz w:val="24"/>
        </w:rPr>
        <w:t>Google Cloud. (2026). BigQuery documentation. https://cloud.google.com/bigquery/docs</w:t>
      </w:r>
    </w:p>
    <w:p w14:paraId="4D197C8A" w14:textId="77777777" w:rsidR="00BB18A2" w:rsidRDefault="00000000">
      <w:pPr>
        <w:spacing w:line="360" w:lineRule="auto" w:after="120"/>
        <w:jc w:val="both"/>
      </w:pPr>
      <w:r>
        <w:rPr>
          <w:rFonts w:ascii="Times New Roman" w:hAnsi="Times New Roman" w:eastAsia="Times New Roman" w:cs="Times New Roman"/>
          <w:sz w:val="24"/>
        </w:rPr>
        <w:t>Google Cloud. (2026). Introduction to BigQuery. https://cloud.google.com/bigquery/docs/introduction</w:t>
      </w:r>
    </w:p>
    <w:p w14:paraId="65CB9864" w14:textId="77777777" w:rsidR="00BB18A2" w:rsidRDefault="00000000">
      <w:pPr>
        <w:spacing w:line="360" w:lineRule="auto" w:after="120"/>
        <w:jc w:val="both"/>
      </w:pPr>
      <w:r>
        <w:rPr>
          <w:rFonts w:ascii="Times New Roman" w:hAnsi="Times New Roman" w:eastAsia="Times New Roman" w:cs="Times New Roman"/>
          <w:sz w:val="24"/>
        </w:rPr>
        <w:lastRenderedPageBreak/>
        <w:t>Gurcan, F., Ayaz, A., Menekse Dalveren, G. G., &amp; Derawi, M. (2023). Business intelligence strategies, best practices, and latest trends: Analysis of scientometric data from 2003 to 2023 using machine learning. Sustainability, 15(13), 9854. https://doi.org/10.3390/su15139854</w:t>
      </w:r>
    </w:p>
    <w:p w14:paraId="4EA22180" w14:textId="77777777" w:rsidR="00BB18A2" w:rsidRDefault="00000000">
      <w:pPr>
        <w:spacing w:line="360" w:lineRule="auto" w:after="120"/>
        <w:jc w:val="both"/>
      </w:pPr>
      <w:r>
        <w:rPr>
          <w:rFonts w:ascii="Times New Roman" w:hAnsi="Times New Roman" w:eastAsia="Times New Roman" w:cs="Times New Roman"/>
          <w:sz w:val="24"/>
        </w:rPr>
        <w:t>Hiscox, A., Spencer, F., Dennehy, J., Dyall, W., Jenkins, A., Narendran, A., Das, A., Logan, J. G., &amp; Jones, R. T. (2025). The impact of adverse weather events on cockroaches and flies, and the possible effects on disease. Medical and Veterinary Entomology, 39(3), 500-514. https://doi.org/10.1111/mve.12797</w:t>
      </w:r>
    </w:p>
    <w:p w14:paraId="3CEBF7ED" w14:textId="77777777" w:rsidR="00BB18A2" w:rsidRDefault="00000000">
      <w:pPr>
        <w:spacing w:line="360" w:lineRule="auto" w:after="120"/>
        <w:jc w:val="both"/>
      </w:pPr>
      <w:r>
        <w:rPr>
          <w:rFonts w:ascii="Times New Roman" w:hAnsi="Times New Roman" w:eastAsia="Times New Roman" w:cs="Times New Roman"/>
          <w:sz w:val="24"/>
        </w:rPr>
        <w:t>Kaloudis, E., Agrafioti, P., Sakka, M. K., &amp; Lampiri, E. (2026). A temperature-driven population dynamics model based on biweekly insect trap counts for stored-product pest management. Preprints. https://www.preprints.org/manuscript/202603.0573</w:t>
      </w:r>
    </w:p>
    <w:p w14:paraId="4393236D" w14:textId="77777777" w:rsidR="00BB18A2" w:rsidRDefault="00000000">
      <w:pPr>
        <w:spacing w:line="360" w:lineRule="auto" w:after="120"/>
        <w:jc w:val="both"/>
      </w:pPr>
      <w:r>
        <w:rPr>
          <w:rFonts w:ascii="Times New Roman" w:hAnsi="Times New Roman" w:eastAsia="Times New Roman" w:cs="Times New Roman"/>
          <w:sz w:val="24"/>
        </w:rPr>
        <w:t>Leybourne, D. J., Musa, N., &amp; Yang, P. (2025). Can artificial intelligence be integrated into pest monitoring schemes to help achieve sustainable agriculture? An entomological, management and computational perspective. Agricultural and Forest Entomology, 27(1), 8-17. https://doi.org/10.1111/afe.12630</w:t>
      </w:r>
    </w:p>
    <w:p w14:paraId="7EC2EEC0" w14:textId="77777777" w:rsidR="00BB18A2" w:rsidRDefault="00000000">
      <w:pPr>
        <w:spacing w:line="360" w:lineRule="auto" w:after="120"/>
        <w:jc w:val="both"/>
      </w:pPr>
      <w:r>
        <w:rPr>
          <w:rFonts w:ascii="Times New Roman" w:hAnsi="Times New Roman" w:eastAsia="Times New Roman" w:cs="Times New Roman"/>
          <w:sz w:val="24"/>
        </w:rPr>
        <w:t>Li, W., Dodwell, E., &amp; Cook, D. (2023). A clustering algorithm to organize satellite hotspot data for the purpose of tracking bushfires remotely. The R Journal, 15(1), 17-33. https://journal.r-project.org/articles/RJ-2023-022/</w:t>
      </w:r>
    </w:p>
    <w:p w14:paraId="174E3A02" w14:textId="77777777" w:rsidR="00BB18A2" w:rsidRDefault="00000000">
      <w:pPr>
        <w:spacing w:line="360" w:lineRule="auto" w:after="120"/>
        <w:jc w:val="both"/>
      </w:pPr>
      <w:r>
        <w:rPr>
          <w:rFonts w:ascii="Times New Roman" w:hAnsi="Times New Roman" w:eastAsia="Times New Roman" w:cs="Times New Roman"/>
          <w:sz w:val="24"/>
        </w:rPr>
        <w:t>Lu, X., Wijayaratna, K., Huang, Y., &amp; Qiu, A. (2022). AI-enabled opportunities and transformation challenges for SMEs in the post-pandemic era: A review and research agenda. Frontiers in Public Health, 10, 885067. https://doi.org/10.3389/fpubh.2022.885067</w:t>
      </w:r>
    </w:p>
    <w:p w14:paraId="2F1414C0" w14:textId="77777777" w:rsidR="00BB18A2" w:rsidRDefault="00000000">
      <w:pPr>
        <w:spacing w:line="360" w:lineRule="auto" w:after="120"/>
        <w:jc w:val="both"/>
      </w:pPr>
      <w:r>
        <w:rPr>
          <w:rFonts w:ascii="Times New Roman" w:hAnsi="Times New Roman" w:eastAsia="Times New Roman" w:cs="Times New Roman"/>
          <w:sz w:val="24"/>
        </w:rPr>
        <w:t>Malaysia OpenAPI. (2026). Weather: Malaysia official Open API. https://developer.data.gov.my/realtime-api/weather</w:t>
      </w:r>
    </w:p>
    <w:p w14:paraId="306CE22B" w14:textId="77777777" w:rsidR="00BB18A2" w:rsidRDefault="00000000">
      <w:pPr>
        <w:spacing w:line="360" w:lineRule="auto" w:after="120"/>
        <w:jc w:val="both"/>
      </w:pPr>
      <w:r>
        <w:rPr>
          <w:rFonts w:ascii="Times New Roman" w:hAnsi="Times New Roman" w:eastAsia="Times New Roman" w:cs="Times New Roman"/>
          <w:sz w:val="24"/>
        </w:rPr>
        <w:t>Malaysian Meteorological Department. (2026). Web Service API. https://api.met.gov.my/</w:t>
      </w:r>
    </w:p>
    <w:p w14:paraId="5C2D4BFC" w14:textId="77777777" w:rsidR="00BB18A2" w:rsidRDefault="00000000">
      <w:pPr>
        <w:spacing w:line="360" w:lineRule="auto" w:after="120"/>
        <w:jc w:val="both"/>
      </w:pPr>
      <w:r>
        <w:rPr>
          <w:rFonts w:ascii="Times New Roman" w:hAnsi="Times New Roman" w:eastAsia="Times New Roman" w:cs="Times New Roman"/>
          <w:sz w:val="24"/>
        </w:rPr>
        <w:t>Marinko, J., Blazica, B., Jorgensen, L. N., Matzen, N., Ramsden, M., &amp; Debeljak, M. (2024).</w:t>
      </w:r>
    </w:p>
    <w:p w14:paraId="50C8DD82" w14:textId="77777777" w:rsidR="00BB18A2" w:rsidRDefault="00000000">
      <w:pPr>
        <w:spacing w:line="360" w:lineRule="auto" w:after="120"/>
        <w:jc w:val="both"/>
      </w:pPr>
      <w:r>
        <w:rPr>
          <w:rFonts w:ascii="Times New Roman" w:hAnsi="Times New Roman" w:eastAsia="Times New Roman" w:cs="Times New Roman"/>
          <w:sz w:val="24"/>
        </w:rPr>
        <w:t>Marinko, J., Kuzmanovski, V., Ramsden, M., &amp; Debeljak, M. (2025). Overcoming barriers to the adoption of decision support systems in integrated pest management in some European countries. Agronomy, 15(2), 426. https://doi.org/10.3390/agronomy15020426</w:t>
      </w:r>
    </w:p>
    <w:p w14:paraId="44E6B1B2" w14:textId="77777777" w:rsidR="00BB18A2" w:rsidRDefault="00000000">
      <w:pPr>
        <w:spacing w:line="360" w:lineRule="auto" w:after="120"/>
        <w:jc w:val="both"/>
      </w:pPr>
      <w:r>
        <w:rPr>
          <w:rFonts w:ascii="Times New Roman" w:hAnsi="Times New Roman" w:eastAsia="Times New Roman" w:cs="Times New Roman"/>
          <w:sz w:val="24"/>
        </w:rPr>
        <w:t>Open-Meteo. (2026). Historical Weather API. https://open-meteo.com/en/docs/historical-weather-api</w:t>
      </w:r>
    </w:p>
    <w:p w14:paraId="613BE1F6" w14:textId="77777777" w:rsidR="00BB18A2" w:rsidRDefault="00000000">
      <w:pPr>
        <w:spacing w:line="360" w:lineRule="auto" w:after="120"/>
        <w:jc w:val="both"/>
      </w:pPr>
      <w:r>
        <w:rPr>
          <w:rFonts w:ascii="Times New Roman" w:hAnsi="Times New Roman" w:eastAsia="Times New Roman" w:cs="Times New Roman"/>
          <w:sz w:val="24"/>
        </w:rPr>
        <w:t>Open-Meteo. (2026). Licence and data sources. https://open-meteo.com/en/licence</w:t>
      </w:r>
    </w:p>
    <w:p w14:paraId="51589493" w14:textId="77777777" w:rsidR="00BB18A2" w:rsidRDefault="00000000">
      <w:pPr>
        <w:spacing w:line="360" w:lineRule="auto" w:after="120"/>
        <w:jc w:val="both"/>
      </w:pPr>
      <w:r>
        <w:rPr>
          <w:rFonts w:ascii="Times New Roman" w:hAnsi="Times New Roman" w:eastAsia="Times New Roman" w:cs="Times New Roman"/>
          <w:sz w:val="24"/>
        </w:rPr>
        <w:t>Pinto, A. F., Olmstead, D., Calixto, A. A., &amp; Gomez, M. I. (2025). Network for Environment and Weather Applications: An overview of the digital pest management decision support tool. Applied Economics Teaching Resources. https://www.aetrjournal.org/UserFiles/file/AETR_2025_0218%20Final.pdf</w:t>
      </w:r>
    </w:p>
    <w:p w14:paraId="4E48AF0E" w14:textId="77777777" w:rsidR="00BB18A2" w:rsidRDefault="00000000">
      <w:pPr>
        <w:spacing w:line="360" w:lineRule="auto" w:after="120"/>
        <w:jc w:val="both"/>
      </w:pPr>
      <w:r>
        <w:rPr>
          <w:rFonts w:ascii="Times New Roman" w:hAnsi="Times New Roman" w:eastAsia="Times New Roman" w:cs="Times New Roman"/>
          <w:sz w:val="24"/>
        </w:rPr>
        <w:t>Ragazou, K., Passas, I., Garefalakis, A., &amp; Zopounidis, C. (2023). Business intelligence model empowering SMEs to make better decisions and enhance their competitive advantage. Discover Analytics, 1, 2. https://doi.org/10.1007/s44257-022-00002-3</w:t>
      </w:r>
    </w:p>
    <w:p w14:paraId="55709C41" w14:textId="77777777" w:rsidR="00BB18A2" w:rsidRDefault="00000000">
      <w:pPr>
        <w:spacing w:line="360" w:lineRule="auto" w:after="120"/>
        <w:jc w:val="both"/>
      </w:pPr>
      <w:r>
        <w:rPr>
          <w:rFonts w:ascii="Times New Roman" w:hAnsi="Times New Roman" w:eastAsia="Times New Roman" w:cs="Times New Roman"/>
          <w:sz w:val="24"/>
        </w:rPr>
        <w:t>Richardson, J. L., McCoy, E. P., Parlavecchio, N., et al. (2025). Increasing rat numbers in cities are linked to climate warming, urbanization, and human population. Science Advances, 11(5), eads6782. https://doi.org/10.1126/sciadv.ads6782</w:t>
      </w:r>
    </w:p>
    <w:p w14:paraId="5C27403B" w14:textId="77777777" w:rsidR="00BB18A2" w:rsidRDefault="00000000">
      <w:pPr>
        <w:spacing w:line="360" w:lineRule="auto" w:after="120"/>
        <w:jc w:val="both"/>
      </w:pPr>
      <w:r>
        <w:rPr>
          <w:rFonts w:ascii="Times New Roman" w:hAnsi="Times New Roman" w:eastAsia="Times New Roman" w:cs="Times New Roman"/>
          <w:sz w:val="24"/>
        </w:rPr>
        <w:lastRenderedPageBreak/>
        <w:t>Schulze, A., Brand, F., Geppert, J., &amp; Bol, G.-F. (2023). Digital dashboards visualizing public health data: A systematic review. Frontiers in Public Health, 11, 999958. https://doi.org/10.3389/fpubh.2023.999958</w:t>
      </w:r>
    </w:p>
    <w:p w14:paraId="68D7F05F" w14:textId="77777777" w:rsidR="00BB18A2" w:rsidRDefault="00000000">
      <w:pPr>
        <w:spacing w:line="360" w:lineRule="auto" w:after="120"/>
        <w:jc w:val="both"/>
      </w:pPr>
      <w:r>
        <w:rPr>
          <w:rFonts w:ascii="Times New Roman" w:hAnsi="Times New Roman" w:eastAsia="Times New Roman" w:cs="Times New Roman"/>
          <w:sz w:val="24"/>
        </w:rPr>
        <w:t>Sumido, E. C., Feliscuzo, L. S., &amp; Aliac, C. J. G. (2023). Pest classification and prediction: Analyzing the impact of weather to pest occurrence through machine learning. Journal of Engineering Science and Technology, 18, 124-138.</w:t>
      </w:r>
    </w:p>
    <w:p w14:paraId="3F2D5DA7" w14:textId="77777777" w:rsidR="00BB18A2" w:rsidRDefault="00000000">
      <w:pPr>
        <w:spacing w:line="360" w:lineRule="auto" w:after="120"/>
        <w:jc w:val="both"/>
      </w:pPr>
      <w:r>
        <w:rPr>
          <w:rFonts w:ascii="Times New Roman" w:hAnsi="Times New Roman" w:eastAsia="Times New Roman" w:cs="Times New Roman"/>
          <w:sz w:val="24"/>
        </w:rPr>
        <w:t>Tonle, F. B. N., Niassy, S., Ndadji, M. M. Z., Tchendji, M. T., Nzeukou, A., Mudereri, B. T., Senagi, K., &amp; Tonnang, H. E. Z. (2024). A road map for developing novel decision support system (DSS) for disseminating integrated pest management (IPM) technologies. Computers and Electronics in Agriculture, 217, 108526. https://doi.org/10.1016/j.compag.2023.108526</w:t>
      </w:r>
    </w:p>
    <w:p w14:paraId="4A6EB426" w14:textId="77777777" w:rsidR="00BB18A2" w:rsidRDefault="00000000">
      <w:pPr>
        <w:spacing w:line="360" w:lineRule="auto" w:after="120"/>
        <w:jc w:val="both"/>
      </w:pPr>
      <w:r>
        <w:rPr>
          <w:rFonts w:ascii="Times New Roman" w:hAnsi="Times New Roman" w:eastAsia="Times New Roman" w:cs="Times New Roman"/>
          <w:sz w:val="24"/>
        </w:rPr>
        <w:t>Typology for decision support systems in integrated pest management and its implementation as a web application. Agronomy, 14(3), 485. https://doi.org/10.3390/agronomy14030485</w:t>
      </w:r>
    </w:p>
    <w:p w14:paraId="1401DF8A" w14:textId="77777777" w:rsidR="00BB18A2" w:rsidRDefault="00000000">
      <w:pPr>
        <w:spacing w:line="360" w:lineRule="auto" w:after="120"/>
        <w:jc w:val="both"/>
      </w:pPr>
      <w:r>
        <w:rPr>
          <w:rFonts w:ascii="Times New Roman" w:hAnsi="Times New Roman" w:eastAsia="Times New Roman" w:cs="Times New Roman"/>
          <w:sz w:val="24"/>
        </w:rPr>
        <w:t>Yao, J., Zhou, Z., Liu, H., Yao, S., &amp; Wu, J. (2026). Analyzing the influence of environment, demographic and socio-economic factors on Aedes albopictus (Diptera: Culicidae) mosquito density at the micro-level using XGBoost and SHAP. Parasites &amp; Vectors, 19, 71. https://doi.org/10.1186/s13071-025-07220-0</w:t>
      </w:r>
    </w:p>
    <w:p w14:paraId="26E95A6C" w14:textId="77777777" w:rsidR="00BB18A2" w:rsidRDefault="00000000">
      <w:pPr>
        <w:spacing w:line="360" w:lineRule="auto" w:after="120"/>
        <w:jc w:val="both"/>
      </w:pPr>
      <w:r>
        <w:rPr>
          <w:rFonts w:ascii="Times New Roman" w:hAnsi="Times New Roman" w:eastAsia="Times New Roman" w:cs="Times New Roman"/>
          <w:sz w:val="24"/>
        </w:rPr>
        <w:t>Zippenfenig, P. (2023). Open-Meteo.com Weather API [Computer software]. Zenodo. https://doi.org/10.5281/zenodo.7970649</w:t>
      </w:r>
    </w:p>
    <w:p>
      <w:pPr>
        <w:pStyle w:val="Heading1"/>
        <w:keepNext/>
        <w:pageBreakBefore/>
        <w:spacing w:line="360" w:lineRule="auto" w:after="120"/>
        <w:jc w:val="left"/>
      </w:pPr>
      <w:r>
        <w:rPr>
          <w:rFonts w:ascii="Times New Roman" w:hAnsi="Times New Roman" w:eastAsia="Times New Roman"/>
          <w:b/>
          <w:color w:val="000000"/>
          <w:sz w:val="24"/>
        </w:rPr>
        <w:t>Appendix A: Data Sources and Planned Use</w:t>
      </w:r>
    </w:p>
    <w:p>
      <w:pPr>
        <w:spacing w:line="360" w:lineRule="auto" w:after="120"/>
        <w:jc w:val="both"/>
      </w:pPr>
      <w:r>
        <w:rPr>
          <w:rFonts w:ascii="Times New Roman" w:hAnsi="Times New Roman" w:eastAsia="Times New Roman"/>
          <w:sz w:val="24"/>
        </w:rPr>
        <w:t>This appendix summarises the data sources expected to be used in CP2. The exact column names are not treated as final in CP1 because the company Google Sheets and Calendar structures may change. CP2 will begin with source profiling and a confirmed data dictionary before loading data into BigQuery.</w:t>
      </w:r>
    </w:p>
    <w:tbl>
      <w:tblPr>
        <w:tblW w:type="auto" w:w="0"/>
        <w:tblLook w:firstColumn="1" w:firstRow="1" w:lastColumn="0" w:lastRow="0" w:noHBand="0" w:noVBand="1" w:val="04A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56"/>
        <w:gridCol w:w="2256"/>
        <w:gridCol w:w="2256"/>
        <w:gridCol w:w="2256"/>
      </w:tblGrid>
      <w:tr>
        <w:tc>
          <w:tcPr>
            <w:tcW w:type="dxa" w:w="2256"/>
            <w:vAlign w:val="center"/>
            <w:shd w:fill="DCEAF7"/>
            <w:shd w:fill="DCEAF7"/>
          </w:tcPr>
          <w:p>
            <w:pPr>
              <w:spacing w:line="276" w:lineRule="auto" w:after="60"/>
              <w:jc w:val="left"/>
            </w:pPr>
            <w:r>
              <w:rPr>
                <w:rFonts w:ascii="Times New Roman" w:hAnsi="Times New Roman" w:eastAsia="Times New Roman"/>
                <w:b/>
                <w:sz w:val="21"/>
              </w:rPr>
              <w:t>Source</w:t>
            </w:r>
          </w:p>
        </w:tc>
        <w:tc>
          <w:tcPr>
            <w:tcW w:type="dxa" w:w="2256"/>
            <w:vAlign w:val="center"/>
            <w:shd w:fill="DCEAF7"/>
            <w:shd w:fill="DCEAF7"/>
          </w:tcPr>
          <w:p>
            <w:pPr>
              <w:spacing w:line="276" w:lineRule="auto" w:after="60"/>
              <w:jc w:val="left"/>
            </w:pPr>
            <w:r>
              <w:rPr>
                <w:rFonts w:ascii="Times New Roman" w:hAnsi="Times New Roman" w:eastAsia="Times New Roman"/>
                <w:b/>
                <w:sz w:val="21"/>
              </w:rPr>
              <w:t>Expected Content</w:t>
            </w:r>
          </w:p>
        </w:tc>
        <w:tc>
          <w:tcPr>
            <w:tcW w:type="dxa" w:w="2256"/>
            <w:vAlign w:val="center"/>
            <w:shd w:fill="DCEAF7"/>
            <w:shd w:fill="DCEAF7"/>
          </w:tcPr>
          <w:p>
            <w:pPr>
              <w:spacing w:line="276" w:lineRule="auto" w:after="60"/>
              <w:jc w:val="left"/>
            </w:pPr>
            <w:r>
              <w:rPr>
                <w:rFonts w:ascii="Times New Roman" w:hAnsi="Times New Roman" w:eastAsia="Times New Roman"/>
                <w:b/>
                <w:sz w:val="21"/>
              </w:rPr>
              <w:t>Planned Use</w:t>
            </w:r>
          </w:p>
        </w:tc>
        <w:tc>
          <w:tcPr>
            <w:tcW w:type="dxa" w:w="2256"/>
            <w:vAlign w:val="center"/>
            <w:shd w:fill="DCEAF7"/>
            <w:shd w:fill="DCEAF7"/>
          </w:tcPr>
          <w:p>
            <w:pPr>
              <w:spacing w:line="276" w:lineRule="auto" w:after="60"/>
              <w:jc w:val="left"/>
            </w:pPr>
            <w:r>
              <w:rPr>
                <w:rFonts w:ascii="Times New Roman" w:hAnsi="Times New Roman" w:eastAsia="Times New Roman"/>
                <w:b/>
                <w:sz w:val="21"/>
              </w:rPr>
              <w:t>CP2 Confirmation Needed</w:t>
            </w:r>
          </w:p>
        </w:tc>
      </w:tr>
      <w:tr>
        <w:tc>
          <w:tcPr>
            <w:tcW w:type="dxa" w:w="2256"/>
            <w:vAlign w:val="center"/>
          </w:tcPr>
          <w:p>
            <w:pPr>
              <w:spacing w:line="276" w:lineRule="auto" w:after="60"/>
              <w:jc w:val="left"/>
            </w:pPr>
            <w:r>
              <w:rPr>
                <w:rFonts w:ascii="Times New Roman" w:hAnsi="Times New Roman" w:eastAsia="Times New Roman"/>
                <w:sz w:val="21"/>
              </w:rPr>
              <w:t>Google Sheets / CSV exports</w:t>
            </w:r>
          </w:p>
        </w:tc>
        <w:tc>
          <w:tcPr>
            <w:tcW w:type="dxa" w:w="2256"/>
            <w:vAlign w:val="center"/>
          </w:tcPr>
          <w:p>
            <w:pPr>
              <w:spacing w:line="276" w:lineRule="auto" w:after="60"/>
              <w:jc w:val="left"/>
            </w:pPr>
            <w:r>
              <w:rPr>
                <w:rFonts w:ascii="Times New Roman" w:hAnsi="Times New Roman" w:eastAsia="Times New Roman"/>
                <w:sz w:val="21"/>
              </w:rPr>
              <w:t>Prospects, service records, sales, payments, payment links, warranty claims, refunds, and upsell records.</w:t>
            </w:r>
          </w:p>
        </w:tc>
        <w:tc>
          <w:tcPr>
            <w:tcW w:type="dxa" w:w="2256"/>
            <w:vAlign w:val="center"/>
          </w:tcPr>
          <w:p>
            <w:pPr>
              <w:spacing w:line="276" w:lineRule="auto" w:after="60"/>
              <w:jc w:val="left"/>
            </w:pPr>
            <w:r>
              <w:rPr>
                <w:rFonts w:ascii="Times New Roman" w:hAnsi="Times New Roman" w:eastAsia="Times New Roman"/>
                <w:sz w:val="21"/>
              </w:rPr>
              <w:t>Main operational data for service, revenue, warranty, refund, upsell, and funnel analytics.</w:t>
            </w:r>
          </w:p>
        </w:tc>
        <w:tc>
          <w:tcPr>
            <w:tcW w:type="dxa" w:w="2256"/>
            <w:vAlign w:val="center"/>
          </w:tcPr>
          <w:p>
            <w:pPr>
              <w:spacing w:line="276" w:lineRule="auto" w:after="60"/>
              <w:jc w:val="left"/>
            </w:pPr>
            <w:r>
              <w:rPr>
                <w:rFonts w:ascii="Times New Roman" w:hAnsi="Times New Roman" w:eastAsia="Times New Roman"/>
                <w:sz w:val="21"/>
              </w:rPr>
              <w:t>Confirm sheet tabs, column names, required fields, aliases, duplicate rules, and update frequency.</w:t>
            </w:r>
          </w:p>
        </w:tc>
      </w:tr>
      <w:tr>
        <w:tc>
          <w:tcPr>
            <w:tcW w:type="dxa" w:w="2256"/>
            <w:vAlign w:val="center"/>
          </w:tcPr>
          <w:p>
            <w:pPr>
              <w:spacing w:line="276" w:lineRule="auto" w:after="60"/>
              <w:jc w:val="left"/>
            </w:pPr>
            <w:r>
              <w:rPr>
                <w:rFonts w:ascii="Times New Roman" w:hAnsi="Times New Roman" w:eastAsia="Times New Roman"/>
                <w:sz w:val="21"/>
              </w:rPr>
              <w:t>Google Calendar</w:t>
            </w:r>
          </w:p>
        </w:tc>
        <w:tc>
          <w:tcPr>
            <w:tcW w:type="dxa" w:w="2256"/>
            <w:vAlign w:val="center"/>
          </w:tcPr>
          <w:p>
            <w:pPr>
              <w:spacing w:line="276" w:lineRule="auto" w:after="60"/>
              <w:jc w:val="left"/>
            </w:pPr>
            <w:r>
              <w:rPr>
                <w:rFonts w:ascii="Times New Roman" w:hAnsi="Times New Roman" w:eastAsia="Times New Roman"/>
                <w:sz w:val="21"/>
              </w:rPr>
              <w:t>Team schedules, event titles/descriptions, start/end times, session type clues, area/team information.</w:t>
            </w:r>
          </w:p>
        </w:tc>
        <w:tc>
          <w:tcPr>
            <w:tcW w:type="dxa" w:w="2256"/>
            <w:vAlign w:val="center"/>
          </w:tcPr>
          <w:p>
            <w:pPr>
              <w:spacing w:line="276" w:lineRule="auto" w:after="60"/>
              <w:jc w:val="left"/>
            </w:pPr>
            <w:r>
              <w:rPr>
                <w:rFonts w:ascii="Times New Roman" w:hAnsi="Times New Roman" w:eastAsia="Times New Roman"/>
                <w:sz w:val="21"/>
              </w:rPr>
              <w:t>Scheduling capacity, warranty/extra/new session split, session gaps, and technician/team workload context.</w:t>
            </w:r>
          </w:p>
        </w:tc>
        <w:tc>
          <w:tcPr>
            <w:tcW w:type="dxa" w:w="2256"/>
            <w:vAlign w:val="center"/>
          </w:tcPr>
          <w:p>
            <w:pPr>
              <w:spacing w:line="276" w:lineRule="auto" w:after="60"/>
              <w:jc w:val="left"/>
            </w:pPr>
            <w:r>
              <w:rPr>
                <w:rFonts w:ascii="Times New Roman" w:hAnsi="Times New Roman" w:eastAsia="Times New Roman"/>
                <w:sz w:val="21"/>
              </w:rPr>
              <w:t>Confirm which calendars are accessible, how event descriptions are formatted, and how reliably events can match services.</w:t>
            </w:r>
          </w:p>
        </w:tc>
      </w:tr>
      <w:tr>
        <w:tc>
          <w:tcPr>
            <w:tcW w:type="dxa" w:w="2256"/>
            <w:vAlign w:val="center"/>
          </w:tcPr>
          <w:p>
            <w:pPr>
              <w:spacing w:line="276" w:lineRule="auto" w:after="60"/>
              <w:jc w:val="left"/>
            </w:pPr>
            <w:r>
              <w:rPr>
                <w:rFonts w:ascii="Times New Roman" w:hAnsi="Times New Roman" w:eastAsia="Times New Roman"/>
                <w:sz w:val="21"/>
              </w:rPr>
              <w:t>Weather APIs / files</w:t>
            </w:r>
          </w:p>
        </w:tc>
        <w:tc>
          <w:tcPr>
            <w:tcW w:type="dxa" w:w="2256"/>
            <w:vAlign w:val="center"/>
          </w:tcPr>
          <w:p>
            <w:pPr>
              <w:spacing w:line="276" w:lineRule="auto" w:after="60"/>
              <w:jc w:val="left"/>
            </w:pPr>
            <w:r>
              <w:rPr>
                <w:rFonts w:ascii="Times New Roman" w:hAnsi="Times New Roman" w:eastAsia="Times New Roman"/>
                <w:sz w:val="21"/>
              </w:rPr>
              <w:t>Historical rainfall, humidity, temperature, and optional flood/current warning indicators.</w:t>
            </w:r>
          </w:p>
        </w:tc>
        <w:tc>
          <w:tcPr>
            <w:tcW w:type="dxa" w:w="2256"/>
            <w:vAlign w:val="center"/>
          </w:tcPr>
          <w:p>
            <w:pPr>
              <w:spacing w:line="276" w:lineRule="auto" w:after="60"/>
              <w:jc w:val="left"/>
            </w:pPr>
            <w:r>
              <w:rPr>
                <w:rFonts w:ascii="Times New Roman" w:hAnsi="Times New Roman" w:eastAsia="Times New Roman"/>
                <w:sz w:val="21"/>
              </w:rPr>
              <w:t>Weather-associated risk indicators and service-date enrichment.</w:t>
            </w:r>
          </w:p>
        </w:tc>
        <w:tc>
          <w:tcPr>
            <w:tcW w:type="dxa" w:w="2256"/>
            <w:vAlign w:val="center"/>
          </w:tcPr>
          <w:p>
            <w:pPr>
              <w:spacing w:line="276" w:lineRule="auto" w:after="60"/>
              <w:jc w:val="left"/>
            </w:pPr>
            <w:r>
              <w:rPr>
                <w:rFonts w:ascii="Times New Roman" w:hAnsi="Times New Roman" w:eastAsia="Times New Roman"/>
                <w:sz w:val="21"/>
              </w:rPr>
              <w:t>Confirm area/postcode coordinate coverage, API variables, missing-weather handling, and warning-source availability.</w:t>
            </w:r>
          </w:p>
        </w:tc>
      </w:tr>
      <w:tr>
        <w:tc>
          <w:tcPr>
            <w:tcW w:type="dxa" w:w="2256"/>
            <w:vAlign w:val="center"/>
          </w:tcPr>
          <w:p>
            <w:pPr>
              <w:spacing w:line="276" w:lineRule="auto" w:after="60"/>
              <w:jc w:val="left"/>
            </w:pPr>
            <w:r>
              <w:rPr>
                <w:rFonts w:ascii="Times New Roman" w:hAnsi="Times New Roman" w:eastAsia="Times New Roman"/>
                <w:sz w:val="21"/>
              </w:rPr>
              <w:t>Manual review inputs</w:t>
            </w:r>
          </w:p>
        </w:tc>
        <w:tc>
          <w:tcPr>
            <w:tcW w:type="dxa" w:w="2256"/>
            <w:vAlign w:val="center"/>
          </w:tcPr>
          <w:p>
            <w:pPr>
              <w:spacing w:line="276" w:lineRule="auto" w:after="60"/>
              <w:jc w:val="left"/>
            </w:pPr>
            <w:r>
              <w:rPr>
                <w:rFonts w:ascii="Times New Roman" w:hAnsi="Times New Roman" w:eastAsia="Times New Roman"/>
                <w:sz w:val="21"/>
              </w:rPr>
              <w:t>Manager notes, suspected warranty factors, review priority, and evidence notes where available.</w:t>
            </w:r>
          </w:p>
        </w:tc>
        <w:tc>
          <w:tcPr>
            <w:tcW w:type="dxa" w:w="2256"/>
            <w:vAlign w:val="center"/>
          </w:tcPr>
          <w:p>
            <w:pPr>
              <w:spacing w:line="276" w:lineRule="auto" w:after="60"/>
              <w:jc w:val="left"/>
            </w:pPr>
            <w:r>
              <w:rPr>
                <w:rFonts w:ascii="Times New Roman" w:hAnsi="Times New Roman" w:eastAsia="Times New Roman"/>
                <w:sz w:val="21"/>
              </w:rPr>
              <w:t>Improve warranty factor grouping and recommendation explanations.</w:t>
            </w:r>
          </w:p>
        </w:tc>
        <w:tc>
          <w:tcPr>
            <w:tcW w:type="dxa" w:w="2256"/>
            <w:vAlign w:val="center"/>
          </w:tcPr>
          <w:p>
            <w:pPr>
              <w:spacing w:line="276" w:lineRule="auto" w:after="60"/>
              <w:jc w:val="left"/>
            </w:pPr>
            <w:r>
              <w:rPr>
                <w:rFonts w:ascii="Times New Roman" w:hAnsi="Times New Roman" w:eastAsia="Times New Roman"/>
                <w:sz w:val="21"/>
              </w:rPr>
              <w:t>Confirm whether the company can add these fields consistently in CP2.</w:t>
            </w:r>
          </w:p>
        </w:tc>
      </w:tr>
    </w:tbl>
    <w:p>
      <w:pPr>
        <w:pStyle w:val="Heading1"/>
        <w:keepNext/>
        <w:pageBreakBefore/>
        <w:spacing w:line="360" w:lineRule="auto" w:after="120"/>
        <w:jc w:val="left"/>
      </w:pPr>
      <w:r>
        <w:rPr>
          <w:rFonts w:ascii="Times New Roman" w:hAnsi="Times New Roman" w:eastAsia="Times New Roman"/>
          <w:b/>
          <w:color w:val="000000"/>
          <w:sz w:val="24"/>
        </w:rPr>
        <w:t>Appendix B: Planned Dashboard Outputs</w:t>
      </w:r>
    </w:p>
    <w:p>
      <w:pPr>
        <w:spacing w:line="360" w:lineRule="auto" w:after="120"/>
        <w:jc w:val="both"/>
      </w:pPr>
      <w:r>
        <w:rPr>
          <w:rFonts w:ascii="Times New Roman" w:hAnsi="Times New Roman" w:eastAsia="Times New Roman"/>
          <w:sz w:val="24"/>
        </w:rPr>
        <w:t>This appendix describes the planned dashboard outputs as business questions rather than fixed screens. The final dashboard design may be adjusted after data profiling and user feedback.</w:t>
      </w:r>
    </w:p>
    <w:tbl>
      <w:tblPr>
        <w:tblW w:type="auto" w:w="0"/>
        <w:tblLook w:firstColumn="1" w:firstRow="1" w:lastColumn="0" w:lastRow="0" w:noHBand="0" w:noVBand="1" w:val="04A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09"/>
        <w:gridCol w:w="3009"/>
        <w:gridCol w:w="3009"/>
      </w:tblGrid>
      <w:tr>
        <w:tc>
          <w:tcPr>
            <w:tcW w:type="dxa" w:w="3009"/>
            <w:vAlign w:val="center"/>
            <w:shd w:fill="DCEAF7"/>
            <w:shd w:fill="DCEAF7"/>
          </w:tcPr>
          <w:p>
            <w:pPr>
              <w:spacing w:line="276" w:lineRule="auto" w:after="60"/>
              <w:jc w:val="left"/>
            </w:pPr>
            <w:r>
              <w:rPr>
                <w:rFonts w:ascii="Times New Roman" w:hAnsi="Times New Roman" w:eastAsia="Times New Roman"/>
                <w:b/>
                <w:sz w:val="21"/>
              </w:rPr>
              <w:t>Business Question</w:t>
            </w:r>
          </w:p>
        </w:tc>
        <w:tc>
          <w:tcPr>
            <w:tcW w:type="dxa" w:w="3009"/>
            <w:vAlign w:val="center"/>
            <w:shd w:fill="DCEAF7"/>
            <w:shd w:fill="DCEAF7"/>
          </w:tcPr>
          <w:p>
            <w:pPr>
              <w:spacing w:line="276" w:lineRule="auto" w:after="60"/>
              <w:jc w:val="left"/>
            </w:pPr>
            <w:r>
              <w:rPr>
                <w:rFonts w:ascii="Times New Roman" w:hAnsi="Times New Roman" w:eastAsia="Times New Roman"/>
                <w:b/>
                <w:sz w:val="21"/>
              </w:rPr>
              <w:t>Planned Dashboard Output</w:t>
            </w:r>
          </w:p>
        </w:tc>
        <w:tc>
          <w:tcPr>
            <w:tcW w:type="dxa" w:w="3009"/>
            <w:vAlign w:val="center"/>
            <w:shd w:fill="DCEAF7"/>
            <w:shd w:fill="DCEAF7"/>
          </w:tcPr>
          <w:p>
            <w:pPr>
              <w:spacing w:line="276" w:lineRule="auto" w:after="60"/>
              <w:jc w:val="left"/>
            </w:pPr>
            <w:r>
              <w:rPr>
                <w:rFonts w:ascii="Times New Roman" w:hAnsi="Times New Roman" w:eastAsia="Times New Roman"/>
                <w:b/>
                <w:sz w:val="21"/>
              </w:rPr>
              <w:t>Notes</w:t>
            </w:r>
          </w:p>
        </w:tc>
      </w:tr>
      <w:tr>
        <w:tc>
          <w:tcPr>
            <w:tcW w:type="dxa" w:w="3009"/>
            <w:vAlign w:val="center"/>
          </w:tcPr>
          <w:p>
            <w:pPr>
              <w:spacing w:line="276" w:lineRule="auto" w:after="60"/>
              <w:jc w:val="left"/>
            </w:pPr>
            <w:r>
              <w:rPr>
                <w:rFonts w:ascii="Times New Roman" w:hAnsi="Times New Roman" w:eastAsia="Times New Roman"/>
                <w:sz w:val="21"/>
              </w:rPr>
              <w:t>What is happening in the business?</w:t>
            </w:r>
          </w:p>
        </w:tc>
        <w:tc>
          <w:tcPr>
            <w:tcW w:type="dxa" w:w="3009"/>
            <w:vAlign w:val="center"/>
          </w:tcPr>
          <w:p>
            <w:pPr>
              <w:spacing w:line="276" w:lineRule="auto" w:after="60"/>
              <w:jc w:val="left"/>
            </w:pPr>
            <w:r>
              <w:rPr>
                <w:rFonts w:ascii="Times New Roman" w:hAnsi="Times New Roman" w:eastAsia="Times New Roman"/>
                <w:sz w:val="21"/>
              </w:rPr>
              <w:t>Executive summary with services, revenue, claims, refunds, upsell, refresh status, and day/week/month trends.</w:t>
            </w:r>
          </w:p>
        </w:tc>
        <w:tc>
          <w:tcPr>
            <w:tcW w:type="dxa" w:w="3009"/>
            <w:vAlign w:val="center"/>
          </w:tcPr>
          <w:p>
            <w:pPr>
              <w:spacing w:line="276" w:lineRule="auto" w:after="60"/>
              <w:jc w:val="left"/>
            </w:pPr>
            <w:r>
              <w:rPr>
                <w:rFonts w:ascii="Times New Roman" w:hAnsi="Times New Roman" w:eastAsia="Times New Roman"/>
                <w:sz w:val="21"/>
              </w:rPr>
              <w:t>Uses cleaned Gold-layer metrics only.</w:t>
            </w:r>
          </w:p>
        </w:tc>
      </w:tr>
      <w:tr>
        <w:tc>
          <w:tcPr>
            <w:tcW w:type="dxa" w:w="3009"/>
            <w:vAlign w:val="center"/>
          </w:tcPr>
          <w:p>
            <w:pPr>
              <w:spacing w:line="276" w:lineRule="auto" w:after="60"/>
              <w:jc w:val="left"/>
            </w:pPr>
            <w:r>
              <w:rPr>
                <w:rFonts w:ascii="Times New Roman" w:hAnsi="Times New Roman" w:eastAsia="Times New Roman"/>
                <w:sz w:val="21"/>
              </w:rPr>
              <w:t>Which areas require closer monitoring?</w:t>
            </w:r>
          </w:p>
        </w:tc>
        <w:tc>
          <w:tcPr>
            <w:tcW w:type="dxa" w:w="3009"/>
            <w:vAlign w:val="center"/>
          </w:tcPr>
          <w:p>
            <w:pPr>
              <w:spacing w:line="276" w:lineRule="auto" w:after="60"/>
              <w:jc w:val="left"/>
            </w:pPr>
            <w:r>
              <w:rPr>
                <w:rFonts w:ascii="Times New Roman" w:hAnsi="Times New Roman" w:eastAsia="Times New Roman"/>
                <w:sz w:val="21"/>
              </w:rPr>
              <w:t>Area and weather-associated risk map/table showing pest volume, repeat rate, warranty/refund indicators, and weather windows.</w:t>
            </w:r>
          </w:p>
        </w:tc>
        <w:tc>
          <w:tcPr>
            <w:tcW w:type="dxa" w:w="3009"/>
            <w:vAlign w:val="center"/>
          </w:tcPr>
          <w:p>
            <w:pPr>
              <w:spacing w:line="276" w:lineRule="auto" w:after="60"/>
              <w:jc w:val="left"/>
            </w:pPr>
            <w:r>
              <w:rPr>
                <w:rFonts w:ascii="Times New Roman" w:hAnsi="Times New Roman" w:eastAsia="Times New Roman"/>
                <w:sz w:val="21"/>
              </w:rPr>
              <w:t>Uses association wording, not weather causation.</w:t>
            </w:r>
          </w:p>
        </w:tc>
      </w:tr>
      <w:tr>
        <w:tc>
          <w:tcPr>
            <w:tcW w:type="dxa" w:w="3009"/>
            <w:vAlign w:val="center"/>
          </w:tcPr>
          <w:p>
            <w:pPr>
              <w:spacing w:line="276" w:lineRule="auto" w:after="60"/>
              <w:jc w:val="left"/>
            </w:pPr>
            <w:r>
              <w:rPr>
                <w:rFonts w:ascii="Times New Roman" w:hAnsi="Times New Roman" w:eastAsia="Times New Roman"/>
                <w:sz w:val="21"/>
              </w:rPr>
              <w:t>Which services are harder to resolve?</w:t>
            </w:r>
          </w:p>
        </w:tc>
        <w:tc>
          <w:tcPr>
            <w:tcW w:type="dxa" w:w="3009"/>
            <w:vAlign w:val="center"/>
          </w:tcPr>
          <w:p>
            <w:pPr>
              <w:spacing w:line="276" w:lineRule="auto" w:after="60"/>
              <w:jc w:val="left"/>
            </w:pPr>
            <w:r>
              <w:rPr>
                <w:rFonts w:ascii="Times New Roman" w:hAnsi="Times New Roman" w:eastAsia="Times New Roman"/>
                <w:sz w:val="21"/>
              </w:rPr>
              <w:t>Treatment difficulty ranking by area, pest type, package, and team where the data supports it.</w:t>
            </w:r>
          </w:p>
        </w:tc>
        <w:tc>
          <w:tcPr>
            <w:tcW w:type="dxa" w:w="3009"/>
            <w:vAlign w:val="center"/>
          </w:tcPr>
          <w:p>
            <w:pPr>
              <w:spacing w:line="276" w:lineRule="auto" w:after="60"/>
              <w:jc w:val="left"/>
            </w:pPr>
            <w:r>
              <w:rPr>
                <w:rFonts w:ascii="Times New Roman" w:hAnsi="Times New Roman" w:eastAsia="Times New Roman"/>
                <w:sz w:val="21"/>
              </w:rPr>
              <w:t>Presented as planning support, not a blame score.</w:t>
            </w:r>
          </w:p>
        </w:tc>
      </w:tr>
      <w:tr>
        <w:tc>
          <w:tcPr>
            <w:tcW w:type="dxa" w:w="3009"/>
            <w:vAlign w:val="center"/>
          </w:tcPr>
          <w:p>
            <w:pPr>
              <w:spacing w:line="276" w:lineRule="auto" w:after="60"/>
              <w:jc w:val="left"/>
            </w:pPr>
            <w:r>
              <w:rPr>
                <w:rFonts w:ascii="Times New Roman" w:hAnsi="Times New Roman" w:eastAsia="Times New Roman"/>
                <w:sz w:val="21"/>
              </w:rPr>
              <w:t>When do repeat problems occur?</w:t>
            </w:r>
          </w:p>
        </w:tc>
        <w:tc>
          <w:tcPr>
            <w:tcW w:type="dxa" w:w="3009"/>
            <w:vAlign w:val="center"/>
          </w:tcPr>
          <w:p>
            <w:pPr>
              <w:spacing w:line="276" w:lineRule="auto" w:after="60"/>
              <w:jc w:val="left"/>
            </w:pPr>
            <w:r>
              <w:rPr>
                <w:rFonts w:ascii="Times New Roman" w:hAnsi="Times New Roman" w:eastAsia="Times New Roman"/>
                <w:sz w:val="21"/>
              </w:rPr>
              <w:t>Recurrence window analysis and hotspot view using service-to-claim or service-to-extra-session timing.</w:t>
            </w:r>
          </w:p>
        </w:tc>
        <w:tc>
          <w:tcPr>
            <w:tcW w:type="dxa" w:w="3009"/>
            <w:vAlign w:val="center"/>
          </w:tcPr>
          <w:p>
            <w:pPr>
              <w:spacing w:line="276" w:lineRule="auto" w:after="60"/>
              <w:jc w:val="left"/>
            </w:pPr>
            <w:r>
              <w:rPr>
                <w:rFonts w:ascii="Times New Roman" w:hAnsi="Times New Roman" w:eastAsia="Times New Roman"/>
                <w:sz w:val="21"/>
              </w:rPr>
              <w:t>Requires usable dates and matching confidence.</w:t>
            </w:r>
          </w:p>
        </w:tc>
      </w:tr>
      <w:tr>
        <w:tc>
          <w:tcPr>
            <w:tcW w:type="dxa" w:w="3009"/>
            <w:vAlign w:val="center"/>
          </w:tcPr>
          <w:p>
            <w:pPr>
              <w:spacing w:line="276" w:lineRule="auto" w:after="60"/>
              <w:jc w:val="left"/>
            </w:pPr>
            <w:r>
              <w:rPr>
                <w:rFonts w:ascii="Times New Roman" w:hAnsi="Times New Roman" w:eastAsia="Times New Roman"/>
                <w:sz w:val="21"/>
              </w:rPr>
              <w:t>Which upsell packages fit which customer groups?</w:t>
            </w:r>
          </w:p>
        </w:tc>
        <w:tc>
          <w:tcPr>
            <w:tcW w:type="dxa" w:w="3009"/>
            <w:vAlign w:val="center"/>
          </w:tcPr>
          <w:p>
            <w:pPr>
              <w:spacing w:line="276" w:lineRule="auto" w:after="60"/>
              <w:jc w:val="left"/>
            </w:pPr>
            <w:r>
              <w:rPr>
                <w:rFonts w:ascii="Times New Roman" w:hAnsi="Times New Roman" w:eastAsia="Times New Roman"/>
                <w:sz w:val="21"/>
              </w:rPr>
              <w:t>Upsell package effectiveness and package-fit matrix based on accepted/purchased records and payment timing.</w:t>
            </w:r>
          </w:p>
        </w:tc>
        <w:tc>
          <w:tcPr>
            <w:tcW w:type="dxa" w:w="3009"/>
            <w:vAlign w:val="center"/>
          </w:tcPr>
          <w:p>
            <w:pPr>
              <w:spacing w:line="276" w:lineRule="auto" w:after="60"/>
              <w:jc w:val="left"/>
            </w:pPr>
            <w:r>
              <w:rPr>
                <w:rFonts w:ascii="Times New Roman" w:hAnsi="Times New Roman" w:eastAsia="Times New Roman"/>
                <w:sz w:val="21"/>
              </w:rPr>
              <w:t>True prediction requires rejected/no-response offer data.</w:t>
            </w:r>
          </w:p>
        </w:tc>
      </w:tr>
      <w:tr>
        <w:tc>
          <w:tcPr>
            <w:tcW w:type="dxa" w:w="3009"/>
            <w:vAlign w:val="center"/>
          </w:tcPr>
          <w:p>
            <w:pPr>
              <w:spacing w:line="276" w:lineRule="auto" w:after="60"/>
              <w:jc w:val="left"/>
            </w:pPr>
            <w:r>
              <w:rPr>
                <w:rFonts w:ascii="Times New Roman" w:hAnsi="Times New Roman" w:eastAsia="Times New Roman"/>
                <w:sz w:val="21"/>
              </w:rPr>
              <w:t>Can management trust the dashboard?</w:t>
            </w:r>
          </w:p>
        </w:tc>
        <w:tc>
          <w:tcPr>
            <w:tcW w:type="dxa" w:w="3009"/>
            <w:vAlign w:val="center"/>
          </w:tcPr>
          <w:p>
            <w:pPr>
              <w:spacing w:line="276" w:lineRule="auto" w:after="60"/>
              <w:jc w:val="left"/>
            </w:pPr>
            <w:r>
              <w:rPr>
                <w:rFonts w:ascii="Times New Roman" w:hAnsi="Times New Roman" w:eastAsia="Times New Roman"/>
                <w:sz w:val="21"/>
              </w:rPr>
              <w:t>Data quality and refresh dashboard showing missing values, duplicates, invalid dates, unmatched records, and latest pipeline status.</w:t>
            </w:r>
          </w:p>
        </w:tc>
        <w:tc>
          <w:tcPr>
            <w:tcW w:type="dxa" w:w="3009"/>
            <w:vAlign w:val="center"/>
          </w:tcPr>
          <w:p>
            <w:pPr>
              <w:spacing w:line="276" w:lineRule="auto" w:after="60"/>
              <w:jc w:val="left"/>
            </w:pPr>
            <w:r>
              <w:rPr>
                <w:rFonts w:ascii="Times New Roman" w:hAnsi="Times New Roman" w:eastAsia="Times New Roman"/>
                <w:sz w:val="21"/>
              </w:rPr>
              <w:t>This is a core feature, not just a technical appendix.</w:t>
            </w:r>
          </w:p>
        </w:tc>
      </w:tr>
    </w:tbl>
    <w:p>
      <w:pPr>
        <w:pStyle w:val="Heading1"/>
        <w:keepNext/>
        <w:pageBreakBefore/>
        <w:spacing w:line="360" w:lineRule="auto" w:after="120"/>
        <w:jc w:val="left"/>
      </w:pPr>
      <w:r>
        <w:rPr>
          <w:rFonts w:ascii="Times New Roman" w:hAnsi="Times New Roman" w:eastAsia="Times New Roman"/>
          <w:b/>
          <w:color w:val="000000"/>
          <w:sz w:val="24"/>
        </w:rPr>
        <w:t>Appendix C: Proposed Logical Warehouse Design</w:t>
      </w:r>
    </w:p>
    <w:p>
      <w:pPr>
        <w:spacing w:line="360" w:lineRule="auto" w:after="120"/>
        <w:jc w:val="both"/>
      </w:pPr>
      <w:r>
        <w:rPr>
          <w:rFonts w:ascii="Times New Roman" w:hAnsi="Times New Roman" w:eastAsia="Times New Roman"/>
          <w:sz w:val="24"/>
        </w:rPr>
        <w:t>This appendix gives a high-level logical warehouse design only. It should not be read as a final database schema. The final BigQuery tables, fields, and joins will be confirmed in CP2 after source profiling, data cleaning tests, and supervisor/company feedback.</w:t>
      </w:r>
    </w:p>
    <w:tbl>
      <w:tblPr>
        <w:tblW w:type="auto" w:w="0"/>
        <w:tblLook w:firstColumn="1" w:firstRow="1" w:lastColumn="0" w:lastRow="0" w:noHBand="0" w:noVBand="1" w:val="04A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09"/>
        <w:gridCol w:w="3009"/>
        <w:gridCol w:w="3009"/>
      </w:tblGrid>
      <w:tr>
        <w:tc>
          <w:tcPr>
            <w:tcW w:type="dxa" w:w="3009"/>
            <w:vAlign w:val="center"/>
            <w:shd w:fill="DCEAF7"/>
            <w:shd w:fill="DCEAF7"/>
          </w:tcPr>
          <w:p>
            <w:pPr>
              <w:spacing w:line="276" w:lineRule="auto" w:after="60"/>
              <w:jc w:val="left"/>
            </w:pPr>
            <w:r>
              <w:rPr>
                <w:rFonts w:ascii="Times New Roman" w:hAnsi="Times New Roman" w:eastAsia="Times New Roman"/>
                <w:b/>
                <w:sz w:val="21"/>
              </w:rPr>
              <w:t>Layer</w:t>
            </w:r>
          </w:p>
        </w:tc>
        <w:tc>
          <w:tcPr>
            <w:tcW w:type="dxa" w:w="3009"/>
            <w:vAlign w:val="center"/>
            <w:shd w:fill="DCEAF7"/>
            <w:shd w:fill="DCEAF7"/>
          </w:tcPr>
          <w:p>
            <w:pPr>
              <w:spacing w:line="276" w:lineRule="auto" w:after="60"/>
              <w:jc w:val="left"/>
            </w:pPr>
            <w:r>
              <w:rPr>
                <w:rFonts w:ascii="Times New Roman" w:hAnsi="Times New Roman" w:eastAsia="Times New Roman"/>
                <w:b/>
                <w:sz w:val="21"/>
              </w:rPr>
              <w:t>Purpose</w:t>
            </w:r>
          </w:p>
        </w:tc>
        <w:tc>
          <w:tcPr>
            <w:tcW w:type="dxa" w:w="3009"/>
            <w:vAlign w:val="center"/>
            <w:shd w:fill="DCEAF7"/>
            <w:shd w:fill="DCEAF7"/>
          </w:tcPr>
          <w:p>
            <w:pPr>
              <w:spacing w:line="276" w:lineRule="auto" w:after="60"/>
              <w:jc w:val="left"/>
            </w:pPr>
            <w:r>
              <w:rPr>
                <w:rFonts w:ascii="Times New Roman" w:hAnsi="Times New Roman" w:eastAsia="Times New Roman"/>
                <w:b/>
                <w:sz w:val="21"/>
              </w:rPr>
              <w:t>Example Output</w:t>
            </w:r>
          </w:p>
        </w:tc>
      </w:tr>
      <w:tr>
        <w:tc>
          <w:tcPr>
            <w:tcW w:type="dxa" w:w="3009"/>
            <w:vAlign w:val="center"/>
          </w:tcPr>
          <w:p>
            <w:pPr>
              <w:spacing w:line="276" w:lineRule="auto" w:after="60"/>
              <w:jc w:val="left"/>
            </w:pPr>
            <w:r>
              <w:rPr>
                <w:rFonts w:ascii="Times New Roman" w:hAnsi="Times New Roman" w:eastAsia="Times New Roman"/>
                <w:sz w:val="21"/>
              </w:rPr>
              <w:t>Bronze</w:t>
            </w:r>
          </w:p>
        </w:tc>
        <w:tc>
          <w:tcPr>
            <w:tcW w:type="dxa" w:w="3009"/>
            <w:vAlign w:val="center"/>
          </w:tcPr>
          <w:p>
            <w:pPr>
              <w:spacing w:line="276" w:lineRule="auto" w:after="60"/>
              <w:jc w:val="left"/>
            </w:pPr>
            <w:r>
              <w:rPr>
                <w:rFonts w:ascii="Times New Roman" w:hAnsi="Times New Roman" w:eastAsia="Times New Roman"/>
                <w:sz w:val="21"/>
              </w:rPr>
              <w:t>Store raw imported records with source name, load time, and row-level metadata.</w:t>
            </w:r>
          </w:p>
        </w:tc>
        <w:tc>
          <w:tcPr>
            <w:tcW w:type="dxa" w:w="3009"/>
            <w:vAlign w:val="center"/>
          </w:tcPr>
          <w:p>
            <w:pPr>
              <w:spacing w:line="276" w:lineRule="auto" w:after="60"/>
              <w:jc w:val="left"/>
            </w:pPr>
            <w:r>
              <w:rPr>
                <w:rFonts w:ascii="Times New Roman" w:hAnsi="Times New Roman" w:eastAsia="Times New Roman"/>
                <w:sz w:val="21"/>
              </w:rPr>
              <w:t>Raw snapshots from Sheets, Calendar, CSV/Excel, and weather sources.</w:t>
            </w:r>
          </w:p>
        </w:tc>
      </w:tr>
      <w:tr>
        <w:tc>
          <w:tcPr>
            <w:tcW w:type="dxa" w:w="3009"/>
            <w:vAlign w:val="center"/>
          </w:tcPr>
          <w:p>
            <w:pPr>
              <w:spacing w:line="276" w:lineRule="auto" w:after="60"/>
              <w:jc w:val="left"/>
            </w:pPr>
            <w:r>
              <w:rPr>
                <w:rFonts w:ascii="Times New Roman" w:hAnsi="Times New Roman" w:eastAsia="Times New Roman"/>
                <w:sz w:val="21"/>
              </w:rPr>
              <w:t>Silver</w:t>
            </w:r>
          </w:p>
        </w:tc>
        <w:tc>
          <w:tcPr>
            <w:tcW w:type="dxa" w:w="3009"/>
            <w:vAlign w:val="center"/>
          </w:tcPr>
          <w:p>
            <w:pPr>
              <w:spacing w:line="276" w:lineRule="auto" w:after="60"/>
              <w:jc w:val="left"/>
            </w:pPr>
            <w:r>
              <w:rPr>
                <w:rFonts w:ascii="Times New Roman" w:hAnsi="Times New Roman" w:eastAsia="Times New Roman"/>
                <w:sz w:val="21"/>
              </w:rPr>
              <w:t>Standardise cleaned business entities and events after validation.</w:t>
            </w:r>
          </w:p>
        </w:tc>
        <w:tc>
          <w:tcPr>
            <w:tcW w:type="dxa" w:w="3009"/>
            <w:vAlign w:val="center"/>
          </w:tcPr>
          <w:p>
            <w:pPr>
              <w:spacing w:line="276" w:lineRule="auto" w:after="60"/>
              <w:jc w:val="left"/>
            </w:pPr>
            <w:r>
              <w:rPr>
                <w:rFonts w:ascii="Times New Roman" w:hAnsi="Times New Roman" w:eastAsia="Times New Roman"/>
                <w:sz w:val="21"/>
              </w:rPr>
              <w:t>Cleaned service, customer, payment, warranty, refund, upsell, calendar, area, and weather records.</w:t>
            </w:r>
          </w:p>
        </w:tc>
      </w:tr>
      <w:tr>
        <w:tc>
          <w:tcPr>
            <w:tcW w:type="dxa" w:w="3009"/>
            <w:vAlign w:val="center"/>
          </w:tcPr>
          <w:p>
            <w:pPr>
              <w:spacing w:line="276" w:lineRule="auto" w:after="60"/>
              <w:jc w:val="left"/>
            </w:pPr>
            <w:r>
              <w:rPr>
                <w:rFonts w:ascii="Times New Roman" w:hAnsi="Times New Roman" w:eastAsia="Times New Roman"/>
                <w:sz w:val="21"/>
              </w:rPr>
              <w:t>Gold</w:t>
            </w:r>
          </w:p>
        </w:tc>
        <w:tc>
          <w:tcPr>
            <w:tcW w:type="dxa" w:w="3009"/>
            <w:vAlign w:val="center"/>
          </w:tcPr>
          <w:p>
            <w:pPr>
              <w:spacing w:line="276" w:lineRule="auto" w:after="60"/>
              <w:jc w:val="left"/>
            </w:pPr>
            <w:r>
              <w:rPr>
                <w:rFonts w:ascii="Times New Roman" w:hAnsi="Times New Roman" w:eastAsia="Times New Roman"/>
                <w:sz w:val="21"/>
              </w:rPr>
              <w:t>Prepare dashboard-ready metrics and analytics outputs.</w:t>
            </w:r>
          </w:p>
        </w:tc>
        <w:tc>
          <w:tcPr>
            <w:tcW w:type="dxa" w:w="3009"/>
            <w:vAlign w:val="center"/>
          </w:tcPr>
          <w:p>
            <w:pPr>
              <w:spacing w:line="276" w:lineRule="auto" w:after="60"/>
              <w:jc w:val="left"/>
            </w:pPr>
            <w:r>
              <w:rPr>
                <w:rFonts w:ascii="Times New Roman" w:hAnsi="Times New Roman" w:eastAsia="Times New Roman"/>
                <w:sz w:val="21"/>
              </w:rPr>
              <w:t>Executive KPIs, treatment difficulty, recurrence windows, hotspots, upsell fit, area risk, and recommendation log.</w:t>
            </w:r>
          </w:p>
        </w:tc>
      </w:tr>
      <w:tr>
        <w:tc>
          <w:tcPr>
            <w:tcW w:type="dxa" w:w="3009"/>
            <w:vAlign w:val="center"/>
          </w:tcPr>
          <w:p>
            <w:pPr>
              <w:spacing w:line="276" w:lineRule="auto" w:after="60"/>
              <w:jc w:val="left"/>
            </w:pPr>
            <w:r>
              <w:rPr>
                <w:rFonts w:ascii="Times New Roman" w:hAnsi="Times New Roman" w:eastAsia="Times New Roman"/>
                <w:sz w:val="21"/>
              </w:rPr>
              <w:t>Quality and audit</w:t>
            </w:r>
          </w:p>
        </w:tc>
        <w:tc>
          <w:tcPr>
            <w:tcW w:type="dxa" w:w="3009"/>
            <w:vAlign w:val="center"/>
          </w:tcPr>
          <w:p>
            <w:pPr>
              <w:spacing w:line="276" w:lineRule="auto" w:after="60"/>
              <w:jc w:val="left"/>
            </w:pPr>
            <w:r>
              <w:rPr>
                <w:rFonts w:ascii="Times New Roman" w:hAnsi="Times New Roman" w:eastAsia="Times New Roman"/>
                <w:sz w:val="21"/>
              </w:rPr>
              <w:t>Track whether the pipeline and data are trustworthy.</w:t>
            </w:r>
          </w:p>
        </w:tc>
        <w:tc>
          <w:tcPr>
            <w:tcW w:type="dxa" w:w="3009"/>
            <w:vAlign w:val="center"/>
          </w:tcPr>
          <w:p>
            <w:pPr>
              <w:spacing w:line="276" w:lineRule="auto" w:after="60"/>
              <w:jc w:val="left"/>
            </w:pPr>
            <w:r>
              <w:rPr>
                <w:rFonts w:ascii="Times New Roman" w:hAnsi="Times New Roman" w:eastAsia="Times New Roman"/>
                <w:sz w:val="21"/>
              </w:rPr>
              <w:t>Data quality report, source contract status, match confidence, refresh status, and dbt/Airflow run logs.</w:t>
            </w:r>
          </w:p>
        </w:tc>
      </w:tr>
      <w:tr>
        <w:tc>
          <w:tcPr>
            <w:tcW w:type="dxa" w:w="3009"/>
            <w:vAlign w:val="center"/>
          </w:tcPr>
          <w:p>
            <w:pPr>
              <w:spacing w:line="276" w:lineRule="auto" w:after="60"/>
              <w:jc w:val="left"/>
            </w:pPr>
            <w:r>
              <w:rPr>
                <w:rFonts w:ascii="Times New Roman" w:hAnsi="Times New Roman" w:eastAsia="Times New Roman"/>
                <w:sz w:val="21"/>
              </w:rPr>
              <w:t>Privacy/reporting views</w:t>
            </w:r>
          </w:p>
        </w:tc>
        <w:tc>
          <w:tcPr>
            <w:tcW w:type="dxa" w:w="3009"/>
            <w:vAlign w:val="center"/>
          </w:tcPr>
          <w:p>
            <w:pPr>
              <w:spacing w:line="276" w:lineRule="auto" w:after="60"/>
              <w:jc w:val="left"/>
            </w:pPr>
            <w:r>
              <w:rPr>
                <w:rFonts w:ascii="Times New Roman" w:hAnsi="Times New Roman" w:eastAsia="Times New Roman"/>
                <w:sz w:val="21"/>
              </w:rPr>
              <w:t>Provide anonymised outputs for academic and management reporting.</w:t>
            </w:r>
          </w:p>
        </w:tc>
        <w:tc>
          <w:tcPr>
            <w:tcW w:type="dxa" w:w="3009"/>
            <w:vAlign w:val="center"/>
          </w:tcPr>
          <w:p>
            <w:pPr>
              <w:spacing w:line="276" w:lineRule="auto" w:after="60"/>
              <w:jc w:val="left"/>
            </w:pPr>
            <w:r>
              <w:rPr>
                <w:rFonts w:ascii="Times New Roman" w:hAnsi="Times New Roman" w:eastAsia="Times New Roman"/>
                <w:sz w:val="21"/>
              </w:rPr>
              <w:t>Customer IDs and area/postcode-level location instead of names, phone numbers, emails, or full addresses.</w:t>
            </w:r>
          </w:p>
        </w:tc>
      </w:tr>
    </w:tbl>
    <w:sectPr w:rsidR="0084730D" w:rsidRPr="00335C63" w:rsidSect="009C0B3E">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71E33" w14:textId="77777777" w:rsidR="004B352E" w:rsidRDefault="004B352E">
      <w:pPr>
        <w:spacing w:after="0" w:line="240" w:lineRule="auto"/>
      </w:pPr>
      <w:r>
        <w:separator/>
      </w:r>
    </w:p>
  </w:endnote>
  <w:endnote w:type="continuationSeparator" w:id="0">
    <w:p w14:paraId="62E4C5D1" w14:textId="77777777" w:rsidR="004B352E" w:rsidRDefault="004B35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95EF9" w14:textId="77777777" w:rsidR="009656FF" w:rsidRDefault="009656FF">
    <w:pPr>
      <w:pStyle w:val="Footer"/>
      <w:spacing w:line="240" w:lineRule="auto" w:after="0"/>
      <w:jc w:val="center"/>
      <w:rPr>
        <w:color w:val="5A636E"/>
        <w:sz w:val="18"/>
      </w:rPr>
    </w:pPr>
  </w:p>
  <w:p w14:paraId="60BD35FF" w14:textId="77777777" w:rsidR="0084730D" w:rsidRDefault="00357319">
    <w:pPr>
      <w:pStyle w:val="Footer"/>
      <w:spacing w:line="240" w:lineRule="auto" w:after="0"/>
      <w:jc w:val="center"/>
    </w:pPr>
    <w:r>
      <w:rPr>
        <w:rFonts w:ascii="Times New Roman" w:hAnsi="Times New Roman" w:eastAsia="Times New Roman"/>
        <w:color w:val="5A636E"/>
        <w:sz w:val="18"/>
      </w:rPr>
      <w:t xml:space="preserve">Capstone </w:t>
    </w:r>
    <w:r w:rsidR="009656FF">
      <w:rPr>
        <w:rFonts w:ascii="Times New Roman" w:hAnsi="Times New Roman" w:eastAsia="Times New Roman"/>
        <w:color w:val="5A636E"/>
        <w:sz w:val="18"/>
      </w:rPr>
      <w:t xml:space="preserve">Project 1 </w:t>
    </w:r>
    <w:r>
      <w:rPr>
        <w:rFonts w:ascii="Times New Roman" w:hAnsi="Times New Roman" w:eastAsia="Times New Roman"/>
        <w:color w:val="5A636E"/>
        <w:sz w:val="18"/>
      </w:rPr>
      <w:t>Proposal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5C85B" w14:textId="77777777" w:rsidR="004B352E" w:rsidRDefault="004B352E">
      <w:pPr>
        <w:spacing w:after="0" w:line="240" w:lineRule="auto"/>
      </w:pPr>
      <w:r>
        <w:separator/>
      </w:r>
    </w:p>
  </w:footnote>
  <w:footnote w:type="continuationSeparator" w:id="0">
    <w:p w14:paraId="519E52F4" w14:textId="77777777" w:rsidR="004B352E" w:rsidRDefault="004B352E">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8630399">
    <w:abstractNumId w:val="8"/>
  </w:num>
  <w:num w:numId="2" w16cid:durableId="1657495368">
    <w:abstractNumId w:val="6"/>
  </w:num>
  <w:num w:numId="3" w16cid:durableId="1461731056">
    <w:abstractNumId w:val="5"/>
  </w:num>
  <w:num w:numId="4" w16cid:durableId="220947359">
    <w:abstractNumId w:val="4"/>
  </w:num>
  <w:num w:numId="5" w16cid:durableId="496112857">
    <w:abstractNumId w:val="7"/>
  </w:num>
  <w:num w:numId="6" w16cid:durableId="1205673879">
    <w:abstractNumId w:val="3"/>
  </w:num>
  <w:num w:numId="7" w16cid:durableId="1669555068">
    <w:abstractNumId w:val="2"/>
  </w:num>
  <w:num w:numId="8" w16cid:durableId="1258714699">
    <w:abstractNumId w:val="1"/>
  </w:num>
  <w:num w:numId="9" w16cid:durableId="55251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EA"/>
    <w:rsid w:val="00020A19"/>
    <w:rsid w:val="00034616"/>
    <w:rsid w:val="0006063C"/>
    <w:rsid w:val="0006642D"/>
    <w:rsid w:val="00066841"/>
    <w:rsid w:val="00082488"/>
    <w:rsid w:val="000D19BC"/>
    <w:rsid w:val="000F4170"/>
    <w:rsid w:val="00106A8F"/>
    <w:rsid w:val="0015074B"/>
    <w:rsid w:val="00177ABB"/>
    <w:rsid w:val="0019763A"/>
    <w:rsid w:val="0029639D"/>
    <w:rsid w:val="002B1A5B"/>
    <w:rsid w:val="002D1C19"/>
    <w:rsid w:val="00326F90"/>
    <w:rsid w:val="00335C63"/>
    <w:rsid w:val="00345511"/>
    <w:rsid w:val="00351EF8"/>
    <w:rsid w:val="00357319"/>
    <w:rsid w:val="0036763B"/>
    <w:rsid w:val="00395266"/>
    <w:rsid w:val="003C0C08"/>
    <w:rsid w:val="003E4481"/>
    <w:rsid w:val="004B352E"/>
    <w:rsid w:val="00552BF9"/>
    <w:rsid w:val="005724D6"/>
    <w:rsid w:val="00595039"/>
    <w:rsid w:val="00635337"/>
    <w:rsid w:val="00712597"/>
    <w:rsid w:val="00725AB6"/>
    <w:rsid w:val="00737E62"/>
    <w:rsid w:val="007A15D3"/>
    <w:rsid w:val="007D7C69"/>
    <w:rsid w:val="007F7DE7"/>
    <w:rsid w:val="0084088C"/>
    <w:rsid w:val="0084730D"/>
    <w:rsid w:val="00853100"/>
    <w:rsid w:val="008643BF"/>
    <w:rsid w:val="00891518"/>
    <w:rsid w:val="008D6A1A"/>
    <w:rsid w:val="00916002"/>
    <w:rsid w:val="009340C4"/>
    <w:rsid w:val="009656FF"/>
    <w:rsid w:val="00980E56"/>
    <w:rsid w:val="00981EE4"/>
    <w:rsid w:val="00984EB3"/>
    <w:rsid w:val="00997D20"/>
    <w:rsid w:val="009C0B3E"/>
    <w:rsid w:val="009F6D33"/>
    <w:rsid w:val="00A017C9"/>
    <w:rsid w:val="00A32882"/>
    <w:rsid w:val="00AA1D8D"/>
    <w:rsid w:val="00AC654A"/>
    <w:rsid w:val="00AC6BFC"/>
    <w:rsid w:val="00B47730"/>
    <w:rsid w:val="00B656FC"/>
    <w:rsid w:val="00BB18A2"/>
    <w:rsid w:val="00BE26A8"/>
    <w:rsid w:val="00BF3F6C"/>
    <w:rsid w:val="00C521CA"/>
    <w:rsid w:val="00CB0664"/>
    <w:rsid w:val="00CD7B49"/>
    <w:rsid w:val="00DF1EFA"/>
    <w:rsid w:val="00E9478E"/>
    <w:rsid w:val="00EA3A6E"/>
    <w:rsid w:val="00EF6C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2A2639"/>
  <w14:defaultImageDpi w14:val="330"/>
  <w15:docId w15:val="{94C9C8BF-7910-4A51-859A-8F19298B0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eastAsia="Times New Roman" w:cs="Times New Roman"/>
      <w:b w:val="0"/>
      <w:sz w:val="24"/>
    </w:rPr>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line="360" w:lineRule="auto" w:after="120"/>
      <w:jc w:val="left"/>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left"/>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rPr>
  </w:style>
  <w:style w:type="table" w:default="1" w:styleId="TableNormal">
    <w:name w:val="Normal Table"/>
    <w:uiPriority w:val="99"/>
    <w:semiHidden/>
    <w:unhideWhenUsed/>
    <w:rPr>
      <w:rFonts w:ascii="Times New Roman" w:hAnsi="Times New Roman" w:eastAsia="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HeaderChar">
    <w:name w:val="Header Char"/>
    <w:basedOn w:val="DefaultParagraphFont"/>
    <w:link w:val="Header"/>
    <w:uiPriority w:val="99"/>
    <w:rsid w:val="00E618BF"/>
    <w:rPr>
      <w:rFonts w:ascii="Times New Roman" w:hAnsi="Times New Roman" w:eastAsia="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FooterChar">
    <w:name w:val="Footer Char"/>
    <w:basedOn w:val="DefaultParagraphFont"/>
    <w:link w:val="Footer"/>
    <w:uiPriority w:val="99"/>
    <w:rsid w:val="00E618BF"/>
    <w:rPr>
      <w:rFonts w:ascii="Times New Roman" w:hAnsi="Times New Roman" w:eastAsia="Times New Roman"/>
    </w:rPr>
  </w:style>
  <w:style w:type="paragraph" w:styleId="NoSpacing">
    <w:name w:val="No Spacing"/>
    <w:uiPriority w:val="1"/>
    <w:qFormat/>
    <w:rsid w:val="00FC693F"/>
    <w:pPr>
      <w:spacing w:after="0" w:line="240" w:lineRule="auto"/>
    </w:pPr>
    <w:rPr>
      <w:rFonts w:ascii="Times New Roman" w:hAnsi="Times New Roman" w:eastAsia="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5A636E"/>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rPr>
  </w:style>
  <w:style w:type="paragraph" w:styleId="BodyText">
    <w:name w:val="Body Text"/>
    <w:basedOn w:val="Normal"/>
    <w:link w:val="BodyTextChar"/>
    <w:uiPriority w:val="99"/>
    <w:unhideWhenUsed/>
    <w:rsid w:val="00AA1D8D"/>
    <w:rPr>
      <w:rFonts w:ascii="Times New Roman" w:hAnsi="Times New Roman" w:eastAsia="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rPr>
  </w:style>
  <w:style w:type="paragraph" w:styleId="BodyText2">
    <w:name w:val="Body Text 2"/>
    <w:basedOn w:val="Normal"/>
    <w:link w:val="BodyText2Char"/>
    <w:uiPriority w:val="99"/>
    <w:unhideWhenUsed/>
    <w:rsid w:val="00AA1D8D"/>
    <w:pPr>
      <w:spacing w:line="480" w:lineRule="auto"/>
    </w:pPr>
    <w:rPr>
      <w:rFonts w:ascii="Times New Roman" w:hAnsi="Times New Roman" w:eastAsia="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rPr>
  </w:style>
  <w:style w:type="paragraph" w:styleId="BodyText3">
    <w:name w:val="Body Text 3"/>
    <w:basedOn w:val="Normal"/>
    <w:link w:val="BodyText3Char"/>
    <w:uiPriority w:val="99"/>
    <w:unhideWhenUsed/>
    <w:rsid w:val="00AA1D8D"/>
    <w:rPr>
      <w:rFonts w:ascii="Times New Roman" w:hAnsi="Times New Roman" w:eastAsia="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rPr>
  </w:style>
  <w:style w:type="paragraph" w:styleId="ListContinue">
    <w:name w:val="List Continue"/>
    <w:basedOn w:val="Normal"/>
    <w:uiPriority w:val="99"/>
    <w:unhideWhenUsed/>
    <w:rsid w:val="0029639D"/>
    <w:pPr>
      <w:ind w:left="360"/>
      <w:contextualSpacing/>
    </w:pPr>
    <w:rPr>
      <w:rFonts w:ascii="Times New Roman" w:hAnsi="Times New Roman" w:eastAsia="Times New Roman"/>
    </w:rPr>
  </w:style>
  <w:style w:type="paragraph" w:styleId="ListContinue2">
    <w:name w:val="List Continue 2"/>
    <w:basedOn w:val="Normal"/>
    <w:uiPriority w:val="99"/>
    <w:unhideWhenUsed/>
    <w:rsid w:val="0029639D"/>
    <w:pPr>
      <w:ind w:left="720"/>
      <w:contextualSpacing/>
    </w:pPr>
    <w:rPr>
      <w:rFonts w:ascii="Times New Roman" w:hAnsi="Times New Roman" w:eastAsia="Times New Roman"/>
    </w:rPr>
  </w:style>
  <w:style w:type="paragraph" w:styleId="ListContinue3">
    <w:name w:val="List Continue 3"/>
    <w:basedOn w:val="Normal"/>
    <w:uiPriority w:val="99"/>
    <w:unhideWhenUsed/>
    <w:rsid w:val="0029639D"/>
    <w:pPr>
      <w:ind w:left="1080"/>
      <w:contextualSpacing/>
    </w:pPr>
    <w:rPr>
      <w:rFonts w:ascii="Times New Roman" w:hAnsi="Times New Roman" w:eastAsia="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b/>
      <w:bCs/>
    </w:rPr>
  </w:style>
  <w:style w:type="character" w:styleId="Emphasis">
    <w:name w:val="Emphasis"/>
    <w:basedOn w:val="DefaultParagraphFont"/>
    <w:uiPriority w:val="20"/>
    <w:qFormat/>
    <w:rsid w:val="00FC693F"/>
    <w:rPr>
      <w:rFonts w:ascii="Times New Roman" w:hAnsi="Times New Roman" w:eastAsia="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rPr>
  </w:style>
  <w:style w:type="table" w:styleId="TableGrid">
    <w:name w:val="Table Grid"/>
    <w:basedOn w:val="TableNormal"/>
    <w:uiPriority w:val="59"/>
    <w:rsid w:val="00FC693F"/>
    <w:pPr>
      <w:spacing w:after="0" w:line="240" w:lineRule="auto"/>
    </w:pPr>
    <w:rPr>
      <w:rFonts w:ascii="Times New Roman" w:hAnsi="Times New Roman"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hAnsi="Times New Roman" w:eastAsia="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37E62"/>
    <w:rPr>
      <w:rFonts w:ascii="Times New Roman" w:hAnsi="Times New Roman" w:eastAsia="Times New Roman"/>
      <w:color w:val="0000FF" w:themeColor="hyperlink"/>
      <w:u w:val="single"/>
    </w:rPr>
  </w:style>
  <w:style w:type="character" w:styleId="UnresolvedMention">
    <w:name w:val="Unresolved Mention"/>
    <w:basedOn w:val="DefaultParagraphFont"/>
    <w:uiPriority w:val="99"/>
    <w:semiHidden/>
    <w:unhideWhenUsed/>
    <w:rsid w:val="00737E62"/>
    <w:rPr>
      <w:rFonts w:ascii="Times New Roman" w:hAnsi="Times New Roman" w:eastAsia="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40531-3980-4306-A6A3-FFCF95A2D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11269</Words>
  <Characters>64237</Characters>
  <Application>Microsoft Office Word</Application>
  <DocSecurity>0</DocSecurity>
  <Lines>535</Lines>
  <Paragraphs>150</Paragraphs>
  <ScaleCrop>false</ScaleCrop>
  <Manager/>
  <Company/>
  <LinksUpToDate>false</LinksUpToDate>
  <CharactersWithSpaces>75356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Nomobug Capstone Proposal CP1 Updated</dc:title>
  <dc:subject>Weather-aware pest control analytics decision-support dashboard</dc:subject>
  <dc:creator>Thevesh Chandran</dc:creator>
  <cp:keywords/>
  <dc:description/>
  <cp:lastModifiedBy>Thevesh Chandran</cp:lastModifiedBy>
  <cp:revision>17</cp:revision>
  <dcterms:created xsi:type="dcterms:W3CDTF">2026-06-20T03:06:00Z</dcterms:created>
  <dcterms:modified xsi:type="dcterms:W3CDTF">2026-07-12T10:23:00Z</dcterms:modified>
  <cp:category/>
</cp:coreProperties>
</file>