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50281" w14:textId="4E2E878D" w:rsidR="00166948" w:rsidRPr="005F30DF" w:rsidRDefault="00166948" w:rsidP="0033706D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5F30DF">
        <w:rPr>
          <w:rFonts w:ascii="Arial" w:hAnsi="Arial" w:cs="Arial"/>
          <w:b/>
          <w:sz w:val="20"/>
          <w:szCs w:val="20"/>
        </w:rPr>
        <w:t>Cognitive Composite Scores of JHU Cognitive Data, Derived From CFA</w:t>
      </w:r>
    </w:p>
    <w:p w14:paraId="6A130BD4" w14:textId="77777777" w:rsidR="0033706D" w:rsidRPr="005F30DF" w:rsidRDefault="0033706D" w:rsidP="0033706D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7ADDEB3F" w14:textId="42EB2D9F" w:rsidR="0051490C" w:rsidRPr="005F30DF" w:rsidRDefault="0051490C" w:rsidP="0033706D">
      <w:p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>Annual BIOCARD visits include a comprehensive battery of neuropsychological tests</w:t>
      </w:r>
      <w:r w:rsidR="00DA42FE" w:rsidRPr="005F30DF">
        <w:rPr>
          <w:rFonts w:ascii="Arial" w:hAnsi="Arial" w:cs="Arial"/>
          <w:sz w:val="20"/>
          <w:szCs w:val="20"/>
        </w:rPr>
        <w:t xml:space="preserve"> </w:t>
      </w:r>
      <w:r w:rsidRPr="005F30DF">
        <w:rPr>
          <w:rFonts w:ascii="Arial" w:hAnsi="Arial" w:cs="Arial"/>
          <w:sz w:val="20"/>
          <w:szCs w:val="20"/>
        </w:rPr>
        <w:t xml:space="preserve">from multiple </w:t>
      </w:r>
      <w:r w:rsidR="00DA42FE" w:rsidRPr="005F30DF">
        <w:rPr>
          <w:rFonts w:ascii="Arial" w:hAnsi="Arial" w:cs="Arial"/>
          <w:sz w:val="20"/>
          <w:szCs w:val="20"/>
        </w:rPr>
        <w:t xml:space="preserve">cognitive </w:t>
      </w:r>
      <w:r w:rsidRPr="005F30DF">
        <w:rPr>
          <w:rFonts w:ascii="Arial" w:hAnsi="Arial" w:cs="Arial"/>
          <w:sz w:val="20"/>
          <w:szCs w:val="20"/>
        </w:rPr>
        <w:t xml:space="preserve">domains. In order to reduce the amount of cognitive data considered </w:t>
      </w:r>
      <w:r w:rsidR="00DA42FE" w:rsidRPr="005F30DF">
        <w:rPr>
          <w:rFonts w:ascii="Arial" w:hAnsi="Arial" w:cs="Arial"/>
          <w:sz w:val="20"/>
          <w:szCs w:val="20"/>
        </w:rPr>
        <w:t xml:space="preserve">in </w:t>
      </w:r>
      <w:r w:rsidRPr="005F30DF">
        <w:rPr>
          <w:rFonts w:ascii="Arial" w:hAnsi="Arial" w:cs="Arial"/>
          <w:sz w:val="20"/>
          <w:szCs w:val="20"/>
        </w:rPr>
        <w:t>statistical analyses</w:t>
      </w:r>
      <w:r w:rsidR="00DA42FE" w:rsidRPr="005F30DF">
        <w:rPr>
          <w:rFonts w:ascii="Arial" w:hAnsi="Arial" w:cs="Arial"/>
          <w:sz w:val="20"/>
          <w:szCs w:val="20"/>
        </w:rPr>
        <w:t>,</w:t>
      </w:r>
      <w:r w:rsidRPr="005F30DF">
        <w:rPr>
          <w:rFonts w:ascii="Arial" w:hAnsi="Arial" w:cs="Arial"/>
          <w:sz w:val="20"/>
          <w:szCs w:val="20"/>
        </w:rPr>
        <w:t xml:space="preserve"> we conducted a confirmatory factor analysis </w:t>
      </w:r>
      <w:r w:rsidR="005F30DF" w:rsidRPr="005F30DF">
        <w:rPr>
          <w:rFonts w:ascii="Arial" w:hAnsi="Arial" w:cs="Arial"/>
          <w:sz w:val="20"/>
          <w:szCs w:val="20"/>
        </w:rPr>
        <w:t xml:space="preserve">(CFA) </w:t>
      </w:r>
      <w:r w:rsidR="00166948" w:rsidRPr="005F30DF">
        <w:rPr>
          <w:rFonts w:ascii="Arial" w:hAnsi="Arial" w:cs="Arial"/>
          <w:sz w:val="20"/>
          <w:szCs w:val="20"/>
        </w:rPr>
        <w:t xml:space="preserve">in order to justify the creation of domain-specific </w:t>
      </w:r>
      <w:r w:rsidRPr="005F30DF">
        <w:rPr>
          <w:rFonts w:ascii="Arial" w:hAnsi="Arial" w:cs="Arial"/>
          <w:sz w:val="20"/>
          <w:szCs w:val="20"/>
        </w:rPr>
        <w:t>cognitive composite scores</w:t>
      </w:r>
      <w:r w:rsidR="002C0D8D" w:rsidRPr="005F30DF">
        <w:rPr>
          <w:rFonts w:ascii="Arial" w:hAnsi="Arial" w:cs="Arial"/>
          <w:sz w:val="20"/>
          <w:szCs w:val="20"/>
        </w:rPr>
        <w:t xml:space="preserve"> from visit 101 onwards</w:t>
      </w:r>
      <w:r w:rsidRPr="005F30DF">
        <w:rPr>
          <w:rFonts w:ascii="Arial" w:hAnsi="Arial" w:cs="Arial"/>
          <w:sz w:val="20"/>
          <w:szCs w:val="20"/>
        </w:rPr>
        <w:t xml:space="preserve">. This document describes </w:t>
      </w:r>
      <w:r w:rsidR="00C831FE">
        <w:rPr>
          <w:rFonts w:ascii="Arial" w:hAnsi="Arial" w:cs="Arial"/>
          <w:sz w:val="20"/>
          <w:szCs w:val="20"/>
        </w:rPr>
        <w:t>how these</w:t>
      </w:r>
      <w:r w:rsidRPr="005F30DF">
        <w:rPr>
          <w:rFonts w:ascii="Arial" w:hAnsi="Arial" w:cs="Arial"/>
          <w:sz w:val="20"/>
          <w:szCs w:val="20"/>
        </w:rPr>
        <w:t xml:space="preserve"> composite scores</w:t>
      </w:r>
      <w:r w:rsidR="00C831FE">
        <w:rPr>
          <w:rFonts w:ascii="Arial" w:hAnsi="Arial" w:cs="Arial"/>
          <w:sz w:val="20"/>
          <w:szCs w:val="20"/>
        </w:rPr>
        <w:t xml:space="preserve"> were created</w:t>
      </w:r>
      <w:r w:rsidRPr="005F30DF">
        <w:rPr>
          <w:rFonts w:ascii="Arial" w:hAnsi="Arial" w:cs="Arial"/>
          <w:sz w:val="20"/>
          <w:szCs w:val="20"/>
        </w:rPr>
        <w:t xml:space="preserve">. </w:t>
      </w:r>
      <w:r w:rsidR="007927C5" w:rsidRPr="005F30DF">
        <w:rPr>
          <w:rFonts w:ascii="Arial" w:hAnsi="Arial" w:cs="Arial"/>
          <w:b/>
          <w:sz w:val="20"/>
          <w:szCs w:val="20"/>
          <w:u w:val="single"/>
        </w:rPr>
        <w:t xml:space="preserve">Note, </w:t>
      </w:r>
      <w:r w:rsidR="00DA42FE" w:rsidRPr="005F30DF">
        <w:rPr>
          <w:rFonts w:ascii="Arial" w:hAnsi="Arial" w:cs="Arial"/>
          <w:b/>
          <w:sz w:val="20"/>
          <w:szCs w:val="20"/>
          <w:u w:val="single"/>
        </w:rPr>
        <w:t xml:space="preserve">cognitive composites </w:t>
      </w:r>
      <w:r w:rsidR="00AF7B0E">
        <w:rPr>
          <w:rFonts w:ascii="Arial" w:hAnsi="Arial" w:cs="Arial"/>
          <w:b/>
          <w:sz w:val="20"/>
          <w:szCs w:val="20"/>
          <w:u w:val="single"/>
        </w:rPr>
        <w:t xml:space="preserve">were </w:t>
      </w:r>
      <w:r w:rsidR="002C0D8D" w:rsidRPr="005F30DF">
        <w:rPr>
          <w:rFonts w:ascii="Arial" w:hAnsi="Arial" w:cs="Arial"/>
          <w:b/>
          <w:sz w:val="20"/>
          <w:szCs w:val="20"/>
          <w:u w:val="single"/>
        </w:rPr>
        <w:t xml:space="preserve">only created for </w:t>
      </w:r>
      <w:r w:rsidR="00DA42FE" w:rsidRPr="005F30DF">
        <w:rPr>
          <w:rFonts w:ascii="Arial" w:hAnsi="Arial" w:cs="Arial"/>
          <w:b/>
          <w:sz w:val="20"/>
          <w:szCs w:val="20"/>
          <w:u w:val="single"/>
        </w:rPr>
        <w:t>study visits conducted at Johns Hopkins</w:t>
      </w:r>
      <w:r w:rsidR="002C0D8D" w:rsidRPr="005F30DF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DA42FE" w:rsidRPr="005F30DF">
        <w:rPr>
          <w:rFonts w:ascii="Arial" w:hAnsi="Arial" w:cs="Arial"/>
          <w:b/>
          <w:sz w:val="20"/>
          <w:szCs w:val="20"/>
          <w:u w:val="single"/>
        </w:rPr>
        <w:t xml:space="preserve">i.e., </w:t>
      </w:r>
      <w:r w:rsidR="002C0D8D" w:rsidRPr="005F30DF">
        <w:rPr>
          <w:rFonts w:ascii="Arial" w:hAnsi="Arial" w:cs="Arial"/>
          <w:b/>
          <w:sz w:val="20"/>
          <w:szCs w:val="20"/>
          <w:u w:val="single"/>
        </w:rPr>
        <w:t xml:space="preserve">for </w:t>
      </w:r>
      <w:r w:rsidR="00DA42FE" w:rsidRPr="005F30DF">
        <w:rPr>
          <w:rFonts w:ascii="Arial" w:hAnsi="Arial" w:cs="Arial"/>
          <w:b/>
          <w:sz w:val="20"/>
          <w:szCs w:val="20"/>
          <w:u w:val="single"/>
        </w:rPr>
        <w:t>visit 101 onwards.</w:t>
      </w:r>
      <w:r w:rsidR="00DA42FE" w:rsidRPr="005F30DF">
        <w:rPr>
          <w:rFonts w:ascii="Arial" w:hAnsi="Arial" w:cs="Arial"/>
          <w:sz w:val="20"/>
          <w:szCs w:val="20"/>
        </w:rPr>
        <w:t xml:space="preserve"> </w:t>
      </w:r>
    </w:p>
    <w:p w14:paraId="3DA06AD0" w14:textId="77777777" w:rsidR="0033706D" w:rsidRPr="005F30DF" w:rsidRDefault="0033706D" w:rsidP="0033706D">
      <w:pPr>
        <w:spacing w:after="0"/>
        <w:rPr>
          <w:rFonts w:ascii="Arial" w:hAnsi="Arial" w:cs="Arial"/>
          <w:sz w:val="20"/>
          <w:szCs w:val="20"/>
        </w:rPr>
      </w:pPr>
    </w:p>
    <w:p w14:paraId="2E96CEAB" w14:textId="5341FA9D" w:rsidR="0051490C" w:rsidRPr="005F30DF" w:rsidRDefault="0051490C" w:rsidP="001B5EED">
      <w:p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  <w:u w:val="single"/>
        </w:rPr>
        <w:t>Application of CFA</w:t>
      </w:r>
      <w:r w:rsidRPr="005F30DF">
        <w:rPr>
          <w:rFonts w:ascii="Arial" w:hAnsi="Arial" w:cs="Arial"/>
          <w:sz w:val="20"/>
          <w:szCs w:val="20"/>
        </w:rPr>
        <w:t xml:space="preserve">: </w:t>
      </w:r>
      <w:r w:rsidR="005F30DF" w:rsidRPr="005F30DF">
        <w:rPr>
          <w:rFonts w:ascii="Arial" w:hAnsi="Arial" w:cs="Arial"/>
          <w:sz w:val="20"/>
          <w:szCs w:val="20"/>
        </w:rPr>
        <w:t xml:space="preserve">Using CFA, we </w:t>
      </w:r>
      <w:r w:rsidRPr="005F30DF">
        <w:rPr>
          <w:rFonts w:ascii="Arial" w:hAnsi="Arial" w:cs="Arial"/>
          <w:sz w:val="20"/>
          <w:szCs w:val="20"/>
        </w:rPr>
        <w:t>(1) confirm</w:t>
      </w:r>
      <w:r w:rsidR="005F30DF" w:rsidRPr="005F30DF">
        <w:rPr>
          <w:rFonts w:ascii="Arial" w:hAnsi="Arial" w:cs="Arial"/>
          <w:sz w:val="20"/>
          <w:szCs w:val="20"/>
        </w:rPr>
        <w:t>ed</w:t>
      </w:r>
      <w:r w:rsidRPr="005F30DF">
        <w:rPr>
          <w:rFonts w:ascii="Arial" w:hAnsi="Arial" w:cs="Arial"/>
          <w:sz w:val="20"/>
          <w:szCs w:val="20"/>
        </w:rPr>
        <w:t xml:space="preserve"> that </w:t>
      </w:r>
      <w:r w:rsidR="007927C5" w:rsidRPr="005F30DF">
        <w:rPr>
          <w:rFonts w:ascii="Arial" w:hAnsi="Arial" w:cs="Arial"/>
          <w:sz w:val="20"/>
          <w:szCs w:val="20"/>
        </w:rPr>
        <w:t>a set of</w:t>
      </w:r>
      <w:r w:rsidRPr="005F30DF">
        <w:rPr>
          <w:rFonts w:ascii="Arial" w:hAnsi="Arial" w:cs="Arial"/>
          <w:sz w:val="20"/>
          <w:szCs w:val="20"/>
        </w:rPr>
        <w:t xml:space="preserve"> a priori selected neuropsychological tasks load on their hypothesized cognitive </w:t>
      </w:r>
      <w:r w:rsidR="00DA42FE" w:rsidRPr="005F30DF">
        <w:rPr>
          <w:rFonts w:ascii="Arial" w:hAnsi="Arial" w:cs="Arial"/>
          <w:sz w:val="20"/>
          <w:szCs w:val="20"/>
        </w:rPr>
        <w:t>factors</w:t>
      </w:r>
      <w:r w:rsidRPr="005F30DF">
        <w:rPr>
          <w:rFonts w:ascii="Arial" w:hAnsi="Arial" w:cs="Arial"/>
          <w:sz w:val="20"/>
          <w:szCs w:val="20"/>
        </w:rPr>
        <w:t xml:space="preserve"> and (2) establish</w:t>
      </w:r>
      <w:r w:rsidR="005F30DF" w:rsidRPr="005F30DF">
        <w:rPr>
          <w:rFonts w:ascii="Arial" w:hAnsi="Arial" w:cs="Arial"/>
          <w:sz w:val="20"/>
          <w:szCs w:val="20"/>
        </w:rPr>
        <w:t>ed</w:t>
      </w:r>
      <w:r w:rsidRPr="005F30DF">
        <w:rPr>
          <w:rFonts w:ascii="Arial" w:hAnsi="Arial" w:cs="Arial"/>
          <w:sz w:val="20"/>
          <w:szCs w:val="20"/>
        </w:rPr>
        <w:t xml:space="preserve"> task weights for creating composite scores. </w:t>
      </w:r>
      <w:r w:rsidR="005F30DF" w:rsidRPr="005F30DF">
        <w:rPr>
          <w:rFonts w:ascii="Arial" w:hAnsi="Arial" w:cs="Arial"/>
          <w:sz w:val="20"/>
          <w:szCs w:val="20"/>
        </w:rPr>
        <w:t xml:space="preserve">Based on these results, cognitive composite scores </w:t>
      </w:r>
      <w:r w:rsidR="00AF7B0E">
        <w:rPr>
          <w:rFonts w:ascii="Arial" w:hAnsi="Arial" w:cs="Arial"/>
          <w:sz w:val="20"/>
          <w:szCs w:val="20"/>
        </w:rPr>
        <w:t xml:space="preserve">were </w:t>
      </w:r>
      <w:r w:rsidR="005F30DF" w:rsidRPr="005F30DF">
        <w:rPr>
          <w:rFonts w:ascii="Arial" w:hAnsi="Arial" w:cs="Arial"/>
          <w:sz w:val="20"/>
          <w:szCs w:val="20"/>
        </w:rPr>
        <w:t>calculated for four domains of cognition, with three tasks contributing to each score: episodic memory, executive, visuospatial, and language.</w:t>
      </w:r>
      <w:r w:rsidR="001B5EED" w:rsidRPr="001B5EED">
        <w:rPr>
          <w:rFonts w:ascii="Arial" w:hAnsi="Arial" w:cs="Arial"/>
          <w:sz w:val="20"/>
          <w:szCs w:val="20"/>
        </w:rPr>
        <w:t xml:space="preserve"> </w:t>
      </w:r>
    </w:p>
    <w:p w14:paraId="2B5BF905" w14:textId="17FC4CCA" w:rsidR="0033706D" w:rsidRPr="005F30DF" w:rsidRDefault="0033706D" w:rsidP="0033706D">
      <w:pPr>
        <w:spacing w:after="0"/>
        <w:rPr>
          <w:rFonts w:ascii="Arial" w:hAnsi="Arial" w:cs="Arial"/>
          <w:sz w:val="20"/>
          <w:szCs w:val="20"/>
        </w:rPr>
      </w:pPr>
    </w:p>
    <w:p w14:paraId="46CE0E02" w14:textId="1C87004E" w:rsidR="0051490C" w:rsidRPr="005F30DF" w:rsidRDefault="002C0D8D" w:rsidP="0033706D">
      <w:p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  <w:u w:val="single"/>
        </w:rPr>
        <w:t>Data processing prior to creating the composite scores</w:t>
      </w:r>
      <w:r w:rsidR="00166948" w:rsidRPr="005F30DF">
        <w:rPr>
          <w:rFonts w:ascii="Arial" w:hAnsi="Arial" w:cs="Arial"/>
          <w:sz w:val="20"/>
          <w:szCs w:val="20"/>
        </w:rPr>
        <w:t xml:space="preserve">: </w:t>
      </w:r>
    </w:p>
    <w:p w14:paraId="69FC5032" w14:textId="38246A72" w:rsidR="00C81F5A" w:rsidRPr="005F30DF" w:rsidRDefault="002C0D8D" w:rsidP="003370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 xml:space="preserve">For each subject, for each visit, </w:t>
      </w:r>
      <w:r w:rsidR="00C12E81" w:rsidRPr="005F30DF">
        <w:rPr>
          <w:rFonts w:ascii="Arial" w:hAnsi="Arial" w:cs="Arial"/>
          <w:sz w:val="20"/>
          <w:szCs w:val="20"/>
        </w:rPr>
        <w:t xml:space="preserve">FAS </w:t>
      </w:r>
      <w:r w:rsidR="00322D54" w:rsidRPr="005F30DF">
        <w:rPr>
          <w:rFonts w:ascii="Arial" w:hAnsi="Arial" w:cs="Arial"/>
          <w:sz w:val="20"/>
          <w:szCs w:val="20"/>
        </w:rPr>
        <w:t xml:space="preserve">fluency </w:t>
      </w:r>
      <w:r w:rsidR="00C12E81" w:rsidRPr="005F30DF">
        <w:rPr>
          <w:rFonts w:ascii="Arial" w:hAnsi="Arial" w:cs="Arial"/>
          <w:sz w:val="20"/>
          <w:szCs w:val="20"/>
        </w:rPr>
        <w:t xml:space="preserve">scores </w:t>
      </w:r>
      <w:r w:rsidR="00AF7B0E">
        <w:rPr>
          <w:rFonts w:ascii="Arial" w:hAnsi="Arial" w:cs="Arial"/>
          <w:sz w:val="20"/>
          <w:szCs w:val="20"/>
        </w:rPr>
        <w:t xml:space="preserve">were calculated </w:t>
      </w:r>
      <w:r w:rsidR="00322D54" w:rsidRPr="005F30DF">
        <w:rPr>
          <w:rFonts w:ascii="Arial" w:hAnsi="Arial" w:cs="Arial"/>
          <w:sz w:val="20"/>
          <w:szCs w:val="20"/>
        </w:rPr>
        <w:t xml:space="preserve">by summing </w:t>
      </w:r>
      <w:r w:rsidR="00C12E81" w:rsidRPr="005F30DF">
        <w:rPr>
          <w:rFonts w:ascii="Arial" w:hAnsi="Arial" w:cs="Arial"/>
          <w:sz w:val="20"/>
          <w:szCs w:val="20"/>
        </w:rPr>
        <w:t xml:space="preserve">correct recall for the individual </w:t>
      </w:r>
      <w:r w:rsidR="00166948" w:rsidRPr="005F30DF">
        <w:rPr>
          <w:rFonts w:ascii="Arial" w:hAnsi="Arial" w:cs="Arial"/>
          <w:sz w:val="20"/>
          <w:szCs w:val="20"/>
        </w:rPr>
        <w:t xml:space="preserve">Fluency </w:t>
      </w:r>
      <w:r w:rsidR="00C12E81" w:rsidRPr="005F30DF">
        <w:rPr>
          <w:rFonts w:ascii="Arial" w:hAnsi="Arial" w:cs="Arial"/>
          <w:sz w:val="20"/>
          <w:szCs w:val="20"/>
        </w:rPr>
        <w:t xml:space="preserve">F (C1A101A), </w:t>
      </w:r>
      <w:r w:rsidR="00166948" w:rsidRPr="005F30DF">
        <w:rPr>
          <w:rFonts w:ascii="Arial" w:hAnsi="Arial" w:cs="Arial"/>
          <w:sz w:val="20"/>
          <w:szCs w:val="20"/>
        </w:rPr>
        <w:t xml:space="preserve">Fluency </w:t>
      </w:r>
      <w:r w:rsidR="00C12E81" w:rsidRPr="005F30DF">
        <w:rPr>
          <w:rFonts w:ascii="Arial" w:hAnsi="Arial" w:cs="Arial"/>
          <w:sz w:val="20"/>
          <w:szCs w:val="20"/>
        </w:rPr>
        <w:t xml:space="preserve">A (C1A102A), and </w:t>
      </w:r>
      <w:r w:rsidR="00166948" w:rsidRPr="005F30DF">
        <w:rPr>
          <w:rFonts w:ascii="Arial" w:hAnsi="Arial" w:cs="Arial"/>
          <w:sz w:val="20"/>
          <w:szCs w:val="20"/>
        </w:rPr>
        <w:t xml:space="preserve">Fluency </w:t>
      </w:r>
      <w:r w:rsidR="00C12E81" w:rsidRPr="005F30DF">
        <w:rPr>
          <w:rFonts w:ascii="Arial" w:hAnsi="Arial" w:cs="Arial"/>
          <w:sz w:val="20"/>
          <w:szCs w:val="20"/>
        </w:rPr>
        <w:t>S (C1A103A) measures.</w:t>
      </w:r>
    </w:p>
    <w:p w14:paraId="6F1294F5" w14:textId="5E33154F" w:rsidR="003F2383" w:rsidRPr="00776DD1" w:rsidRDefault="003F2383" w:rsidP="003F238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76DD1">
        <w:rPr>
          <w:rFonts w:ascii="Arial" w:hAnsi="Arial" w:cs="Arial"/>
          <w:sz w:val="20"/>
          <w:szCs w:val="20"/>
        </w:rPr>
        <w:t xml:space="preserve">Visit 101 means and standard deviations were calculated for each task shown in the table below, and </w:t>
      </w:r>
      <w:r w:rsidRPr="00776DD1">
        <w:rPr>
          <w:rFonts w:ascii="Arial" w:hAnsi="Arial" w:cs="Arial"/>
          <w:sz w:val="20"/>
          <w:szCs w:val="20"/>
          <w:u w:val="single"/>
        </w:rPr>
        <w:t xml:space="preserve">using all available </w:t>
      </w:r>
      <w:proofErr w:type="gramStart"/>
      <w:r w:rsidRPr="00776DD1">
        <w:rPr>
          <w:rFonts w:ascii="Arial" w:hAnsi="Arial" w:cs="Arial"/>
          <w:sz w:val="20"/>
          <w:szCs w:val="20"/>
          <w:u w:val="single"/>
        </w:rPr>
        <w:t>visit</w:t>
      </w:r>
      <w:proofErr w:type="gramEnd"/>
      <w:r w:rsidRPr="00776DD1">
        <w:rPr>
          <w:rFonts w:ascii="Arial" w:hAnsi="Arial" w:cs="Arial"/>
          <w:sz w:val="20"/>
          <w:szCs w:val="20"/>
          <w:u w:val="single"/>
        </w:rPr>
        <w:t xml:space="preserve"> 101 data</w:t>
      </w:r>
      <w:r w:rsidRPr="00776DD1">
        <w:rPr>
          <w:rFonts w:ascii="Arial" w:hAnsi="Arial" w:cs="Arial"/>
          <w:sz w:val="20"/>
          <w:szCs w:val="20"/>
        </w:rPr>
        <w:t xml:space="preserve">, across all subjects. </w:t>
      </w:r>
    </w:p>
    <w:p w14:paraId="0F10B6E6" w14:textId="04039FB2" w:rsidR="003F2383" w:rsidRPr="00776DD1" w:rsidRDefault="003F2383" w:rsidP="003F238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76DD1">
        <w:rPr>
          <w:rFonts w:ascii="Arial" w:hAnsi="Arial" w:cs="Arial"/>
          <w:sz w:val="20"/>
          <w:szCs w:val="20"/>
        </w:rPr>
        <w:t xml:space="preserve">All task scores were converted to z-scores using the visit 101 means and standard deviations (calculated in Step 2).  </w:t>
      </w:r>
    </w:p>
    <w:p w14:paraId="26D68714" w14:textId="28087E49" w:rsidR="00B40C61" w:rsidRPr="005F30DF" w:rsidRDefault="007927C5" w:rsidP="003370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 xml:space="preserve">Trails B </w:t>
      </w:r>
      <w:r w:rsidR="002C0D8D" w:rsidRPr="005F30DF">
        <w:rPr>
          <w:rFonts w:ascii="Arial" w:hAnsi="Arial" w:cs="Arial"/>
          <w:sz w:val="20"/>
          <w:szCs w:val="20"/>
        </w:rPr>
        <w:t xml:space="preserve">(C1207B) </w:t>
      </w:r>
      <w:r w:rsidR="00B40C61" w:rsidRPr="005F30DF">
        <w:rPr>
          <w:rFonts w:ascii="Arial" w:hAnsi="Arial" w:cs="Arial"/>
          <w:sz w:val="20"/>
          <w:szCs w:val="20"/>
        </w:rPr>
        <w:t xml:space="preserve">z-scores </w:t>
      </w:r>
      <w:r w:rsidR="00AF7B0E">
        <w:rPr>
          <w:rFonts w:ascii="Arial" w:hAnsi="Arial" w:cs="Arial"/>
          <w:sz w:val="20"/>
          <w:szCs w:val="20"/>
        </w:rPr>
        <w:t>were reverse scored to ensure</w:t>
      </w:r>
      <w:r w:rsidR="00B40C61" w:rsidRPr="005F30DF">
        <w:rPr>
          <w:rFonts w:ascii="Arial" w:hAnsi="Arial" w:cs="Arial"/>
          <w:sz w:val="20"/>
          <w:szCs w:val="20"/>
        </w:rPr>
        <w:t xml:space="preserve"> higher scores </w:t>
      </w:r>
      <w:r w:rsidR="004149F8" w:rsidRPr="005F30DF">
        <w:rPr>
          <w:rFonts w:ascii="Arial" w:hAnsi="Arial" w:cs="Arial"/>
          <w:sz w:val="20"/>
          <w:szCs w:val="20"/>
        </w:rPr>
        <w:t xml:space="preserve">always </w:t>
      </w:r>
      <w:r w:rsidR="00B40C61" w:rsidRPr="005F30DF">
        <w:rPr>
          <w:rFonts w:ascii="Arial" w:hAnsi="Arial" w:cs="Arial"/>
          <w:sz w:val="20"/>
          <w:szCs w:val="20"/>
        </w:rPr>
        <w:t xml:space="preserve">reflect better performance. </w:t>
      </w:r>
    </w:p>
    <w:p w14:paraId="2BA3F723" w14:textId="77777777" w:rsidR="002C0D8D" w:rsidRPr="005F30DF" w:rsidRDefault="002C0D8D" w:rsidP="002C0D8D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27"/>
        <w:tblW w:w="10255" w:type="dxa"/>
        <w:tblLook w:val="04A0" w:firstRow="1" w:lastRow="0" w:firstColumn="1" w:lastColumn="0" w:noHBand="0" w:noVBand="1"/>
      </w:tblPr>
      <w:tblGrid>
        <w:gridCol w:w="1975"/>
        <w:gridCol w:w="3060"/>
        <w:gridCol w:w="3420"/>
        <w:gridCol w:w="1800"/>
      </w:tblGrid>
      <w:tr w:rsidR="002C0D8D" w:rsidRPr="005F30DF" w14:paraId="183B39DF" w14:textId="77777777" w:rsidTr="002C0D8D">
        <w:tc>
          <w:tcPr>
            <w:tcW w:w="1975" w:type="dxa"/>
          </w:tcPr>
          <w:p w14:paraId="100982D4" w14:textId="77777777" w:rsidR="002C0D8D" w:rsidRPr="005F30DF" w:rsidRDefault="002C0D8D" w:rsidP="002C0D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30DF">
              <w:rPr>
                <w:rFonts w:ascii="Arial" w:hAnsi="Arial" w:cs="Arial"/>
                <w:b/>
                <w:sz w:val="20"/>
                <w:szCs w:val="20"/>
              </w:rPr>
              <w:t>Cognitive Domain</w:t>
            </w:r>
          </w:p>
        </w:tc>
        <w:tc>
          <w:tcPr>
            <w:tcW w:w="3060" w:type="dxa"/>
          </w:tcPr>
          <w:p w14:paraId="57ECAD3F" w14:textId="77777777" w:rsidR="002C0D8D" w:rsidRPr="005F30DF" w:rsidRDefault="002C0D8D" w:rsidP="002C0D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30DF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420" w:type="dxa"/>
          </w:tcPr>
          <w:p w14:paraId="2DBF2680" w14:textId="77777777" w:rsidR="002C0D8D" w:rsidRPr="005F30DF" w:rsidRDefault="002C0D8D" w:rsidP="002C0D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30DF">
              <w:rPr>
                <w:rFonts w:ascii="Arial" w:hAnsi="Arial" w:cs="Arial"/>
                <w:b/>
                <w:sz w:val="20"/>
                <w:szCs w:val="20"/>
              </w:rPr>
              <w:t xml:space="preserve">Cognitive Data File Variable </w:t>
            </w:r>
          </w:p>
        </w:tc>
        <w:tc>
          <w:tcPr>
            <w:tcW w:w="1800" w:type="dxa"/>
          </w:tcPr>
          <w:p w14:paraId="1934C376" w14:textId="77777777" w:rsidR="002C0D8D" w:rsidRPr="005F30DF" w:rsidRDefault="002C0D8D" w:rsidP="002C0D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30DF">
              <w:rPr>
                <w:rFonts w:ascii="Arial" w:hAnsi="Arial" w:cs="Arial"/>
                <w:b/>
                <w:sz w:val="20"/>
                <w:szCs w:val="20"/>
              </w:rPr>
              <w:t>Standardized Factor Loading</w:t>
            </w:r>
          </w:p>
        </w:tc>
      </w:tr>
      <w:tr w:rsidR="002C0D8D" w:rsidRPr="005F30DF" w14:paraId="16E87FD2" w14:textId="77777777" w:rsidTr="002C0D8D">
        <w:trPr>
          <w:trHeight w:val="259"/>
        </w:trPr>
        <w:tc>
          <w:tcPr>
            <w:tcW w:w="1975" w:type="dxa"/>
          </w:tcPr>
          <w:p w14:paraId="3327D5BD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Episodic Memory</w:t>
            </w:r>
          </w:p>
        </w:tc>
        <w:tc>
          <w:tcPr>
            <w:tcW w:w="3060" w:type="dxa"/>
          </w:tcPr>
          <w:p w14:paraId="1A3F7034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Logical Memory Delayed</w:t>
            </w:r>
          </w:p>
        </w:tc>
        <w:tc>
          <w:tcPr>
            <w:tcW w:w="3420" w:type="dxa"/>
          </w:tcPr>
          <w:p w14:paraId="0EC04BBE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C1209A</w:t>
            </w:r>
          </w:p>
        </w:tc>
        <w:tc>
          <w:tcPr>
            <w:tcW w:w="1800" w:type="dxa"/>
          </w:tcPr>
          <w:p w14:paraId="02266B21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0.72</w:t>
            </w:r>
          </w:p>
        </w:tc>
      </w:tr>
      <w:tr w:rsidR="002C0D8D" w:rsidRPr="005F30DF" w14:paraId="5C17A8E0" w14:textId="77777777" w:rsidTr="002C0D8D">
        <w:trPr>
          <w:trHeight w:val="259"/>
        </w:trPr>
        <w:tc>
          <w:tcPr>
            <w:tcW w:w="1975" w:type="dxa"/>
          </w:tcPr>
          <w:p w14:paraId="707C62EC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EEBDB1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Paired Associates Immediate</w:t>
            </w:r>
          </w:p>
        </w:tc>
        <w:tc>
          <w:tcPr>
            <w:tcW w:w="3420" w:type="dxa"/>
          </w:tcPr>
          <w:p w14:paraId="6940D5CC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C1A109</w:t>
            </w:r>
          </w:p>
        </w:tc>
        <w:tc>
          <w:tcPr>
            <w:tcW w:w="1800" w:type="dxa"/>
          </w:tcPr>
          <w:p w14:paraId="7756E838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0.74</w:t>
            </w:r>
          </w:p>
        </w:tc>
      </w:tr>
      <w:tr w:rsidR="002C0D8D" w:rsidRPr="005F30DF" w14:paraId="06D742D0" w14:textId="77777777" w:rsidTr="002C0D8D">
        <w:trPr>
          <w:trHeight w:val="259"/>
        </w:trPr>
        <w:tc>
          <w:tcPr>
            <w:tcW w:w="1975" w:type="dxa"/>
          </w:tcPr>
          <w:p w14:paraId="12B66F05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BCDDDE4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CVLT Total Recall on Trials 1-5</w:t>
            </w:r>
          </w:p>
        </w:tc>
        <w:tc>
          <w:tcPr>
            <w:tcW w:w="3420" w:type="dxa"/>
          </w:tcPr>
          <w:p w14:paraId="23C6742F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C1A117</w:t>
            </w:r>
          </w:p>
        </w:tc>
        <w:tc>
          <w:tcPr>
            <w:tcW w:w="1800" w:type="dxa"/>
          </w:tcPr>
          <w:p w14:paraId="0F63E86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0.76</w:t>
            </w:r>
          </w:p>
        </w:tc>
      </w:tr>
      <w:tr w:rsidR="002C0D8D" w:rsidRPr="005F30DF" w14:paraId="643A4410" w14:textId="77777777" w:rsidTr="002C0D8D">
        <w:trPr>
          <w:trHeight w:val="259"/>
        </w:trPr>
        <w:tc>
          <w:tcPr>
            <w:tcW w:w="1975" w:type="dxa"/>
          </w:tcPr>
          <w:p w14:paraId="0B2ACA0E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Executive</w:t>
            </w:r>
          </w:p>
        </w:tc>
        <w:tc>
          <w:tcPr>
            <w:tcW w:w="3060" w:type="dxa"/>
          </w:tcPr>
          <w:p w14:paraId="0396402D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Digit Span Backward</w:t>
            </w:r>
          </w:p>
        </w:tc>
        <w:tc>
          <w:tcPr>
            <w:tcW w:w="3420" w:type="dxa"/>
          </w:tcPr>
          <w:p w14:paraId="36289D98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C1205A</w:t>
            </w:r>
          </w:p>
        </w:tc>
        <w:tc>
          <w:tcPr>
            <w:tcW w:w="1800" w:type="dxa"/>
          </w:tcPr>
          <w:p w14:paraId="4F32A03E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</w:tr>
      <w:tr w:rsidR="002C0D8D" w:rsidRPr="005F30DF" w14:paraId="641E7F8D" w14:textId="77777777" w:rsidTr="002C0D8D">
        <w:trPr>
          <w:trHeight w:val="259"/>
        </w:trPr>
        <w:tc>
          <w:tcPr>
            <w:tcW w:w="1975" w:type="dxa"/>
          </w:tcPr>
          <w:p w14:paraId="2A51F5FA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5563B55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Trails B (reverse scored)</w:t>
            </w:r>
          </w:p>
        </w:tc>
        <w:tc>
          <w:tcPr>
            <w:tcW w:w="3420" w:type="dxa"/>
          </w:tcPr>
          <w:p w14:paraId="782EF89A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C1207B</w:t>
            </w:r>
          </w:p>
        </w:tc>
        <w:tc>
          <w:tcPr>
            <w:tcW w:w="1800" w:type="dxa"/>
          </w:tcPr>
          <w:p w14:paraId="3D042C2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</w:tr>
      <w:tr w:rsidR="002C0D8D" w:rsidRPr="005F30DF" w14:paraId="06F64714" w14:textId="77777777" w:rsidTr="002C0D8D">
        <w:trPr>
          <w:trHeight w:val="259"/>
        </w:trPr>
        <w:tc>
          <w:tcPr>
            <w:tcW w:w="1975" w:type="dxa"/>
          </w:tcPr>
          <w:p w14:paraId="0110249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358323B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Digit Symbol Substitution</w:t>
            </w:r>
          </w:p>
        </w:tc>
        <w:tc>
          <w:tcPr>
            <w:tcW w:w="3420" w:type="dxa"/>
          </w:tcPr>
          <w:p w14:paraId="498BF3ED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C1208A</w:t>
            </w:r>
          </w:p>
        </w:tc>
        <w:tc>
          <w:tcPr>
            <w:tcW w:w="1800" w:type="dxa"/>
          </w:tcPr>
          <w:p w14:paraId="19199F05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</w:tr>
      <w:tr w:rsidR="002C0D8D" w:rsidRPr="005F30DF" w14:paraId="6A9FD78E" w14:textId="77777777" w:rsidTr="002C0D8D">
        <w:trPr>
          <w:trHeight w:val="259"/>
        </w:trPr>
        <w:tc>
          <w:tcPr>
            <w:tcW w:w="1975" w:type="dxa"/>
          </w:tcPr>
          <w:p w14:paraId="31118FF3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Visuospatial</w:t>
            </w:r>
          </w:p>
        </w:tc>
        <w:tc>
          <w:tcPr>
            <w:tcW w:w="3060" w:type="dxa"/>
          </w:tcPr>
          <w:p w14:paraId="09CC344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Rey Figure Copy</w:t>
            </w:r>
          </w:p>
        </w:tc>
        <w:tc>
          <w:tcPr>
            <w:tcW w:w="3420" w:type="dxa"/>
          </w:tcPr>
          <w:p w14:paraId="79FE107B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C1A107</w:t>
            </w:r>
          </w:p>
        </w:tc>
        <w:tc>
          <w:tcPr>
            <w:tcW w:w="1800" w:type="dxa"/>
          </w:tcPr>
          <w:p w14:paraId="22CB419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</w:tr>
      <w:tr w:rsidR="002C0D8D" w:rsidRPr="005F30DF" w14:paraId="5C04E4E1" w14:textId="77777777" w:rsidTr="002C0D8D">
        <w:trPr>
          <w:trHeight w:val="259"/>
        </w:trPr>
        <w:tc>
          <w:tcPr>
            <w:tcW w:w="1975" w:type="dxa"/>
          </w:tcPr>
          <w:p w14:paraId="111D480B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B617F3A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Rey Figure Recall</w:t>
            </w:r>
          </w:p>
        </w:tc>
        <w:tc>
          <w:tcPr>
            <w:tcW w:w="3420" w:type="dxa"/>
          </w:tcPr>
          <w:p w14:paraId="565A9482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C1A108</w:t>
            </w:r>
          </w:p>
        </w:tc>
        <w:tc>
          <w:tcPr>
            <w:tcW w:w="1800" w:type="dxa"/>
          </w:tcPr>
          <w:p w14:paraId="6C002128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0.71</w:t>
            </w:r>
          </w:p>
        </w:tc>
      </w:tr>
      <w:tr w:rsidR="002C0D8D" w:rsidRPr="005F30DF" w14:paraId="580B0A53" w14:textId="77777777" w:rsidTr="002C0D8D">
        <w:trPr>
          <w:trHeight w:val="259"/>
        </w:trPr>
        <w:tc>
          <w:tcPr>
            <w:tcW w:w="1975" w:type="dxa"/>
          </w:tcPr>
          <w:p w14:paraId="42CD7490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EFD9692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Block Design</w:t>
            </w:r>
          </w:p>
        </w:tc>
        <w:tc>
          <w:tcPr>
            <w:tcW w:w="3420" w:type="dxa"/>
          </w:tcPr>
          <w:p w14:paraId="41864C3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C1A106</w:t>
            </w:r>
          </w:p>
        </w:tc>
        <w:tc>
          <w:tcPr>
            <w:tcW w:w="1800" w:type="dxa"/>
          </w:tcPr>
          <w:p w14:paraId="5826800B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</w:tr>
      <w:tr w:rsidR="002C0D8D" w:rsidRPr="005F30DF" w14:paraId="44CC8D06" w14:textId="77777777" w:rsidTr="002C0D8D">
        <w:trPr>
          <w:trHeight w:val="259"/>
        </w:trPr>
        <w:tc>
          <w:tcPr>
            <w:tcW w:w="1975" w:type="dxa"/>
          </w:tcPr>
          <w:p w14:paraId="3A97F44F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3060" w:type="dxa"/>
          </w:tcPr>
          <w:p w14:paraId="72845296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Boston Naming Test</w:t>
            </w:r>
          </w:p>
        </w:tc>
        <w:tc>
          <w:tcPr>
            <w:tcW w:w="3420" w:type="dxa"/>
          </w:tcPr>
          <w:p w14:paraId="5961472A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C1210A</w:t>
            </w:r>
          </w:p>
        </w:tc>
        <w:tc>
          <w:tcPr>
            <w:tcW w:w="1800" w:type="dxa"/>
          </w:tcPr>
          <w:p w14:paraId="03F40E12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0.53</w:t>
            </w:r>
          </w:p>
        </w:tc>
      </w:tr>
      <w:tr w:rsidR="002C0D8D" w:rsidRPr="005F30DF" w14:paraId="3B230878" w14:textId="77777777" w:rsidTr="002C0D8D">
        <w:trPr>
          <w:trHeight w:val="259"/>
        </w:trPr>
        <w:tc>
          <w:tcPr>
            <w:tcW w:w="1975" w:type="dxa"/>
          </w:tcPr>
          <w:p w14:paraId="764AF9C4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55CC532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Fluency, Animals</w:t>
            </w:r>
          </w:p>
        </w:tc>
        <w:tc>
          <w:tcPr>
            <w:tcW w:w="3420" w:type="dxa"/>
          </w:tcPr>
          <w:p w14:paraId="4305E5B5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C1206A</w:t>
            </w:r>
          </w:p>
        </w:tc>
        <w:tc>
          <w:tcPr>
            <w:tcW w:w="1800" w:type="dxa"/>
          </w:tcPr>
          <w:p w14:paraId="544A22B9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0.73</w:t>
            </w:r>
          </w:p>
        </w:tc>
      </w:tr>
      <w:tr w:rsidR="002C0D8D" w:rsidRPr="005F30DF" w14:paraId="6F21E0F2" w14:textId="77777777" w:rsidTr="002C0D8D">
        <w:trPr>
          <w:trHeight w:val="288"/>
        </w:trPr>
        <w:tc>
          <w:tcPr>
            <w:tcW w:w="1975" w:type="dxa"/>
          </w:tcPr>
          <w:p w14:paraId="4A08C7B3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DE1EB47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Fluency, FAS (calculated)</w:t>
            </w:r>
          </w:p>
        </w:tc>
        <w:tc>
          <w:tcPr>
            <w:tcW w:w="3420" w:type="dxa"/>
          </w:tcPr>
          <w:p w14:paraId="6F0BE70B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∑(C1A101A, C1A102A, C1A103A)</w:t>
            </w:r>
          </w:p>
        </w:tc>
        <w:tc>
          <w:tcPr>
            <w:tcW w:w="1800" w:type="dxa"/>
          </w:tcPr>
          <w:p w14:paraId="36AB928C" w14:textId="77777777" w:rsidR="002C0D8D" w:rsidRPr="005F30DF" w:rsidRDefault="002C0D8D" w:rsidP="002C0D8D">
            <w:pPr>
              <w:rPr>
                <w:rFonts w:ascii="Arial" w:hAnsi="Arial" w:cs="Arial"/>
                <w:sz w:val="20"/>
                <w:szCs w:val="20"/>
              </w:rPr>
            </w:pPr>
            <w:r w:rsidRPr="005F30DF"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</w:tr>
    </w:tbl>
    <w:p w14:paraId="2D970AB5" w14:textId="77777777" w:rsidR="002C0D8D" w:rsidRPr="005F30DF" w:rsidRDefault="002C0D8D" w:rsidP="002C0D8D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6DB42B5F" w14:textId="32554C4F" w:rsidR="002C0D8D" w:rsidRPr="005F30DF" w:rsidRDefault="00C831FE" w:rsidP="002C0D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Calculation of</w:t>
      </w:r>
      <w:r w:rsidR="002C0D8D" w:rsidRPr="005F30DF">
        <w:rPr>
          <w:rFonts w:ascii="Arial" w:hAnsi="Arial" w:cs="Arial"/>
          <w:sz w:val="20"/>
          <w:szCs w:val="20"/>
          <w:u w:val="single"/>
        </w:rPr>
        <w:t xml:space="preserve"> the cognitive composite scores</w:t>
      </w:r>
      <w:r w:rsidR="002C0D8D" w:rsidRPr="005F30DF">
        <w:rPr>
          <w:rFonts w:ascii="Arial" w:hAnsi="Arial" w:cs="Arial"/>
          <w:sz w:val="20"/>
          <w:szCs w:val="20"/>
        </w:rPr>
        <w:t xml:space="preserve">: </w:t>
      </w:r>
    </w:p>
    <w:p w14:paraId="0F08C78F" w14:textId="23420A1A" w:rsidR="00DA42FE" w:rsidRPr="005F30DF" w:rsidRDefault="000E6C64" w:rsidP="002C0D8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 xml:space="preserve">For each subject, for each visit, </w:t>
      </w:r>
      <w:r w:rsidR="00B40C61" w:rsidRPr="005F30DF">
        <w:rPr>
          <w:rFonts w:ascii="Arial" w:hAnsi="Arial" w:cs="Arial"/>
          <w:sz w:val="20"/>
          <w:szCs w:val="20"/>
        </w:rPr>
        <w:t xml:space="preserve">individual </w:t>
      </w:r>
      <w:r w:rsidR="007927C5" w:rsidRPr="005F30DF">
        <w:rPr>
          <w:rFonts w:ascii="Arial" w:hAnsi="Arial" w:cs="Arial"/>
          <w:sz w:val="20"/>
          <w:szCs w:val="20"/>
        </w:rPr>
        <w:t xml:space="preserve">task </w:t>
      </w:r>
      <w:r w:rsidR="00B40C61" w:rsidRPr="005F30DF">
        <w:rPr>
          <w:rFonts w:ascii="Arial" w:hAnsi="Arial" w:cs="Arial"/>
          <w:sz w:val="20"/>
          <w:szCs w:val="20"/>
        </w:rPr>
        <w:t xml:space="preserve">z-scores </w:t>
      </w:r>
      <w:r w:rsidR="00AF7B0E">
        <w:rPr>
          <w:rFonts w:ascii="Arial" w:hAnsi="Arial" w:cs="Arial"/>
          <w:sz w:val="20"/>
          <w:szCs w:val="20"/>
        </w:rPr>
        <w:t xml:space="preserve">were weighted </w:t>
      </w:r>
      <w:r w:rsidR="00B40C61" w:rsidRPr="005F30DF">
        <w:rPr>
          <w:rFonts w:ascii="Arial" w:hAnsi="Arial" w:cs="Arial"/>
          <w:sz w:val="20"/>
          <w:szCs w:val="20"/>
        </w:rPr>
        <w:t>by their respective standardized factor loadings</w:t>
      </w:r>
      <w:r w:rsidR="007927C5" w:rsidRPr="005F30DF">
        <w:rPr>
          <w:rFonts w:ascii="Arial" w:hAnsi="Arial" w:cs="Arial"/>
          <w:sz w:val="20"/>
          <w:szCs w:val="20"/>
        </w:rPr>
        <w:t>,</w:t>
      </w:r>
      <w:r w:rsidR="00B40C61" w:rsidRPr="005F30DF">
        <w:rPr>
          <w:rFonts w:ascii="Arial" w:hAnsi="Arial" w:cs="Arial"/>
          <w:sz w:val="20"/>
          <w:szCs w:val="20"/>
        </w:rPr>
        <w:t xml:space="preserve"> shown in the </w:t>
      </w:r>
      <w:r w:rsidR="004149F8" w:rsidRPr="005F30DF">
        <w:rPr>
          <w:rFonts w:ascii="Arial" w:hAnsi="Arial" w:cs="Arial"/>
          <w:sz w:val="20"/>
          <w:szCs w:val="20"/>
        </w:rPr>
        <w:t>table</w:t>
      </w:r>
      <w:r w:rsidR="00B40C61" w:rsidRPr="005F30DF">
        <w:rPr>
          <w:rFonts w:ascii="Arial" w:hAnsi="Arial" w:cs="Arial"/>
          <w:sz w:val="20"/>
          <w:szCs w:val="20"/>
        </w:rPr>
        <w:t xml:space="preserve"> </w:t>
      </w:r>
      <w:r w:rsidR="002C0D8D" w:rsidRPr="005F30DF">
        <w:rPr>
          <w:rFonts w:ascii="Arial" w:hAnsi="Arial" w:cs="Arial"/>
          <w:sz w:val="20"/>
          <w:szCs w:val="20"/>
        </w:rPr>
        <w:t>above</w:t>
      </w:r>
      <w:r w:rsidR="00B40C61" w:rsidRPr="005F30DF">
        <w:rPr>
          <w:rFonts w:ascii="Arial" w:hAnsi="Arial" w:cs="Arial"/>
          <w:sz w:val="20"/>
          <w:szCs w:val="20"/>
        </w:rPr>
        <w:t xml:space="preserve">. </w:t>
      </w:r>
    </w:p>
    <w:p w14:paraId="5EDC82C1" w14:textId="07E3CFB4" w:rsidR="00DA42FE" w:rsidRPr="005F30DF" w:rsidRDefault="004149F8" w:rsidP="002C0D8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 xml:space="preserve">For each subject, </w:t>
      </w:r>
      <w:r w:rsidR="002C0D8D" w:rsidRPr="005F30DF">
        <w:rPr>
          <w:rFonts w:ascii="Arial" w:hAnsi="Arial" w:cs="Arial"/>
          <w:sz w:val="20"/>
          <w:szCs w:val="20"/>
        </w:rPr>
        <w:t xml:space="preserve">for each visit, </w:t>
      </w:r>
      <w:proofErr w:type="gramStart"/>
      <w:r w:rsidR="002C0D8D" w:rsidRPr="005F30DF">
        <w:rPr>
          <w:rFonts w:ascii="Arial" w:hAnsi="Arial" w:cs="Arial"/>
          <w:sz w:val="20"/>
          <w:szCs w:val="20"/>
        </w:rPr>
        <w:t xml:space="preserve">four separate </w:t>
      </w:r>
      <w:r w:rsidRPr="005F30DF">
        <w:rPr>
          <w:rFonts w:ascii="Arial" w:hAnsi="Arial" w:cs="Arial"/>
          <w:sz w:val="20"/>
          <w:szCs w:val="20"/>
        </w:rPr>
        <w:t xml:space="preserve">cognitive composite scores </w:t>
      </w:r>
      <w:r w:rsidR="00AF7B0E">
        <w:rPr>
          <w:rFonts w:ascii="Arial" w:hAnsi="Arial" w:cs="Arial"/>
          <w:sz w:val="20"/>
          <w:szCs w:val="20"/>
        </w:rPr>
        <w:t xml:space="preserve">were created </w:t>
      </w:r>
      <w:r w:rsidRPr="005F30DF">
        <w:rPr>
          <w:rFonts w:ascii="Arial" w:hAnsi="Arial" w:cs="Arial"/>
          <w:sz w:val="20"/>
          <w:szCs w:val="20"/>
        </w:rPr>
        <w:t xml:space="preserve">by </w:t>
      </w:r>
      <w:r w:rsidR="007A41EB" w:rsidRPr="005F30DF">
        <w:rPr>
          <w:rFonts w:ascii="Arial" w:hAnsi="Arial" w:cs="Arial"/>
          <w:sz w:val="20"/>
          <w:szCs w:val="20"/>
        </w:rPr>
        <w:t xml:space="preserve">summing </w:t>
      </w:r>
      <w:r w:rsidRPr="005F30DF">
        <w:rPr>
          <w:rFonts w:ascii="Arial" w:hAnsi="Arial" w:cs="Arial"/>
          <w:sz w:val="20"/>
          <w:szCs w:val="20"/>
        </w:rPr>
        <w:t>the weighted task scores within each cognitive domain</w:t>
      </w:r>
      <w:proofErr w:type="gramEnd"/>
      <w:r w:rsidRPr="005F30DF">
        <w:rPr>
          <w:rFonts w:ascii="Arial" w:hAnsi="Arial" w:cs="Arial"/>
          <w:sz w:val="20"/>
          <w:szCs w:val="20"/>
        </w:rPr>
        <w:t xml:space="preserve">. </w:t>
      </w:r>
    </w:p>
    <w:p w14:paraId="088501E7" w14:textId="766F3F47" w:rsidR="002C0D8D" w:rsidRPr="005F30DF" w:rsidRDefault="002C0D8D" w:rsidP="002C0D8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30DF">
        <w:rPr>
          <w:rFonts w:ascii="Arial" w:hAnsi="Arial" w:cs="Arial"/>
          <w:sz w:val="20"/>
          <w:szCs w:val="20"/>
        </w:rPr>
        <w:t xml:space="preserve">For example, </w:t>
      </w:r>
      <w:r w:rsidR="000E6C64" w:rsidRPr="005F30DF">
        <w:rPr>
          <w:rFonts w:ascii="Arial" w:hAnsi="Arial" w:cs="Arial"/>
          <w:sz w:val="20"/>
          <w:szCs w:val="20"/>
        </w:rPr>
        <w:t xml:space="preserve">the composite score for Episodic Memory </w:t>
      </w:r>
      <w:r w:rsidR="00AF7B0E">
        <w:rPr>
          <w:rFonts w:ascii="Arial" w:hAnsi="Arial" w:cs="Arial"/>
          <w:sz w:val="20"/>
          <w:szCs w:val="20"/>
        </w:rPr>
        <w:t xml:space="preserve">reflects </w:t>
      </w:r>
      <w:r w:rsidR="000E6C64" w:rsidRPr="005F30DF">
        <w:rPr>
          <w:rFonts w:ascii="Arial" w:hAnsi="Arial" w:cs="Arial"/>
          <w:sz w:val="20"/>
          <w:szCs w:val="20"/>
        </w:rPr>
        <w:t>the sum of the following: (z-scored Logical Memory</w:t>
      </w:r>
      <w:r w:rsidR="00CD6C8E">
        <w:rPr>
          <w:rFonts w:ascii="Arial" w:hAnsi="Arial" w:cs="Arial"/>
          <w:sz w:val="20"/>
          <w:szCs w:val="20"/>
        </w:rPr>
        <w:t xml:space="preserve"> Delayed</w:t>
      </w:r>
      <w:r w:rsidR="000E6C64" w:rsidRPr="005F30DF">
        <w:rPr>
          <w:rFonts w:ascii="Arial" w:hAnsi="Arial" w:cs="Arial"/>
          <w:sz w:val="20"/>
          <w:szCs w:val="20"/>
        </w:rPr>
        <w:t>*0.72) + (z-scored Paired Associates</w:t>
      </w:r>
      <w:r w:rsidR="00CD6C8E">
        <w:rPr>
          <w:rFonts w:ascii="Arial" w:hAnsi="Arial" w:cs="Arial"/>
          <w:sz w:val="20"/>
          <w:szCs w:val="20"/>
        </w:rPr>
        <w:t xml:space="preserve"> Immediate</w:t>
      </w:r>
      <w:r w:rsidR="000E6C64" w:rsidRPr="005F30DF">
        <w:rPr>
          <w:rFonts w:ascii="Arial" w:hAnsi="Arial" w:cs="Arial"/>
          <w:sz w:val="20"/>
          <w:szCs w:val="20"/>
        </w:rPr>
        <w:t>*0.74)</w:t>
      </w:r>
      <w:r w:rsidR="00C831FE">
        <w:rPr>
          <w:rFonts w:ascii="Arial" w:hAnsi="Arial" w:cs="Arial"/>
          <w:sz w:val="20"/>
          <w:szCs w:val="20"/>
        </w:rPr>
        <w:t xml:space="preserve"> </w:t>
      </w:r>
      <w:r w:rsidR="000E6C64" w:rsidRPr="005F30DF">
        <w:rPr>
          <w:rFonts w:ascii="Arial" w:hAnsi="Arial" w:cs="Arial"/>
          <w:sz w:val="20"/>
          <w:szCs w:val="20"/>
        </w:rPr>
        <w:t>+</w:t>
      </w:r>
      <w:r w:rsidR="00C831FE">
        <w:rPr>
          <w:rFonts w:ascii="Arial" w:hAnsi="Arial" w:cs="Arial"/>
          <w:sz w:val="20"/>
          <w:szCs w:val="20"/>
        </w:rPr>
        <w:t xml:space="preserve"> </w:t>
      </w:r>
      <w:r w:rsidR="000E6C64" w:rsidRPr="005F30DF">
        <w:rPr>
          <w:rFonts w:ascii="Arial" w:hAnsi="Arial" w:cs="Arial"/>
          <w:sz w:val="20"/>
          <w:szCs w:val="20"/>
        </w:rPr>
        <w:t>(z-scored CVLT</w:t>
      </w:r>
      <w:r w:rsidR="00CD6C8E">
        <w:rPr>
          <w:rFonts w:ascii="Arial" w:hAnsi="Arial" w:cs="Arial"/>
          <w:sz w:val="20"/>
          <w:szCs w:val="20"/>
        </w:rPr>
        <w:t xml:space="preserve"> Total Recall</w:t>
      </w:r>
      <w:r w:rsidR="000E6C64" w:rsidRPr="005F30DF">
        <w:rPr>
          <w:rFonts w:ascii="Arial" w:hAnsi="Arial" w:cs="Arial"/>
          <w:sz w:val="20"/>
          <w:szCs w:val="20"/>
        </w:rPr>
        <w:t>*0.76).</w:t>
      </w:r>
    </w:p>
    <w:p w14:paraId="4C90FCBB" w14:textId="1E295966" w:rsidR="00B40C61" w:rsidRPr="005F30DF" w:rsidRDefault="00CD6C8E" w:rsidP="002C0D8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6C8E">
        <w:rPr>
          <w:rFonts w:ascii="Arial" w:hAnsi="Arial" w:cs="Arial"/>
          <w:sz w:val="20"/>
          <w:szCs w:val="20"/>
          <w:u w:val="single"/>
        </w:rPr>
        <w:t>Treatment of missing data</w:t>
      </w:r>
      <w:r>
        <w:rPr>
          <w:rFonts w:ascii="Arial" w:hAnsi="Arial" w:cs="Arial"/>
          <w:sz w:val="20"/>
          <w:szCs w:val="20"/>
        </w:rPr>
        <w:t xml:space="preserve">: </w:t>
      </w:r>
      <w:r w:rsidR="004149F8" w:rsidRPr="005F30DF">
        <w:rPr>
          <w:rFonts w:ascii="Arial" w:hAnsi="Arial" w:cs="Arial"/>
          <w:sz w:val="20"/>
          <w:szCs w:val="20"/>
        </w:rPr>
        <w:t xml:space="preserve">If a subject </w:t>
      </w:r>
      <w:r w:rsidR="00AF7B0E">
        <w:rPr>
          <w:rFonts w:ascii="Arial" w:hAnsi="Arial" w:cs="Arial"/>
          <w:sz w:val="20"/>
          <w:szCs w:val="20"/>
        </w:rPr>
        <w:t xml:space="preserve">did </w:t>
      </w:r>
      <w:r w:rsidR="007A41EB" w:rsidRPr="005F30DF">
        <w:rPr>
          <w:rFonts w:ascii="Arial" w:hAnsi="Arial" w:cs="Arial"/>
          <w:sz w:val="20"/>
          <w:szCs w:val="20"/>
        </w:rPr>
        <w:t xml:space="preserve">not have scores for all three tasks within a cognitive domain, </w:t>
      </w:r>
      <w:r w:rsidR="00AF7B0E">
        <w:rPr>
          <w:rFonts w:ascii="Arial" w:hAnsi="Arial" w:cs="Arial"/>
          <w:sz w:val="20"/>
          <w:szCs w:val="20"/>
        </w:rPr>
        <w:t xml:space="preserve">the </w:t>
      </w:r>
      <w:r w:rsidR="004149F8" w:rsidRPr="005F30DF">
        <w:rPr>
          <w:rFonts w:ascii="Arial" w:hAnsi="Arial" w:cs="Arial"/>
          <w:sz w:val="20"/>
          <w:szCs w:val="20"/>
        </w:rPr>
        <w:t xml:space="preserve">composite score </w:t>
      </w:r>
      <w:r w:rsidR="00AF7B0E">
        <w:rPr>
          <w:rFonts w:ascii="Arial" w:hAnsi="Arial" w:cs="Arial"/>
          <w:sz w:val="20"/>
          <w:szCs w:val="20"/>
        </w:rPr>
        <w:t xml:space="preserve">was set </w:t>
      </w:r>
      <w:r w:rsidR="004149F8" w:rsidRPr="005F30DF">
        <w:rPr>
          <w:rFonts w:ascii="Arial" w:hAnsi="Arial" w:cs="Arial"/>
          <w:sz w:val="20"/>
          <w:szCs w:val="20"/>
        </w:rPr>
        <w:t>to missing for that visit</w:t>
      </w:r>
      <w:r w:rsidR="007927C5" w:rsidRPr="005F30DF">
        <w:rPr>
          <w:rFonts w:ascii="Arial" w:hAnsi="Arial" w:cs="Arial"/>
          <w:sz w:val="20"/>
          <w:szCs w:val="20"/>
        </w:rPr>
        <w:t>.</w:t>
      </w:r>
    </w:p>
    <w:p w14:paraId="6EC2231B" w14:textId="4D0C698B" w:rsidR="0033706D" w:rsidRPr="005F30DF" w:rsidRDefault="0033706D" w:rsidP="0033706D">
      <w:pPr>
        <w:spacing w:after="0"/>
        <w:rPr>
          <w:rFonts w:ascii="Arial" w:hAnsi="Arial" w:cs="Arial"/>
          <w:sz w:val="20"/>
          <w:szCs w:val="20"/>
        </w:rPr>
      </w:pPr>
    </w:p>
    <w:sectPr w:rsidR="0033706D" w:rsidRPr="005F30DF" w:rsidSect="001B5EE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75EE3"/>
    <w:multiLevelType w:val="hybridMultilevel"/>
    <w:tmpl w:val="8D4C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7578D"/>
    <w:multiLevelType w:val="hybridMultilevel"/>
    <w:tmpl w:val="9744A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0A46"/>
    <w:multiLevelType w:val="hybridMultilevel"/>
    <w:tmpl w:val="9744A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26E"/>
    <w:multiLevelType w:val="hybridMultilevel"/>
    <w:tmpl w:val="91C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0C"/>
    <w:rsid w:val="000826CB"/>
    <w:rsid w:val="000B72F3"/>
    <w:rsid w:val="000E6C64"/>
    <w:rsid w:val="00166948"/>
    <w:rsid w:val="001B5EED"/>
    <w:rsid w:val="002C0D8D"/>
    <w:rsid w:val="00322D54"/>
    <w:rsid w:val="0033706D"/>
    <w:rsid w:val="003F2383"/>
    <w:rsid w:val="004149F8"/>
    <w:rsid w:val="0050213A"/>
    <w:rsid w:val="0051490C"/>
    <w:rsid w:val="005F30DF"/>
    <w:rsid w:val="006100D4"/>
    <w:rsid w:val="00776DD1"/>
    <w:rsid w:val="007927C5"/>
    <w:rsid w:val="007A41EB"/>
    <w:rsid w:val="007D7B8D"/>
    <w:rsid w:val="009C0678"/>
    <w:rsid w:val="00AF7B0E"/>
    <w:rsid w:val="00B40C61"/>
    <w:rsid w:val="00C12E81"/>
    <w:rsid w:val="00C81F5A"/>
    <w:rsid w:val="00C831FE"/>
    <w:rsid w:val="00CD394E"/>
    <w:rsid w:val="00CD6C8E"/>
    <w:rsid w:val="00DA42FE"/>
    <w:rsid w:val="00E716DE"/>
    <w:rsid w:val="00F01670"/>
    <w:rsid w:val="00F6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DE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0C"/>
    <w:pPr>
      <w:ind w:left="720"/>
      <w:contextualSpacing/>
    </w:pPr>
  </w:style>
  <w:style w:type="table" w:styleId="TableGrid">
    <w:name w:val="Table Grid"/>
    <w:basedOn w:val="TableNormal"/>
    <w:uiPriority w:val="39"/>
    <w:rsid w:val="0032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1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F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0C"/>
    <w:pPr>
      <w:ind w:left="720"/>
      <w:contextualSpacing/>
    </w:pPr>
  </w:style>
  <w:style w:type="table" w:styleId="TableGrid">
    <w:name w:val="Table Grid"/>
    <w:basedOn w:val="TableNormal"/>
    <w:uiPriority w:val="39"/>
    <w:rsid w:val="0032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1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Pettigrew</dc:creator>
  <cp:keywords/>
  <dc:description/>
  <cp:lastModifiedBy>Anja</cp:lastModifiedBy>
  <cp:revision>2</cp:revision>
  <dcterms:created xsi:type="dcterms:W3CDTF">2019-03-25T15:55:00Z</dcterms:created>
  <dcterms:modified xsi:type="dcterms:W3CDTF">2019-03-25T15:55:00Z</dcterms:modified>
</cp:coreProperties>
</file>