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harter" w:hAnsi="Charter" w:cs="Charter"/>
          <w:b/>
          <w:i w:val="0"/>
          <w:color w:val="14171A"/>
          <w:sz w:val="45"/>
          <w:u w:val="none"/>
        </w:rPr>
        <w:t>Xinyu (Brian) Guo</w:t>
      </w:r>
    </w:p>
    <w:p>
      <w:pPr>
        <w:spacing w:before="80" w:after="0" w:line="240" w:lineRule="auto"/>
      </w:pPr>
      <w:r>
        <w:rPr>
          <w:rFonts w:ascii="Helvetica Neue" w:hAnsi="Helvetica Neue" w:cs="Helvetica Neue"/>
          <w:b/>
          <w:i w:val="0"/>
          <w:color w:val="7A1F2B"/>
          <w:sz w:val="16"/>
          <w:u w:val="none"/>
          <w:spacing w:val="13"/>
        </w:rPr>
        <w:t>FOUNDATION MODELS  ·  GENERATIVE MODELING  ·  AI FOR SCIENCE</w:t>
      </w:r>
    </w:p>
    <w:p>
      <w:pPr>
        <w:spacing w:before="70" w:after="0" w:line="240" w:lineRule="auto"/>
        <w:pBdr>
          <w:bottom w:val="single" w:sz="10" w:space="1" w:color="14171A"/>
        </w:pBdr>
      </w:pP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>xinyu.guo@yale.edu   ·   (314) 680-8961   ·   Open to relocation   ·   xinyuguo.com   ·   github.com/Thewhey-Brian</w:t>
      </w:r>
    </w:p>
    <w:p>
      <w:pPr>
        <w:spacing w:before="200" w:after="50" w:line="326" w:lineRule="auto"/>
        <w:pBdr>
          <w:bottom w:val="single" w:sz="6" w:space="1" w:color="CCD2D8"/>
        </w:pBdr>
      </w:pPr>
      <w:r>
        <w:rPr>
          <w:rFonts w:ascii="Helvetica Neue" w:hAnsi="Helvetica Neue" w:cs="Helvetica Neue"/>
          <w:b/>
          <w:i w:val="0"/>
          <w:color w:val="3A4046"/>
          <w:sz w:val="15"/>
          <w:u w:val="none"/>
          <w:spacing w:val="26"/>
        </w:rPr>
        <w:t>EDUCATION</w:t>
      </w:r>
    </w:p>
    <w:p>
      <w:pPr>
        <w:tabs>
          <w:tab w:pos="10512" w:val="right"/>
        </w:tabs>
        <w:spacing w:before="68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8"/>
          <w:u w:val="none"/>
        </w:rPr>
        <w:t>Ph.D., Computational Biology &amp; Bioinformatics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 University of Southern California · 3.95/4.0 ·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Viterbi Fellow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2022 – 2026</w:t>
      </w:r>
    </w:p>
    <w:p>
      <w:pPr>
        <w:tabs>
          <w:tab w:pos="10512" w:val="right"/>
        </w:tabs>
        <w:spacing w:before="68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8"/>
          <w:u w:val="none"/>
        </w:rPr>
        <w:t>M.S., Biostatistics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 Johns Hopkins University · 3.97/4.0 ·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Delta Omega Honor Society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Aug 2020 – May 2022</w:t>
      </w:r>
    </w:p>
    <w:p>
      <w:pPr>
        <w:tabs>
          <w:tab w:pos="10512" w:val="right"/>
        </w:tabs>
        <w:spacing w:before="68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8"/>
          <w:u w:val="none"/>
        </w:rPr>
        <w:t>B.A., Mathematics &amp; Computer Science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 Washington University in St. Louis · 3.89/4.0 ·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Cum Laude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Aug 2018 – May 2020</w:t>
      </w:r>
    </w:p>
    <w:p>
      <w:pPr>
        <w:spacing w:before="200" w:after="50" w:line="326" w:lineRule="auto"/>
        <w:pBdr>
          <w:bottom w:val="single" w:sz="6" w:space="1" w:color="CCD2D8"/>
        </w:pBdr>
      </w:pPr>
      <w:r>
        <w:rPr>
          <w:rFonts w:ascii="Helvetica Neue" w:hAnsi="Helvetica Neue" w:cs="Helvetica Neue"/>
          <w:b/>
          <w:i w:val="0"/>
          <w:color w:val="3A4046"/>
          <w:sz w:val="15"/>
          <w:u w:val="none"/>
          <w:spacing w:val="26"/>
        </w:rPr>
        <w:t>EXPERIENCE</w:t>
      </w:r>
    </w:p>
    <w:p>
      <w:pPr>
        <w:tabs>
          <w:tab w:pos="10512" w:val="right"/>
        </w:tabs>
        <w:spacing w:before="140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9"/>
          <w:u w:val="none"/>
        </w:rPr>
        <w:t xml:space="preserve">Postdoctoral Associate </w:t>
      </w:r>
      <w:r>
        <w:rPr>
          <w:rFonts w:ascii="Helvetica Neue" w:hAnsi="Helvetica Neue" w:cs="Helvetica Neue"/>
          <w:b/>
          <w:i w:val="0"/>
          <w:color w:val="3A4046"/>
          <w:sz w:val="19"/>
          <w:u w:val="none"/>
        </w:rPr>
        <w:t>— Yale University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Sep 2026 – Present</w:t>
      </w:r>
    </w:p>
    <w:p>
      <w:pPr>
        <w:spacing w:before="10" w:after="0" w:line="326" w:lineRule="auto"/>
      </w:pPr>
      <w:r>
        <w:rPr>
          <w:rFonts w:ascii="Charter" w:hAnsi="Charter" w:cs="Charter"/>
          <w:b w:val="0"/>
          <w:i/>
          <w:color w:val="717A85"/>
          <w:sz w:val="17"/>
          <w:u w:val="none"/>
        </w:rPr>
        <w:t>Foundation models &amp; generative modeling · Advisor: Dr. Lucila Ohno-Machado · New Haven, CT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Develop and train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generative flow-matching and diffusion models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that forecast how high-dimensional cell populations evolve over time; evaluate generalization to held-out time points and conditions.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Fine-tune and evaluate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sequence foundation models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on long-context genomic data, including parameter-efficient (LoRA) adaptation and multi-GPU training on a Slurm cluster.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Build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perturbation-response prediction models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for the Arc Institute Virtual Cell Challenge 2026; design leakage-safe, held-out-context benchmarks to measure out-of-distribution generalization.</w:t>
      </w:r>
    </w:p>
    <w:p>
      <w:pPr>
        <w:tabs>
          <w:tab w:pos="10512" w:val="right"/>
        </w:tabs>
        <w:spacing w:before="140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9"/>
          <w:u w:val="none"/>
        </w:rPr>
        <w:t xml:space="preserve">AI Research Scientist Intern </w:t>
      </w:r>
      <w:r>
        <w:rPr>
          <w:rFonts w:ascii="Helvetica Neue" w:hAnsi="Helvetica Neue" w:cs="Helvetica Neue"/>
          <w:b/>
          <w:i w:val="0"/>
          <w:color w:val="3A4046"/>
          <w:sz w:val="19"/>
          <w:u w:val="none"/>
        </w:rPr>
        <w:t>— Abbott Cancer Diagnostics (formerly Exact Sciences)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Summer 2026</w:t>
      </w:r>
    </w:p>
    <w:p>
      <w:pPr>
        <w:spacing w:before="10" w:after="0" w:line="326" w:lineRule="auto"/>
      </w:pPr>
      <w:r>
        <w:rPr>
          <w:rFonts w:ascii="Charter" w:hAnsi="Charter" w:cs="Charter"/>
          <w:b w:val="0"/>
          <w:i/>
          <w:color w:val="717A85"/>
          <w:sz w:val="17"/>
          <w:u w:val="none"/>
        </w:rPr>
        <w:t>Genomic AI &amp; precision oncology · San Diego (La Jolla), CA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Evaluated sequence-to-function foundation models (AlphaGenome, Enigma) on an OncoExTra tumor cohort, expanding the reviewable evidence space by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2,554 of 6,087 variants (42%)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that snpEff had deprioritized.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Built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OncoS2F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, an agent that turns natural-language requests into Enigma, Evo2, and Carbon workflows across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13 hosted genomic model endpoints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, from sequence construction through task-specific heads.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Trained FFPE artifact-risk models on ~140 GB of paired fresh-frozen/FFPE sequencing, reaching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ROC-AUC 0.923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versus evaluated implementations of FFPErase (0.677), FFPolish (0.517), and FIFA (0.509) on the same cohort.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Trained multiple-instance models on UNI2-h pathology embeddings over 2,099 whole-slide images, predicting ER (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AUROC 0.890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), TNBC (0.893), and HRD-high (0.790) with every leave-institution-out drop ≤ 0.03.</w:t>
      </w:r>
    </w:p>
    <w:p>
      <w:pPr>
        <w:tabs>
          <w:tab w:pos="10512" w:val="right"/>
        </w:tabs>
        <w:spacing w:before="140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9"/>
          <w:u w:val="none"/>
        </w:rPr>
        <w:t xml:space="preserve">Graduate Researcher </w:t>
      </w:r>
      <w:r>
        <w:rPr>
          <w:rFonts w:ascii="Helvetica Neue" w:hAnsi="Helvetica Neue" w:cs="Helvetica Neue"/>
          <w:b/>
          <w:i w:val="0"/>
          <w:color w:val="3A4046"/>
          <w:sz w:val="19"/>
          <w:u w:val="none"/>
        </w:rPr>
        <w:t>— University of Southern California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Aug 2022 – May 2026</w:t>
      </w:r>
    </w:p>
    <w:p>
      <w:pPr>
        <w:spacing w:before="10" w:after="0" w:line="326" w:lineRule="auto"/>
      </w:pPr>
      <w:r>
        <w:rPr>
          <w:rFonts w:ascii="Charter" w:hAnsi="Charter" w:cs="Charter"/>
          <w:b w:val="0"/>
          <w:i/>
          <w:color w:val="717A85"/>
          <w:sz w:val="17"/>
          <w:u w:val="none"/>
        </w:rPr>
        <w:t>Multi-modal representation learning · Advisor: Dr. Liang Chen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Developed a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cross-modality foundation model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integrating DNA sequence, RNA expression, and spatial data, built for interpretability so individual inputs map to explainable spatial structure.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Designed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self-supervised contrastive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GNN/GAT models with attention-based fusion to align population-scale genetic signals with spatial embeddings across single-cell modalities.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Identified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trans-acting NMD-QTLs across 48 human tissues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, linking regulatory variation to nonsense-mediated mRNA decay and transcript stability.</w:t>
      </w:r>
    </w:p>
    <w:p>
      <w:pPr>
        <w:tabs>
          <w:tab w:pos="10512" w:val="right"/>
        </w:tabs>
        <w:spacing w:before="140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9"/>
          <w:u w:val="none"/>
        </w:rPr>
        <w:t xml:space="preserve">Graduate Researcher </w:t>
      </w:r>
      <w:r>
        <w:rPr>
          <w:rFonts w:ascii="Helvetica Neue" w:hAnsi="Helvetica Neue" w:cs="Helvetica Neue"/>
          <w:b/>
          <w:i w:val="0"/>
          <w:color w:val="3A4046"/>
          <w:sz w:val="19"/>
          <w:u w:val="none"/>
        </w:rPr>
        <w:t>— Johns Hopkins University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Oct 2020 – Aug 2022</w:t>
      </w:r>
    </w:p>
    <w:p>
      <w:pPr>
        <w:spacing w:before="10" w:after="0" w:line="326" w:lineRule="auto"/>
      </w:pPr>
      <w:r>
        <w:rPr>
          <w:rFonts w:ascii="Charter" w:hAnsi="Charter" w:cs="Charter"/>
          <w:b w:val="0"/>
          <w:i/>
          <w:color w:val="717A85"/>
          <w:sz w:val="17"/>
          <w:u w:val="none"/>
        </w:rPr>
        <w:t>Statistical genetics · Advisors: Dr. Nilanjan Chatterjee &amp; Dr. Diptavo Dutta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Developed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CSTWAS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, a subset-based cross-tissue TWAS method that raises power over single- and multi-tissue tests while identifying which tissues drive each gene–trait signal.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Ran transcriptome- and proteome-wide association studies at bulk and single-cell resolution, identifying genes linked to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renal cell carcinoma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.</w:t>
      </w:r>
    </w:p>
    <w:p>
      <w:pPr>
        <w:tabs>
          <w:tab w:pos="10512" w:val="right"/>
        </w:tabs>
        <w:spacing w:before="140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9"/>
          <w:u w:val="none"/>
        </w:rPr>
        <w:t xml:space="preserve">Graduate Researcher </w:t>
      </w:r>
      <w:r>
        <w:rPr>
          <w:rFonts w:ascii="Helvetica Neue" w:hAnsi="Helvetica Neue" w:cs="Helvetica Neue"/>
          <w:b/>
          <w:i w:val="0"/>
          <w:color w:val="3A4046"/>
          <w:sz w:val="19"/>
          <w:u w:val="none"/>
        </w:rPr>
        <w:t>— Johns Hopkins University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Feb 2021 – Aug 2022</w:t>
      </w:r>
    </w:p>
    <w:p>
      <w:pPr>
        <w:spacing w:before="10" w:after="0" w:line="326" w:lineRule="auto"/>
      </w:pPr>
      <w:r>
        <w:rPr>
          <w:rFonts w:ascii="Charter" w:hAnsi="Charter" w:cs="Charter"/>
          <w:b w:val="0"/>
          <w:i/>
          <w:color w:val="717A85"/>
          <w:sz w:val="17"/>
          <w:u w:val="none"/>
        </w:rPr>
        <w:t>Multi-omics &amp; cancer therapy resistance · Advisors: Dr. Hongkai Ji &amp; Dr. Eneda Toska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Built the lab's shared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RNA-seq, ChIP-seq, and ATAC-seq pipeline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and used it to show how the chromatin modifier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KMT2D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and its methylation by SMYD2 mediate hormone-driven therapy resistance.</w:t>
      </w:r>
    </w:p>
    <w:p>
      <w:pPr>
        <w:tabs>
          <w:tab w:pos="10512" w:val="right"/>
        </w:tabs>
        <w:spacing w:before="140" w:after="0" w:line="326" w:lineRule="auto"/>
      </w:pPr>
      <w:r>
        <w:rPr>
          <w:rFonts w:ascii="Helvetica Neue" w:hAnsi="Helvetica Neue" w:cs="Helvetica Neue"/>
          <w:b/>
          <w:i w:val="0"/>
          <w:color w:val="14171A"/>
          <w:sz w:val="19"/>
          <w:u w:val="none"/>
        </w:rPr>
        <w:t xml:space="preserve">Research Assistant </w:t>
      </w:r>
      <w:r>
        <w:rPr>
          <w:rFonts w:ascii="Helvetica Neue" w:hAnsi="Helvetica Neue" w:cs="Helvetica Neue"/>
          <w:b/>
          <w:i w:val="0"/>
          <w:color w:val="3A4046"/>
          <w:sz w:val="19"/>
          <w:u w:val="none"/>
        </w:rPr>
        <w:t>— Washington University in St. Louis</w:t>
      </w:r>
      <w:r>
        <w:tab/>
      </w:r>
      <w:r>
        <w:rPr>
          <w:rFonts w:ascii="Helvetica Neue" w:hAnsi="Helvetica Neue" w:cs="Helvetica Neue"/>
          <w:b w:val="0"/>
          <w:i w:val="0"/>
          <w:color w:val="717A85"/>
          <w:sz w:val="16"/>
          <w:u w:val="none"/>
        </w:rPr>
        <w:t>Jun – Aug 2020</w:t>
      </w:r>
    </w:p>
    <w:p>
      <w:pPr>
        <w:spacing w:before="10" w:after="0" w:line="326" w:lineRule="auto"/>
      </w:pPr>
      <w:r>
        <w:rPr>
          <w:rFonts w:ascii="Charter" w:hAnsi="Charter" w:cs="Charter"/>
          <w:b w:val="0"/>
          <w:i/>
          <w:color w:val="717A85"/>
          <w:sz w:val="17"/>
          <w:u w:val="none"/>
        </w:rPr>
        <w:t>Predictive clinical informatics · Advisors: Dr. Andrew Michelson &amp; Dr. Philip Payne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Shipped respiratory-failure prediction models for COVID-19 patients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into the Barnes-Jewish Hospital EHR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, running on live patient data to support ICU triage.</w:t>
      </w:r>
    </w:p>
    <w:p>
      <w:pPr>
        <w:spacing w:before="200" w:after="50" w:line="326" w:lineRule="auto"/>
        <w:pBdr>
          <w:bottom w:val="single" w:sz="6" w:space="1" w:color="CCD2D8"/>
        </w:pBdr>
      </w:pPr>
      <w:r>
        <w:rPr>
          <w:rFonts w:ascii="Helvetica Neue" w:hAnsi="Helvetica Neue" w:cs="Helvetica Neue"/>
          <w:b/>
          <w:i w:val="0"/>
          <w:color w:val="3A4046"/>
          <w:sz w:val="15"/>
          <w:u w:val="none"/>
          <w:spacing w:val="26"/>
        </w:rPr>
        <w:t>SELECTED PROJECTS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Trained a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560M-parameter decoder-only LLM from scratch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</w:t>
      </w:r>
      <w:r>
        <w:rPr>
          <w:rFonts w:ascii="Charter" w:hAnsi="Charter" w:cs="Charter"/>
          <w:b w:val="0"/>
          <w:i/>
          <w:color w:val="3A4046"/>
          <w:sz w:val="18"/>
          <w:u w:val="none"/>
        </w:rPr>
        <w:t xml:space="preserve">2025 · </w:t>
      </w:r>
      <w:r>
        <w:rPr>
          <w:rFonts w:ascii="Charter" w:hAnsi="Charter" w:cs="Charter"/>
          <w:b w:val="0"/>
          <w:i/>
          <w:color w:val="3A4046"/>
          <w:sz w:val="18"/>
          <w:u w:val="none"/>
        </w:rPr>
        <w:t>xinyuguo.com/projects/nanochat-llm-training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— Rust BPE tokenizer, pretraining, supervised fine-tuning, and reinforcement learning with PyTorch DDP across 8 GPUs; evaluated on CORE, ARC, MMLU, GSM8K, and HumanEval.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State-space sequence models </w:t>
      </w:r>
      <w:r>
        <w:rPr>
          <w:rFonts w:ascii="Charter" w:hAnsi="Charter" w:cs="Charter"/>
          <w:b w:val="0"/>
          <w:i/>
          <w:color w:val="3A4046"/>
          <w:sz w:val="18"/>
          <w:u w:val="none"/>
        </w:rPr>
        <w:t>2025 – 2026 · lead developer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—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TAL-Mamba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, temporal action localization over 2+ hour sequences at 68% less memory than Transformer baselines;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Track Mamba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, a linear-complexity real-time small-object tracker 40% smaller and 50% faster than TrackNet baselines.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Legal Patent Copilot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</w:t>
      </w:r>
      <w:r>
        <w:rPr>
          <w:rFonts w:ascii="Charter" w:hAnsi="Charter" w:cs="Charter"/>
          <w:b w:val="0"/>
          <w:i/>
          <w:color w:val="3A4046"/>
          <w:sz w:val="18"/>
          <w:u w:val="none"/>
        </w:rPr>
        <w:t>2024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— retrieval agent for prior-art discovery over 10M+ documents using FAISS indexing and fine-tuned reranking layers, cutting search latency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42%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with improved recall.</w:t>
      </w:r>
    </w:p>
    <w:p>
      <w:pPr>
        <w:tabs>
          <w:tab w:pos="245" w:val="left"/>
        </w:tabs>
        <w:spacing w:before="68" w:after="0" w:line="326" w:lineRule="auto"/>
        <w:ind w:left="245" w:hanging="245"/>
      </w:pPr>
      <w:r>
        <w:rPr>
          <w:rFonts w:ascii="Charter" w:hAnsi="Charter" w:cs="Charter"/>
          <w:b w:val="0"/>
          <w:i w:val="0"/>
          <w:color w:val="A9B1BA"/>
          <w:sz w:val="18"/>
          <w:u w:val="none"/>
        </w:rPr>
        <w:t>–</w:t>
        <w:tab/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Benchmarked </w:t>
      </w:r>
      <w:r>
        <w:rPr>
          <w:rFonts w:ascii="Charter" w:hAnsi="Charter" w:cs="Charter"/>
          <w:b/>
          <w:i w:val="0"/>
          <w:color w:val="14171A"/>
          <w:sz w:val="18"/>
          <w:u w:val="none"/>
        </w:rPr>
        <w:t>AlphaGenome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against atrial-fibrillation TWAS </w:t>
      </w:r>
      <w:r>
        <w:rPr>
          <w:rFonts w:ascii="Charter" w:hAnsi="Charter" w:cs="Charter"/>
          <w:b w:val="0"/>
          <w:i/>
          <w:color w:val="3A4046"/>
          <w:sz w:val="18"/>
          <w:u w:val="none"/>
        </w:rPr>
        <w:t xml:space="preserve">2025 · </w:t>
      </w:r>
      <w:r>
        <w:rPr>
          <w:rFonts w:ascii="Charter" w:hAnsi="Charter" w:cs="Charter"/>
          <w:b w:val="0"/>
          <w:i/>
          <w:color w:val="3A4046"/>
          <w:sz w:val="18"/>
          <w:u w:val="none"/>
        </w:rPr>
        <w:t>xinyuguo.com/projects/ag-twas-alphagenome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 xml:space="preserve"> — 10,120 fine-mapped variant–gene–tissue triplets across 10 GTEx tissues; chromatin tracks enriched for causal variants (ATAC 1.18×, P &lt; 10⁻⁴) while expression predictions held only 55–60% sign accuracy.</w:t>
      </w:r>
    </w:p>
    <w:p>
      <w:pPr>
        <w:spacing w:before="200" w:after="50" w:line="326" w:lineRule="auto"/>
        <w:pBdr>
          <w:bottom w:val="single" w:sz="6" w:space="1" w:color="CCD2D8"/>
        </w:pBdr>
      </w:pPr>
      <w:r>
        <w:rPr>
          <w:rFonts w:ascii="Helvetica Neue" w:hAnsi="Helvetica Neue" w:cs="Helvetica Neue"/>
          <w:b/>
          <w:i w:val="0"/>
          <w:color w:val="3A4046"/>
          <w:sz w:val="15"/>
          <w:u w:val="none"/>
          <w:spacing w:val="26"/>
        </w:rPr>
        <w:t>SELECTED PUBLICATIONS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1.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Chen, L. From G1 to M: a comparative study of methods for identifying cell cycle phases.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Briefings in Bioinformatics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(2024).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2.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Chatterjee, N., Dutta, D. Subset-based method for cross-tissue transcriptome-wide association studies improves power and interpretability.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Human Genetics and Genomics Advances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(2024).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3.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Dutta, D., </w:t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Winter, T.D., et al. Transcriptome- and proteome-wide association studies identify genes associated with renal cell carcinoma.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The American Journal of Human Genetics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(2024).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4.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Bianchi, A., De Castro Silva, I., … </w:t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et al. Cell-autonomous Cxcl1 sustains tolerogenic circuitries and stromal inflammation via neutrophil-derived TNF in pancreatic cancer.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Cancer Discovery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(2023).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5.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Blawski, R., Vokshi, B.H., </w:t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et al. Methylation of the chromatin modifier KMT2D by SMYD2 contributes to therapeutic response in hormone-dependent breast cancer.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Cell Reports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(2024).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6.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Kittane, S., Ladewig, E., … </w:t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et al. The histone methyltransferase KMT2D mediates subtype-specific transcriptional regulation, lineage plasticity, and therapeutic response in castration-resistant prostate cancer.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Cancer Research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(2024, 2025).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7.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Jagirdar, K., Portuallo, M.E., … </w:t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et al. ERK hyperactivation as a unified mechanism of escape in intrinsic and acquired CDK4/6-inhibitor resistance in acral lentiginous melanoma.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Oncogene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(2024).</w:t>
      </w:r>
    </w:p>
    <w:p>
      <w:pPr>
        <w:tabs>
          <w:tab w:pos="288" w:val="left"/>
        </w:tabs>
        <w:spacing w:before="52" w:after="0" w:line="326" w:lineRule="auto"/>
        <w:ind w:left="288" w:hanging="288"/>
      </w:pPr>
      <w:r>
        <w:rPr>
          <w:rFonts w:ascii="Helvetica Neue" w:hAnsi="Helvetica Neue" w:cs="Helvetica Neue"/>
          <w:b w:val="0"/>
          <w:i w:val="0"/>
          <w:color w:val="717A85"/>
          <w:sz w:val="15"/>
          <w:u w:val="none"/>
        </w:rPr>
        <w:t>8.</w:t>
        <w:tab/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Dutta, D., Zhang, J., </w:t>
      </w:r>
      <w:r>
        <w:rPr>
          <w:rFonts w:ascii="Charter" w:hAnsi="Charter" w:cs="Charter"/>
          <w:b w:val="0"/>
          <w:i w:val="0"/>
          <w:color w:val="3A4046"/>
          <w:sz w:val="17"/>
          <w:u w:val="single"/>
        </w:rPr>
        <w:t>Guo, X.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, et al. Leveraging and partitioning polygenic risk scores to identify cancer-related proteins. </w:t>
      </w:r>
      <w:r>
        <w:rPr>
          <w:rFonts w:ascii="Charter" w:hAnsi="Charter" w:cs="Charter"/>
          <w:b w:val="0"/>
          <w:i/>
          <w:color w:val="3A4046"/>
          <w:sz w:val="17"/>
          <w:u w:val="none"/>
        </w:rPr>
        <w:t>medRxiv</w:t>
      </w:r>
      <w:r>
        <w:rPr>
          <w:rFonts w:ascii="Charter" w:hAnsi="Charter" w:cs="Charter"/>
          <w:b w:val="0"/>
          <w:i w:val="0"/>
          <w:color w:val="3A4046"/>
          <w:sz w:val="17"/>
          <w:u w:val="none"/>
        </w:rPr>
        <w:t xml:space="preserve"> (2025, preprint).</w:t>
      </w:r>
    </w:p>
    <w:p>
      <w:pPr>
        <w:spacing w:before="200" w:after="50" w:line="326" w:lineRule="auto"/>
        <w:pBdr>
          <w:bottom w:val="single" w:sz="6" w:space="1" w:color="CCD2D8"/>
        </w:pBdr>
      </w:pPr>
      <w:r>
        <w:rPr>
          <w:rFonts w:ascii="Helvetica Neue" w:hAnsi="Helvetica Neue" w:cs="Helvetica Neue"/>
          <w:b/>
          <w:i w:val="0"/>
          <w:color w:val="3A4046"/>
          <w:sz w:val="15"/>
          <w:u w:val="none"/>
          <w:spacing w:val="26"/>
        </w:rPr>
        <w:t>TECHNICAL EXPERTISE</w:t>
      </w:r>
    </w:p>
    <w:p>
      <w:pPr>
        <w:spacing w:before="68" w:after="0" w:line="326" w:lineRule="auto"/>
      </w:pPr>
      <w:r>
        <w:rPr>
          <w:rFonts w:ascii="Helvetica Neue" w:hAnsi="Helvetica Neue" w:cs="Helvetica Neue"/>
          <w:b/>
          <w:i w:val="0"/>
          <w:color w:val="7A1F2B"/>
          <w:sz w:val="15"/>
          <w:u w:val="none"/>
          <w:spacing w:val="8"/>
        </w:rPr>
        <w:t xml:space="preserve">ML RESEARCH  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Foundation-model pretraining &amp; fine-tuning (LoRA / full) · generative models (flow matching, diffusion, autoregressive LLMs) · transformers, state-space models (Mamba), GNNs · self-supervised &amp; contrastive learning · reinforcement learning · agentic systems &amp; tool use · RAG / vector retrieval · benchmark design &amp; leakage-safe evaluation</w:t>
      </w:r>
    </w:p>
    <w:p>
      <w:pPr>
        <w:spacing w:before="68" w:after="0" w:line="326" w:lineRule="auto"/>
      </w:pPr>
      <w:r>
        <w:rPr>
          <w:rFonts w:ascii="Helvetica Neue" w:hAnsi="Helvetica Neue" w:cs="Helvetica Neue"/>
          <w:b/>
          <w:i w:val="0"/>
          <w:color w:val="7A1F2B"/>
          <w:sz w:val="15"/>
          <w:u w:val="none"/>
          <w:spacing w:val="8"/>
        </w:rPr>
        <w:t xml:space="preserve">ENGINEERING  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Python · C++ · SQL · Bash · TypeScript · R · PyTorch (DDP/FSDP) · JAX · Hugging Face · PyG · CUDA · distributed multi-GPU training on Slurm HPC and AWS (SageMaker, Bedrock, EC2, S3) · FastAPI · Docker · Git</w:t>
      </w:r>
    </w:p>
    <w:p>
      <w:pPr>
        <w:spacing w:before="68" w:after="0" w:line="326" w:lineRule="auto"/>
      </w:pPr>
      <w:r>
        <w:rPr>
          <w:rFonts w:ascii="Helvetica Neue" w:hAnsi="Helvetica Neue" w:cs="Helvetica Neue"/>
          <w:b/>
          <w:i w:val="0"/>
          <w:color w:val="7A1F2B"/>
          <w:sz w:val="15"/>
          <w:u w:val="none"/>
          <w:spacing w:val="8"/>
        </w:rPr>
        <w:t xml:space="preserve">AI FOR SCIENCE  </w:t>
      </w:r>
      <w:r>
        <w:rPr>
          <w:rFonts w:ascii="Charter" w:hAnsi="Charter" w:cs="Charter"/>
          <w:b w:val="0"/>
          <w:i w:val="0"/>
          <w:color w:val="3A4046"/>
          <w:sz w:val="18"/>
          <w:u w:val="none"/>
        </w:rPr>
        <w:t>Genomic, single-cell, and pathology foundation models (AlphaGenome, Enigma, Evo 2, Borzoi, Enformer, scGPT, Geneformer, UNI) · variant-effect prediction · single-cell &amp; spatial omics · statistical genetics</w:t>
      </w:r>
    </w:p>
    <w:sectPr w:rsidR="00FC693F" w:rsidRPr="0006063C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