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Charter" w:hAnsi="Charter" w:cs="Charter"/>
          <w:b/>
          <w:i w:val="0"/>
          <w:color w:val="14171A"/>
          <w:sz w:val="45"/>
          <w:u w:val="none"/>
        </w:rPr>
        <w:t>Xinyu (Brian) Guo</w:t>
      </w:r>
    </w:p>
    <w:p>
      <w:pPr>
        <w:spacing w:before="80" w:after="0" w:line="240" w:lineRule="auto"/>
      </w:pPr>
      <w:r>
        <w:rPr>
          <w:rFonts w:ascii="Helvetica Neue" w:hAnsi="Helvetica Neue" w:cs="Helvetica Neue"/>
          <w:b/>
          <w:i w:val="0"/>
          <w:color w:val="7A1F2B"/>
          <w:sz w:val="16"/>
          <w:u w:val="none"/>
          <w:spacing w:val="13"/>
        </w:rPr>
        <w:t>GENOMIC FOUNDATION MODELS  ·  CANCER GENOMICS  ·  SCIENTIFIC AI AGENTS</w:t>
      </w:r>
    </w:p>
    <w:p>
      <w:pPr>
        <w:spacing w:before="70" w:after="0" w:line="240" w:lineRule="auto"/>
        <w:pBdr>
          <w:bottom w:val="single" w:sz="10" w:space="1" w:color="14171A"/>
        </w:pBdr>
      </w:pP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>xinyug@usc.edu   ·   (314) 680-8961   ·   Open to relocation   ·   xinyuguo.com   ·   github.com/Thewhey-Brian</w:t>
      </w:r>
    </w:p>
    <w:p>
      <w:pPr>
        <w:spacing w:before="200" w:after="50" w:line="326" w:lineRule="auto"/>
        <w:pBdr>
          <w:bottom w:val="single" w:sz="6" w:space="1" w:color="CCD2D8"/>
        </w:pBdr>
      </w:pPr>
      <w:r>
        <w:rPr>
          <w:rFonts w:ascii="Helvetica Neue" w:hAnsi="Helvetica Neue" w:cs="Helvetica Neue"/>
          <w:b/>
          <w:i w:val="0"/>
          <w:color w:val="3A4046"/>
          <w:sz w:val="15"/>
          <w:u w:val="none"/>
          <w:spacing w:val="26"/>
        </w:rPr>
        <w:t>EDUCATION</w:t>
      </w:r>
    </w:p>
    <w:p>
      <w:pPr>
        <w:tabs>
          <w:tab w:pos="10512" w:val="right"/>
        </w:tabs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8"/>
          <w:u w:val="none"/>
        </w:rPr>
        <w:t>Ph.D., Computational Biology &amp; Bioinformatics</w:t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  University of Southern California · 3.95/4.0 · </w:t>
      </w:r>
      <w:r>
        <w:rPr>
          <w:rFonts w:ascii="Charter" w:hAnsi="Charter" w:cs="Charter"/>
          <w:b w:val="0"/>
          <w:i/>
          <w:color w:val="3A4046"/>
          <w:sz w:val="17"/>
          <w:u w:val="none"/>
        </w:rPr>
        <w:t>Viterbi Fellow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Aug 2022 – 2026</w:t>
      </w:r>
    </w:p>
    <w:p>
      <w:pPr>
        <w:tabs>
          <w:tab w:pos="10512" w:val="right"/>
        </w:tabs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8"/>
          <w:u w:val="none"/>
        </w:rPr>
        <w:t>M.S., Biostatistics</w:t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  Johns Hopkins University · 3.97/4.0 · </w:t>
      </w:r>
      <w:r>
        <w:rPr>
          <w:rFonts w:ascii="Charter" w:hAnsi="Charter" w:cs="Charter"/>
          <w:b w:val="0"/>
          <w:i/>
          <w:color w:val="3A4046"/>
          <w:sz w:val="17"/>
          <w:u w:val="none"/>
        </w:rPr>
        <w:t>Delta Omega Honor Society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Aug 2020 – May 2022</w:t>
      </w:r>
    </w:p>
    <w:p>
      <w:pPr>
        <w:tabs>
          <w:tab w:pos="10512" w:val="right"/>
        </w:tabs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8"/>
          <w:u w:val="none"/>
        </w:rPr>
        <w:t>B.A., Mathematics &amp; Computer Science</w:t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  Washington University in St. Louis · 3.89/4.0 · </w:t>
      </w:r>
      <w:r>
        <w:rPr>
          <w:rFonts w:ascii="Charter" w:hAnsi="Charter" w:cs="Charter"/>
          <w:b w:val="0"/>
          <w:i/>
          <w:color w:val="3A4046"/>
          <w:sz w:val="17"/>
          <w:u w:val="none"/>
        </w:rPr>
        <w:t>Cum Laude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Aug 2018 – May 2020</w:t>
      </w:r>
    </w:p>
    <w:p>
      <w:pPr>
        <w:spacing w:before="200" w:after="50" w:line="326" w:lineRule="auto"/>
        <w:pBdr>
          <w:bottom w:val="single" w:sz="6" w:space="1" w:color="CCD2D8"/>
        </w:pBdr>
      </w:pPr>
      <w:r>
        <w:rPr>
          <w:rFonts w:ascii="Helvetica Neue" w:hAnsi="Helvetica Neue" w:cs="Helvetica Neue"/>
          <w:b/>
          <w:i w:val="0"/>
          <w:color w:val="3A4046"/>
          <w:sz w:val="15"/>
          <w:u w:val="none"/>
          <w:spacing w:val="26"/>
        </w:rPr>
        <w:t>EXPERIENCE</w:t>
      </w:r>
    </w:p>
    <w:p>
      <w:pPr>
        <w:tabs>
          <w:tab w:pos="10512" w:val="right"/>
        </w:tabs>
        <w:spacing w:before="140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9"/>
          <w:u w:val="none"/>
        </w:rPr>
        <w:t xml:space="preserve">AI Research Scientist Intern </w:t>
      </w:r>
      <w:r>
        <w:rPr>
          <w:rFonts w:ascii="Helvetica Neue" w:hAnsi="Helvetica Neue" w:cs="Helvetica Neue"/>
          <w:b/>
          <w:i w:val="0"/>
          <w:color w:val="3A4046"/>
          <w:sz w:val="19"/>
          <w:u w:val="none"/>
        </w:rPr>
        <w:t>— Abbott Cancer Diagnostics (formerly Exact Sciences)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Summer 2026</w:t>
      </w:r>
    </w:p>
    <w:p>
      <w:pPr>
        <w:spacing w:before="10" w:after="0" w:line="326" w:lineRule="auto"/>
      </w:pPr>
      <w:r>
        <w:rPr>
          <w:rFonts w:ascii="Charter" w:hAnsi="Charter" w:cs="Charter"/>
          <w:b w:val="0"/>
          <w:i/>
          <w:color w:val="717A85"/>
          <w:sz w:val="17"/>
          <w:u w:val="none"/>
        </w:rPr>
        <w:t>Genomic AI &amp; precision oncology · San Diego (La Jolla), CA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Researched DNA foundation models, particularly sequence-to-function models such as AlphaGenome and Enigma. Studied these state-of-the-art models against an OncoExTra tumor cohort,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rescuing 2,554 of 6,087 variants (42%)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that conventional snpEff annotation had deprioritized.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Built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OncoS2F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, a scientific agent that translates natural-language research requests into executable Enigma, Evo2, and Carbon workflows, automating sequence-context construction, batch embeddings, feature extraction, model routing, and provenance across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13 hosted genomic model endpoints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, through to downstream modeling with task-specific classification heads.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Built FFPE artifact-risk detection models over ~140 GB of paired fresh-frozen and FFPE sequencing data and evaluated them head-to-head against three published tools on a common cohort, reaching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ROC-AUC 0.923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against 0.677 (FFPErase), 0.517 (FFPolish), and 0.509 (FIFA).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Trained multiple-instance learning models on UNI2-h pathology foundation model embeddings over 2,099 whole-slide images from 1,485 patients, predicting ER (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AUROC 0.890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), TNBC (0.893), and HRD-high (0.790) from H&amp;E under 5-fold × 3-repeat cross-validation, with every leave-institution-out drop ≤ 0.03; benchmarked gated-attention against mean-pooling aggregation to settle where the added complexity pays.</w:t>
      </w:r>
    </w:p>
    <w:p>
      <w:pPr>
        <w:tabs>
          <w:tab w:pos="10512" w:val="right"/>
        </w:tabs>
        <w:spacing w:before="140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9"/>
          <w:u w:val="none"/>
        </w:rPr>
        <w:t xml:space="preserve">Graduate Researcher </w:t>
      </w:r>
      <w:r>
        <w:rPr>
          <w:rFonts w:ascii="Helvetica Neue" w:hAnsi="Helvetica Neue" w:cs="Helvetica Neue"/>
          <w:b/>
          <w:i w:val="0"/>
          <w:color w:val="3A4046"/>
          <w:sz w:val="19"/>
          <w:u w:val="none"/>
        </w:rPr>
        <w:t>— University of Southern California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Aug 2022 – Present</w:t>
      </w:r>
    </w:p>
    <w:p>
      <w:pPr>
        <w:spacing w:before="10" w:after="0" w:line="326" w:lineRule="auto"/>
      </w:pPr>
      <w:r>
        <w:rPr>
          <w:rFonts w:ascii="Charter" w:hAnsi="Charter" w:cs="Charter"/>
          <w:b w:val="0"/>
          <w:i/>
          <w:color w:val="717A85"/>
          <w:sz w:val="17"/>
          <w:u w:val="none"/>
        </w:rPr>
        <w:t>Biological pathology AI/ML modeling · Advisor: Dr. Liang Chen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Developed a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cross-modality foundation model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integrating DNA sequence, RNA expression, and spatial transcriptomics to identify tissue-specific disease-risk regions, built around explainability so individual genetic variants map to interpretable spatial microenvironments.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Designed a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self-supervised contrastive learning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method with GNN/GAT architectures for spatial transcriptomics, enabling integration with large-scale multi-omics cohorts across scRNA-seq, scATAC-seq, and spatial modalities for genetic risk evaluation.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Proposed a fusion architecture using weighted message-passing GNNs and attention to project GWAS/TWAS signals into spatial embeddings, bridging population-scale genetics with tissue-resolved measurement.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Identified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trans-acting NMD-QTLs across 48 human tissues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, linking common regulatory variation to nonsense-mediated mRNA decay and exposing a mechanism by which non-coding variants modulate transcript stability and disease risk.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Designed a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cross-dataset benchmark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for cell-cycle phase inference from single-cell RNA-seq, defining the evaluation protocol and the failure modes that separate methods which generalize from those that do not.</w:t>
      </w:r>
    </w:p>
    <w:p>
      <w:pPr>
        <w:tabs>
          <w:tab w:pos="10512" w:val="right"/>
        </w:tabs>
        <w:spacing w:before="140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9"/>
          <w:u w:val="none"/>
        </w:rPr>
        <w:t xml:space="preserve">Graduate Researcher </w:t>
      </w:r>
      <w:r>
        <w:rPr>
          <w:rFonts w:ascii="Helvetica Neue" w:hAnsi="Helvetica Neue" w:cs="Helvetica Neue"/>
          <w:b/>
          <w:i w:val="0"/>
          <w:color w:val="3A4046"/>
          <w:sz w:val="19"/>
          <w:u w:val="none"/>
        </w:rPr>
        <w:t>— Johns Hopkins University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Oct 2020 – Aug 2022</w:t>
      </w:r>
    </w:p>
    <w:p>
      <w:pPr>
        <w:spacing w:before="10" w:after="0" w:line="326" w:lineRule="auto"/>
      </w:pPr>
      <w:r>
        <w:rPr>
          <w:rFonts w:ascii="Charter" w:hAnsi="Charter" w:cs="Charter"/>
          <w:b w:val="0"/>
          <w:i/>
          <w:color w:val="717A85"/>
          <w:sz w:val="17"/>
          <w:u w:val="none"/>
        </w:rPr>
        <w:t>Statistical genetics · Advisors: Dr. Nilanjan Chatterjee &amp; Dr. Diptavo Dutta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Developed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CSTWAS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, a subset-based cross-tissue meta-analysis method for transcriptome-wide association studies that raises power over standard single- and multi-tissue tests while identifying which tissues are actually "active" for a gene–trait signal, improving both power and interpretability.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Performed transcriptome- and proteome-wide association studies at bulk and single-cell resolution to identify genes linked to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renal cell carcinoma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, and contributed to follow-on work partitioning polygenic risk scores to identify cancer-related proteins.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Modeled GWAS summary statistics jointly with single-cell ATAC-seq to interpret disease etiology at cellular rather than tissue resolution.</w:t>
      </w:r>
    </w:p>
    <w:p>
      <w:pPr>
        <w:tabs>
          <w:tab w:pos="10512" w:val="right"/>
        </w:tabs>
        <w:spacing w:before="140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9"/>
          <w:u w:val="none"/>
        </w:rPr>
        <w:t xml:space="preserve">Graduate Researcher </w:t>
      </w:r>
      <w:r>
        <w:rPr>
          <w:rFonts w:ascii="Helvetica Neue" w:hAnsi="Helvetica Neue" w:cs="Helvetica Neue"/>
          <w:b/>
          <w:i w:val="0"/>
          <w:color w:val="3A4046"/>
          <w:sz w:val="19"/>
          <w:u w:val="none"/>
        </w:rPr>
        <w:t>— Johns Hopkins University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Feb 2021 – Aug 2022</w:t>
      </w:r>
    </w:p>
    <w:p>
      <w:pPr>
        <w:spacing w:before="10" w:after="0" w:line="326" w:lineRule="auto"/>
      </w:pPr>
      <w:r>
        <w:rPr>
          <w:rFonts w:ascii="Charter" w:hAnsi="Charter" w:cs="Charter"/>
          <w:b w:val="0"/>
          <w:i/>
          <w:color w:val="717A85"/>
          <w:sz w:val="17"/>
          <w:u w:val="none"/>
        </w:rPr>
        <w:t>Multi-omics &amp; cancer therapy resistance · Advisors: Dr. Hongkai Ji &amp; Dr. Eneda Toska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Built a comprehensive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RNA-seq, ChIP-seq, and ATAC-seq pipeline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supporting differential analysis, gene-set enrichment, and motif discovery, which became shared infrastructure across several lab projects.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Elucidated how transcriptional and epigenetic regulators mediate hormone-driven tumor resistance to therapeutics, with the chromatin modifier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KMT2D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and its methylation by SMYD2 as the central axis.</w:t>
      </w:r>
    </w:p>
    <w:p>
      <w:pPr>
        <w:tabs>
          <w:tab w:pos="10512" w:val="right"/>
        </w:tabs>
        <w:spacing w:before="140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9"/>
          <w:u w:val="none"/>
        </w:rPr>
        <w:t xml:space="preserve">Research Assistant </w:t>
      </w:r>
      <w:r>
        <w:rPr>
          <w:rFonts w:ascii="Helvetica Neue" w:hAnsi="Helvetica Neue" w:cs="Helvetica Neue"/>
          <w:b/>
          <w:i w:val="0"/>
          <w:color w:val="3A4046"/>
          <w:sz w:val="19"/>
          <w:u w:val="none"/>
        </w:rPr>
        <w:t>— Washington University in St. Louis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Jun – Aug 2020</w:t>
      </w:r>
    </w:p>
    <w:p>
      <w:pPr>
        <w:spacing w:before="10" w:after="0" w:line="326" w:lineRule="auto"/>
      </w:pPr>
      <w:r>
        <w:rPr>
          <w:rFonts w:ascii="Charter" w:hAnsi="Charter" w:cs="Charter"/>
          <w:b w:val="0"/>
          <w:i/>
          <w:color w:val="717A85"/>
          <w:sz w:val="17"/>
          <w:u w:val="none"/>
        </w:rPr>
        <w:t>Predictive clinical informatics · Advisors: Dr. Andrew Michelson &amp; Dr. Philip Payne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Shipped Lasso and logistic-regression models predicting respiratory failure in COVID-19 patients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into the Barnes-Jewish Hospital EHR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, where they ran against live patient data during the pandemic peak to flag high-risk patients for ICU triage under acute bed and ventilator constraints.</w:t>
      </w:r>
    </w:p>
    <w:p>
      <w:pPr>
        <w:spacing w:before="200" w:after="50" w:line="326" w:lineRule="auto"/>
        <w:pBdr>
          <w:bottom w:val="single" w:sz="6" w:space="1" w:color="CCD2D8"/>
        </w:pBdr>
      </w:pPr>
      <w:r>
        <w:rPr>
          <w:rFonts w:ascii="Helvetica Neue" w:hAnsi="Helvetica Neue" w:cs="Helvetica Neue"/>
          <w:b/>
          <w:i w:val="0"/>
          <w:color w:val="3A4046"/>
          <w:sz w:val="15"/>
          <w:u w:val="none"/>
          <w:spacing w:val="26"/>
        </w:rPr>
        <w:t>SELECTED PROJECTS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Benchmarked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AlphaGenome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against atrial-fibrillation TWAS 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2025 · 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>xinyuguo.com/projects/ag-twas-alphagenome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— scored sequence-model predictions on 858 gene–tissue pairs and 10,120 fine-mapped variant–gene–tissue triplets across 10 GTEx tissues; chromatin tracks enriched for causal variants (ATAC 1.18×, P &lt; 10⁻⁴) while expression predictions held only 55–60% sign accuracy, mapping where sequence models can and cannot substitute for genotype-trained methods.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Trained a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560M-parameter decoder-only LLM from scratch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2025 · 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>xinyuguo.com/projects/nanochat-llm-training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— built the full pipeline end to end: Rust BPE tokenizer, data loading, base </w:t>
      </w:r>
      <w:r>
        <w:rPr>
          <w:rFonts w:ascii="Charter" w:hAnsi="Charter" w:cs="Charter"/>
          <w:b/>
          <w:i/>
          <w:color w:val="14171A"/>
          <w:sz w:val="18"/>
          <w:u w:val="none"/>
        </w:rPr>
        <w:t>pretraining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, midtraining, </w:t>
      </w:r>
      <w:r>
        <w:rPr>
          <w:rFonts w:ascii="Charter" w:hAnsi="Charter" w:cs="Charter"/>
          <w:b/>
          <w:i/>
          <w:color w:val="14171A"/>
          <w:sz w:val="18"/>
          <w:u w:val="none"/>
        </w:rPr>
        <w:t>supervised fine-tuning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, and </w:t>
      </w:r>
      <w:r>
        <w:rPr>
          <w:rFonts w:ascii="Charter" w:hAnsi="Charter" w:cs="Charter"/>
          <w:b/>
          <w:i/>
          <w:color w:val="14171A"/>
          <w:sz w:val="18"/>
          <w:u w:val="none"/>
        </w:rPr>
        <w:t>reinforcement learning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>, with distributed PyTorch DDP across 8 GPUs, mixed precision, and gradient-synchronization tuning for cluster throughput; evaluated on CORE, ARC, MMLU, GSM8K, and HumanEval.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State-space sequence models for long-horizon and edge deployment 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>2025 – 2026 · lead developer / principal architect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— </w:t>
      </w:r>
      <w:r>
        <w:rPr>
          <w:rFonts w:ascii="Charter" w:hAnsi="Charter" w:cs="Charter"/>
          <w:b/>
          <w:i/>
          <w:color w:val="14171A"/>
          <w:sz w:val="18"/>
          <w:u w:val="none"/>
        </w:rPr>
        <w:t>TAL-Mamba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, temporal action localization over 2+ hour sequences with efficient state management, cutting memory 68% versus Transformer baselines; and </w:t>
      </w:r>
      <w:r>
        <w:rPr>
          <w:rFonts w:ascii="Charter" w:hAnsi="Charter" w:cs="Charter"/>
          <w:b/>
          <w:i/>
          <w:color w:val="14171A"/>
          <w:sz w:val="18"/>
          <w:u w:val="none"/>
        </w:rPr>
        <w:t>Track Mamba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>, a linear-complexity real-time small-object tracker 40% smaller and 50% faster than TrackNet baselines at higher precision–recall.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Legal Patent Copilot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>2024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— retrieval agent for prior-art discovery over 10M+ documents using FAISS indexing and fine-tuned reranking layers, cutting search latency </w:t>
      </w:r>
      <w:r>
        <w:rPr>
          <w:rFonts w:ascii="Charter" w:hAnsi="Charter" w:cs="Charter"/>
          <w:b/>
          <w:i/>
          <w:color w:val="14171A"/>
          <w:sz w:val="18"/>
          <w:u w:val="none"/>
        </w:rPr>
        <w:t>42%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with improved recall.</w:t>
      </w:r>
    </w:p>
    <w:p>
      <w:pPr>
        <w:spacing w:before="200" w:after="50" w:line="326" w:lineRule="auto"/>
        <w:pBdr>
          <w:bottom w:val="single" w:sz="6" w:space="1" w:color="CCD2D8"/>
        </w:pBdr>
      </w:pPr>
      <w:r>
        <w:rPr>
          <w:rFonts w:ascii="Helvetica Neue" w:hAnsi="Helvetica Neue" w:cs="Helvetica Neue"/>
          <w:b/>
          <w:i w:val="0"/>
          <w:color w:val="3A4046"/>
          <w:sz w:val="15"/>
          <w:u w:val="none"/>
          <w:spacing w:val="26"/>
        </w:rPr>
        <w:t>SELECTED PUBLICATIONS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1.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Chen, L. From G1 to M: a comparative study of methods for identifying cell cycle phases.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Briefings in Bioinformatics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(2024).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2.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Chatterjee, N., Dutta, D. Subset-based method for cross-tissue transcriptome-wide association studies improves power and interpretability.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Human Genetics and Genomics Advances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(2024).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3.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Dutta, D., 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Winter, T.D., et al. Transcriptome- and proteome-wide association studies identify genes associated with renal cell carcinoma.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The American Journal of Human Genetics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(2024).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4.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Bianchi, A., De Castro Silva, I., … 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et al. Cell-autonomous Cxcl1 sustains tolerogenic circuitries and stromal inflammation via neutrophil-derived TNF in pancreatic cancer.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Cancer Discovery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(2023).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5.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Blawski, R., Vokshi, B.H., 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et al. Methylation of the chromatin modifier KMT2D by SMYD2 contributes to therapeutic response in hormone-dependent breast cancer.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Cell Reports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(2024).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6.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Kittane, S., Ladewig, E., … 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et al. The histone methyltransferase KMT2D mediates subtype-specific transcriptional regulation, lineage plasticity, and therapeutic response in castration-resistant prostate cancer.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Cancer Research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(2024, 2025).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7.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Jagirdar, K., Portuallo, M.E., … 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et al. ERK hyperactivation as a unified mechanism of escape in intrinsic and acquired CDK4/6-inhibitor resistance in acral lentiginous melanoma.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Oncogene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(2024).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8.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Dutta, D., Zhang, J., 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et al. Leveraging and partitioning polygenic risk scores to identify cancer-related proteins.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medRxiv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(2025, preprint).</w:t>
      </w:r>
    </w:p>
    <w:p>
      <w:pPr>
        <w:spacing w:before="200" w:after="50" w:line="326" w:lineRule="auto"/>
        <w:pBdr>
          <w:bottom w:val="single" w:sz="6" w:space="1" w:color="CCD2D8"/>
        </w:pBdr>
      </w:pPr>
      <w:r>
        <w:rPr>
          <w:rFonts w:ascii="Helvetica Neue" w:hAnsi="Helvetica Neue" w:cs="Helvetica Neue"/>
          <w:b/>
          <w:i w:val="0"/>
          <w:color w:val="3A4046"/>
          <w:sz w:val="15"/>
          <w:u w:val="none"/>
          <w:spacing w:val="26"/>
        </w:rPr>
        <w:t>TECHNICAL EXPERTISE</w:t>
      </w:r>
    </w:p>
    <w:p>
      <w:pPr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7A1F2B"/>
          <w:sz w:val="15"/>
          <w:u w:val="none"/>
          <w:spacing w:val="8"/>
        </w:rPr>
        <w:t xml:space="preserve">AI / ML  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Genomic foundation models (AlphaGenome, Enigma, Evo2, Carbon, Borzoi, Enformer, DNABERT) · transformers · state-space models (Mamba) · GNN/GAT · self-supervised &amp; contrastive learning · LLM pretraining · agentic systems &amp; tool use · RAG / vector retrieval · benchmark design &amp; leakage-safe evaluation</w:t>
      </w:r>
    </w:p>
    <w:p>
      <w:pPr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7A1F2B"/>
          <w:sz w:val="15"/>
          <w:u w:val="none"/>
          <w:spacing w:val="8"/>
        </w:rPr>
        <w:t xml:space="preserve">COMP. BIOLOGY  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Cancer genomics &amp; precision oncology · variant-effect prediction (SNV, SV, fusion) · regulatory genomics &amp; splicing · GWAS/TWAS · single-cell and spatial transcriptomics · RNA-seq / ChIP-seq / ATAC-seq · NGS somatic calling, FFPE artifacts, VCF · Ensembl, NCBI, UniProt, PDB, OncoKB, CIViC</w:t>
      </w:r>
    </w:p>
    <w:p>
      <w:pPr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7A1F2B"/>
          <w:sz w:val="15"/>
          <w:u w:val="none"/>
          <w:spacing w:val="8"/>
        </w:rPr>
        <w:t xml:space="preserve">ENGINEERING  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Python · R · C++ · SQL · Bash · TypeScript · PyTorch (DDP/FSDP), PyTorch Geometric, Hugging Face, JAX, scikit-learn, CUDA · FastAPI · React · Nextflow / WDL · DuckDB, Parquet · Docker, Git</w:t>
      </w:r>
    </w:p>
    <w:p>
      <w:pPr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7A1F2B"/>
          <w:sz w:val="15"/>
          <w:u w:val="none"/>
          <w:spacing w:val="8"/>
        </w:rPr>
        <w:t xml:space="preserve">CLOUD / SCALE  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AWS SageMaker GPU inference · Bedrock · HealthOmics · EC2, ECS, S3 · petabyte-scale sequence data on Linux/HPC · multi-GPU (A100) distributed training</w:t>
      </w:r>
    </w:p>
    <w:sectPr w:rsidR="00FC693F" w:rsidRPr="0006063C" w:rsidSect="00034616">
      <w:pgSz w:w="12240" w:h="15840"/>
      <w:pgMar w:top="648" w:right="864" w:bottom="57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