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rPr>
          <w:rFonts w:ascii="Charter" w:hAnsi="Charter" w:cs="Charter"/>
          <w:b/>
          <w:i w:val="0"/>
          <w:color w:val="14171A"/>
          <w:sz w:val="45"/>
          <w:u w:val="none"/>
        </w:rPr>
        <w:t>Xinyu (Brian) Guo</w:t>
      </w:r>
    </w:p>
    <w:p>
      <w:pPr>
        <w:spacing w:before="80" w:after="0" w:line="240" w:lineRule="auto"/>
      </w:pPr>
      <w:r>
        <w:rPr>
          <w:rFonts w:ascii="Helvetica Neue" w:hAnsi="Helvetica Neue" w:cs="Helvetica Neue"/>
          <w:b/>
          <w:i w:val="0"/>
          <w:color w:val="7A1F2B"/>
          <w:sz w:val="16"/>
          <w:u w:val="none"/>
          <w:spacing w:val="13"/>
        </w:rPr>
        <w:t>GENOMIC FOUNDATION MODELS  ·  CANCER GENOMICS  ·  SCIENTIFIC AI AGENTS</w:t>
      </w:r>
    </w:p>
    <w:p>
      <w:pPr>
        <w:spacing w:before="70" w:after="0" w:line="240" w:lineRule="auto"/>
        <w:pBdr>
          <w:bottom w:val="single" w:sz="10" w:space="1" w:color="14171A"/>
        </w:pBdr>
      </w:pPr>
      <w:r>
        <w:rPr>
          <w:rFonts w:ascii="Charter" w:hAnsi="Charter" w:cs="Charter"/>
          <w:b w:val="0"/>
          <w:i w:val="0"/>
          <w:color w:val="3A4046"/>
          <w:sz w:val="17"/>
          <w:u w:val="none"/>
        </w:rPr>
        <w:t>xinyug@usc.edu   ·   (314) 680-8961   ·   Open to relocation   ·   xinyuguo.com   ·   github.com/Thewhey-Brian</w:t>
      </w:r>
    </w:p>
    <w:p>
      <w:pPr>
        <w:spacing w:before="200" w:after="50" w:line="326" w:lineRule="auto"/>
        <w:pBdr>
          <w:bottom w:val="single" w:sz="6" w:space="1" w:color="CCD2D8"/>
        </w:pBdr>
      </w:pPr>
      <w:r>
        <w:rPr>
          <w:rFonts w:ascii="Helvetica Neue" w:hAnsi="Helvetica Neue" w:cs="Helvetica Neue"/>
          <w:b/>
          <w:i w:val="0"/>
          <w:color w:val="3A4046"/>
          <w:sz w:val="15"/>
          <w:u w:val="none"/>
          <w:spacing w:val="26"/>
        </w:rPr>
        <w:t>EDUCATION</w:t>
      </w:r>
    </w:p>
    <w:p>
      <w:pPr>
        <w:tabs>
          <w:tab w:pos="10512" w:val="right"/>
        </w:tabs>
        <w:spacing w:before="68" w:after="0" w:line="326" w:lineRule="auto"/>
      </w:pPr>
      <w:r>
        <w:rPr>
          <w:rFonts w:ascii="Helvetica Neue" w:hAnsi="Helvetica Neue" w:cs="Helvetica Neue"/>
          <w:b/>
          <w:i w:val="0"/>
          <w:color w:val="14171A"/>
          <w:sz w:val="18"/>
          <w:u w:val="none"/>
        </w:rPr>
        <w:t>Ph.D., Computational Biology &amp; Bioinformatics</w:t>
      </w:r>
      <w:r>
        <w:rPr>
          <w:rFonts w:ascii="Charter" w:hAnsi="Charter" w:cs="Charter"/>
          <w:b w:val="0"/>
          <w:i w:val="0"/>
          <w:color w:val="3A4046"/>
          <w:sz w:val="17"/>
          <w:u w:val="none"/>
        </w:rPr>
        <w:t xml:space="preserve">  University of Southern California · 3.95/4.0 · </w:t>
      </w:r>
      <w:r>
        <w:rPr>
          <w:rFonts w:ascii="Charter" w:hAnsi="Charter" w:cs="Charter"/>
          <w:b w:val="0"/>
          <w:i/>
          <w:color w:val="3A4046"/>
          <w:sz w:val="17"/>
          <w:u w:val="none"/>
        </w:rPr>
        <w:t>Viterbi Fellow</w:t>
      </w:r>
      <w:r>
        <w:tab/>
      </w:r>
      <w:r>
        <w:rPr>
          <w:rFonts w:ascii="Helvetica Neue" w:hAnsi="Helvetica Neue" w:cs="Helvetica Neue"/>
          <w:b w:val="0"/>
          <w:i w:val="0"/>
          <w:color w:val="717A85"/>
          <w:sz w:val="16"/>
          <w:u w:val="none"/>
        </w:rPr>
        <w:t>Aug 2022 – 2026</w:t>
      </w:r>
    </w:p>
    <w:p>
      <w:pPr>
        <w:tabs>
          <w:tab w:pos="10512" w:val="right"/>
        </w:tabs>
        <w:spacing w:before="68" w:after="0" w:line="326" w:lineRule="auto"/>
      </w:pPr>
      <w:r>
        <w:rPr>
          <w:rFonts w:ascii="Helvetica Neue" w:hAnsi="Helvetica Neue" w:cs="Helvetica Neue"/>
          <w:b/>
          <w:i w:val="0"/>
          <w:color w:val="14171A"/>
          <w:sz w:val="18"/>
          <w:u w:val="none"/>
        </w:rPr>
        <w:t>M.S., Biostatistics</w:t>
      </w:r>
      <w:r>
        <w:rPr>
          <w:rFonts w:ascii="Charter" w:hAnsi="Charter" w:cs="Charter"/>
          <w:b w:val="0"/>
          <w:i w:val="0"/>
          <w:color w:val="3A4046"/>
          <w:sz w:val="17"/>
          <w:u w:val="none"/>
        </w:rPr>
        <w:t xml:space="preserve">  Johns Hopkins University · 3.97/4.0 · </w:t>
      </w:r>
      <w:r>
        <w:rPr>
          <w:rFonts w:ascii="Charter" w:hAnsi="Charter" w:cs="Charter"/>
          <w:b w:val="0"/>
          <w:i/>
          <w:color w:val="3A4046"/>
          <w:sz w:val="17"/>
          <w:u w:val="none"/>
        </w:rPr>
        <w:t>Delta Omega Honor Society</w:t>
      </w:r>
      <w:r>
        <w:tab/>
      </w:r>
      <w:r>
        <w:rPr>
          <w:rFonts w:ascii="Helvetica Neue" w:hAnsi="Helvetica Neue" w:cs="Helvetica Neue"/>
          <w:b w:val="0"/>
          <w:i w:val="0"/>
          <w:color w:val="717A85"/>
          <w:sz w:val="16"/>
          <w:u w:val="none"/>
        </w:rPr>
        <w:t>Aug 2020 – May 2022</w:t>
      </w:r>
    </w:p>
    <w:p>
      <w:pPr>
        <w:tabs>
          <w:tab w:pos="10512" w:val="right"/>
        </w:tabs>
        <w:spacing w:before="68" w:after="0" w:line="326" w:lineRule="auto"/>
      </w:pPr>
      <w:r>
        <w:rPr>
          <w:rFonts w:ascii="Helvetica Neue" w:hAnsi="Helvetica Neue" w:cs="Helvetica Neue"/>
          <w:b/>
          <w:i w:val="0"/>
          <w:color w:val="14171A"/>
          <w:sz w:val="18"/>
          <w:u w:val="none"/>
        </w:rPr>
        <w:t>B.A., Mathematics &amp; Computer Science</w:t>
      </w:r>
      <w:r>
        <w:rPr>
          <w:rFonts w:ascii="Charter" w:hAnsi="Charter" w:cs="Charter"/>
          <w:b w:val="0"/>
          <w:i w:val="0"/>
          <w:color w:val="3A4046"/>
          <w:sz w:val="17"/>
          <w:u w:val="none"/>
        </w:rPr>
        <w:t xml:space="preserve">  Washington University in St. Louis · 3.89/4.0 · </w:t>
      </w:r>
      <w:r>
        <w:rPr>
          <w:rFonts w:ascii="Charter" w:hAnsi="Charter" w:cs="Charter"/>
          <w:b w:val="0"/>
          <w:i/>
          <w:color w:val="3A4046"/>
          <w:sz w:val="17"/>
          <w:u w:val="none"/>
        </w:rPr>
        <w:t>Cum Laude</w:t>
      </w:r>
      <w:r>
        <w:tab/>
      </w:r>
      <w:r>
        <w:rPr>
          <w:rFonts w:ascii="Helvetica Neue" w:hAnsi="Helvetica Neue" w:cs="Helvetica Neue"/>
          <w:b w:val="0"/>
          <w:i w:val="0"/>
          <w:color w:val="717A85"/>
          <w:sz w:val="16"/>
          <w:u w:val="none"/>
        </w:rPr>
        <w:t>Aug 2018 – May 2020</w:t>
      </w:r>
    </w:p>
    <w:p>
      <w:pPr>
        <w:spacing w:before="200" w:after="50" w:line="326" w:lineRule="auto"/>
        <w:pBdr>
          <w:bottom w:val="single" w:sz="6" w:space="1" w:color="CCD2D8"/>
        </w:pBdr>
      </w:pPr>
      <w:r>
        <w:rPr>
          <w:rFonts w:ascii="Helvetica Neue" w:hAnsi="Helvetica Neue" w:cs="Helvetica Neue"/>
          <w:b/>
          <w:i w:val="0"/>
          <w:color w:val="3A4046"/>
          <w:sz w:val="15"/>
          <w:u w:val="none"/>
          <w:spacing w:val="26"/>
        </w:rPr>
        <w:t>EXPERIENCE</w:t>
      </w:r>
    </w:p>
    <w:p>
      <w:pPr>
        <w:tabs>
          <w:tab w:pos="10512" w:val="right"/>
        </w:tabs>
        <w:spacing w:before="140" w:after="0" w:line="326" w:lineRule="auto"/>
      </w:pPr>
      <w:r>
        <w:rPr>
          <w:rFonts w:ascii="Helvetica Neue" w:hAnsi="Helvetica Neue" w:cs="Helvetica Neue"/>
          <w:b/>
          <w:i w:val="0"/>
          <w:color w:val="14171A"/>
          <w:sz w:val="19"/>
          <w:u w:val="none"/>
        </w:rPr>
        <w:t xml:space="preserve">AI Research Scientist Intern </w:t>
      </w:r>
      <w:r>
        <w:rPr>
          <w:rFonts w:ascii="Helvetica Neue" w:hAnsi="Helvetica Neue" w:cs="Helvetica Neue"/>
          <w:b/>
          <w:i w:val="0"/>
          <w:color w:val="3A4046"/>
          <w:sz w:val="19"/>
          <w:u w:val="none"/>
        </w:rPr>
        <w:t>— Abbott Cancer Diagnostics (formerly Exact Sciences)</w:t>
      </w:r>
      <w:r>
        <w:tab/>
      </w:r>
      <w:r>
        <w:rPr>
          <w:rFonts w:ascii="Helvetica Neue" w:hAnsi="Helvetica Neue" w:cs="Helvetica Neue"/>
          <w:b w:val="0"/>
          <w:i w:val="0"/>
          <w:color w:val="717A85"/>
          <w:sz w:val="16"/>
          <w:u w:val="none"/>
        </w:rPr>
        <w:t>Summer 2026</w:t>
      </w:r>
    </w:p>
    <w:p>
      <w:pPr>
        <w:spacing w:before="10" w:after="0" w:line="326" w:lineRule="auto"/>
      </w:pPr>
      <w:r>
        <w:rPr>
          <w:rFonts w:ascii="Charter" w:hAnsi="Charter" w:cs="Charter"/>
          <w:b w:val="0"/>
          <w:i/>
          <w:color w:val="717A85"/>
          <w:sz w:val="17"/>
          <w:u w:val="none"/>
        </w:rPr>
        <w:t>Genomic AI &amp; precision oncology · San Diego (La Jolla), CA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Researched DNA foundation models, particularly sequence-to-function models such as AlphaGenome and Enigma. Studied these state-of-the-art models against an OncoExTra tumor cohort,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rescuing 2,554 of 6,087 variants (42%)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 that conventional snpEff annotation had deprioritized.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Built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OncoS2F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, a scientific agent that translates natural-language research requests into executable Enigma, Evo2, and Carbon workflows, automating sequence-context construction, batch embeddings, feature extraction, model routing, and provenance across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13 hosted genomic model endpoints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>, through to downstream modeling with task-specific classification heads.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Built FFPE artifact-risk detection models over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~140 GB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 of paired fresh-frozen and FFPE sequencing data, reaching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ROC-AUC 0.923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 against 0.677 (FFPErase), 0.517 (FFPolish), and 0.509 (FIFA) on the same cohort.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Extended sequence-to-function models from SNVs to structural rearrangements by building a reusable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SV→REF/ALT encoder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 that renders deletions, duplications, inversions, breakends, and fusions as model-ready sequence, and curated an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83,048-fusion training corpus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 across 1,065 cancer types with evidence tiers and leakage-safe splits for supervised fusion modeling.</w:t>
      </w:r>
    </w:p>
    <w:p>
      <w:pPr>
        <w:tabs>
          <w:tab w:pos="10512" w:val="right"/>
        </w:tabs>
        <w:spacing w:before="140" w:after="0" w:line="326" w:lineRule="auto"/>
      </w:pPr>
      <w:r>
        <w:rPr>
          <w:rFonts w:ascii="Helvetica Neue" w:hAnsi="Helvetica Neue" w:cs="Helvetica Neue"/>
          <w:b/>
          <w:i w:val="0"/>
          <w:color w:val="14171A"/>
          <w:sz w:val="19"/>
          <w:u w:val="none"/>
        </w:rPr>
        <w:t xml:space="preserve">Graduate Researcher </w:t>
      </w:r>
      <w:r>
        <w:rPr>
          <w:rFonts w:ascii="Helvetica Neue" w:hAnsi="Helvetica Neue" w:cs="Helvetica Neue"/>
          <w:b/>
          <w:i w:val="0"/>
          <w:color w:val="3A4046"/>
          <w:sz w:val="19"/>
          <w:u w:val="none"/>
        </w:rPr>
        <w:t>— University of Southern California</w:t>
      </w:r>
      <w:r>
        <w:tab/>
      </w:r>
      <w:r>
        <w:rPr>
          <w:rFonts w:ascii="Helvetica Neue" w:hAnsi="Helvetica Neue" w:cs="Helvetica Neue"/>
          <w:b w:val="0"/>
          <w:i w:val="0"/>
          <w:color w:val="717A85"/>
          <w:sz w:val="16"/>
          <w:u w:val="none"/>
        </w:rPr>
        <w:t>Aug 2022 – Present</w:t>
      </w:r>
    </w:p>
    <w:p>
      <w:pPr>
        <w:spacing w:before="10" w:after="0" w:line="326" w:lineRule="auto"/>
      </w:pPr>
      <w:r>
        <w:rPr>
          <w:rFonts w:ascii="Charter" w:hAnsi="Charter" w:cs="Charter"/>
          <w:b w:val="0"/>
          <w:i/>
          <w:color w:val="717A85"/>
          <w:sz w:val="17"/>
          <w:u w:val="none"/>
        </w:rPr>
        <w:t>Biological pathology AI/ML modeling · Advisor: Dr. Liang Chen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Developed a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cross-modality foundation model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 integrating DNA sequence, RNA expression, and spatial transcriptomics to identify tissue-specific disease-risk regions, built around explainability so individual genetic variants map to interpretable spatial microenvironments.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Designed a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self-supervised contrastive learning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 method with GNN/GAT architectures for spatial transcriptomics, enabling integration with large-scale multi-omics cohorts across scRNA-seq, scATAC-seq, and spatial modalities for genetic risk evaluation.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>Proposed a fusion architecture using weighted message-passing GNNs and attention to project GWAS/TWAS signals into spatial embeddings, bridging population-scale genetics with tissue-resolved measurement.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Identified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trans-acting NMD-QTLs across 48 human tissues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>, linking common regulatory variation to nonsense-mediated mRNA decay and exposing a mechanism by which non-coding variants modulate transcript stability and disease risk.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Benchmarked methods for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cell-cycle phase inference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 from single-cell RNA-seq, establishing which approaches stay reliable across datasets and where they break down, giving the field a basis for method selection.</w:t>
      </w:r>
    </w:p>
    <w:p>
      <w:pPr>
        <w:tabs>
          <w:tab w:pos="10512" w:val="right"/>
        </w:tabs>
        <w:spacing w:before="140" w:after="0" w:line="326" w:lineRule="auto"/>
      </w:pPr>
      <w:r>
        <w:rPr>
          <w:rFonts w:ascii="Helvetica Neue" w:hAnsi="Helvetica Neue" w:cs="Helvetica Neue"/>
          <w:b/>
          <w:i w:val="0"/>
          <w:color w:val="14171A"/>
          <w:sz w:val="19"/>
          <w:u w:val="none"/>
        </w:rPr>
        <w:t xml:space="preserve">Graduate Researcher </w:t>
      </w:r>
      <w:r>
        <w:rPr>
          <w:rFonts w:ascii="Helvetica Neue" w:hAnsi="Helvetica Neue" w:cs="Helvetica Neue"/>
          <w:b/>
          <w:i w:val="0"/>
          <w:color w:val="3A4046"/>
          <w:sz w:val="19"/>
          <w:u w:val="none"/>
        </w:rPr>
        <w:t>— Johns Hopkins University</w:t>
      </w:r>
      <w:r>
        <w:tab/>
      </w:r>
      <w:r>
        <w:rPr>
          <w:rFonts w:ascii="Helvetica Neue" w:hAnsi="Helvetica Neue" w:cs="Helvetica Neue"/>
          <w:b w:val="0"/>
          <w:i w:val="0"/>
          <w:color w:val="717A85"/>
          <w:sz w:val="16"/>
          <w:u w:val="none"/>
        </w:rPr>
        <w:t>Oct 2020 – Aug 2022</w:t>
      </w:r>
    </w:p>
    <w:p>
      <w:pPr>
        <w:spacing w:before="10" w:after="0" w:line="326" w:lineRule="auto"/>
      </w:pPr>
      <w:r>
        <w:rPr>
          <w:rFonts w:ascii="Charter" w:hAnsi="Charter" w:cs="Charter"/>
          <w:b w:val="0"/>
          <w:i/>
          <w:color w:val="717A85"/>
          <w:sz w:val="17"/>
          <w:u w:val="none"/>
        </w:rPr>
        <w:t>Statistical genetics · Advisors: Dr. Nilanjan Chatterjee &amp; Dr. Diptavo Dutta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Developed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CSTWAS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>, a subset-based cross-tissue meta-analysis method for transcriptome-wide association studies that raises power over standard single- and multi-tissue tests while identifying which tissues are actually "active" for a gene–trait signal, improving both power and interpretability.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Performed transcriptome- and proteome-wide association studies at bulk and single-cell resolution to identify genes linked to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renal cell carcinoma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>, and contributed to follow-on work partitioning polygenic risk scores to identify cancer-related proteins.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>Modeled GWAS summary statistics jointly with single-cell ATAC-seq to interpret disease etiology at cellular rather than tissue resolution.</w:t>
      </w:r>
    </w:p>
    <w:p>
      <w:pPr>
        <w:tabs>
          <w:tab w:pos="10512" w:val="right"/>
        </w:tabs>
        <w:spacing w:before="140" w:after="0" w:line="326" w:lineRule="auto"/>
      </w:pPr>
      <w:r>
        <w:rPr>
          <w:rFonts w:ascii="Helvetica Neue" w:hAnsi="Helvetica Neue" w:cs="Helvetica Neue"/>
          <w:b/>
          <w:i w:val="0"/>
          <w:color w:val="14171A"/>
          <w:sz w:val="19"/>
          <w:u w:val="none"/>
        </w:rPr>
        <w:t xml:space="preserve">Graduate Researcher </w:t>
      </w:r>
      <w:r>
        <w:rPr>
          <w:rFonts w:ascii="Helvetica Neue" w:hAnsi="Helvetica Neue" w:cs="Helvetica Neue"/>
          <w:b/>
          <w:i w:val="0"/>
          <w:color w:val="3A4046"/>
          <w:sz w:val="19"/>
          <w:u w:val="none"/>
        </w:rPr>
        <w:t>— Johns Hopkins University</w:t>
      </w:r>
      <w:r>
        <w:tab/>
      </w:r>
      <w:r>
        <w:rPr>
          <w:rFonts w:ascii="Helvetica Neue" w:hAnsi="Helvetica Neue" w:cs="Helvetica Neue"/>
          <w:b w:val="0"/>
          <w:i w:val="0"/>
          <w:color w:val="717A85"/>
          <w:sz w:val="16"/>
          <w:u w:val="none"/>
        </w:rPr>
        <w:t>Feb 2021 – Aug 2022</w:t>
      </w:r>
    </w:p>
    <w:p>
      <w:pPr>
        <w:spacing w:before="10" w:after="0" w:line="326" w:lineRule="auto"/>
      </w:pPr>
      <w:r>
        <w:rPr>
          <w:rFonts w:ascii="Charter" w:hAnsi="Charter" w:cs="Charter"/>
          <w:b w:val="0"/>
          <w:i/>
          <w:color w:val="717A85"/>
          <w:sz w:val="17"/>
          <w:u w:val="none"/>
        </w:rPr>
        <w:t>Multi-omics &amp; cancer therapy resistance · Advisors: Dr. Hongkai Ji &amp; Dr. Eneda Toska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Built a comprehensive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RNA-seq, ChIP-seq, and ATAC-seq pipeline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 supporting differential analysis, gene-set enrichment, and motif discovery, which became shared infrastructure across several lab projects.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Elucidated how transcriptional and epigenetic regulators mediate hormone-driven tumor resistance to therapeutics, with the chromatin modifier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KMT2D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 and its methylation by SMYD2 as the central axis.</w:t>
      </w:r>
    </w:p>
    <w:p>
      <w:pPr>
        <w:tabs>
          <w:tab w:pos="10512" w:val="right"/>
        </w:tabs>
        <w:spacing w:before="140" w:after="0" w:line="326" w:lineRule="auto"/>
      </w:pPr>
      <w:r>
        <w:rPr>
          <w:rFonts w:ascii="Helvetica Neue" w:hAnsi="Helvetica Neue" w:cs="Helvetica Neue"/>
          <w:b/>
          <w:i w:val="0"/>
          <w:color w:val="14171A"/>
          <w:sz w:val="19"/>
          <w:u w:val="none"/>
        </w:rPr>
        <w:t xml:space="preserve">Research Assistant </w:t>
      </w:r>
      <w:r>
        <w:rPr>
          <w:rFonts w:ascii="Helvetica Neue" w:hAnsi="Helvetica Neue" w:cs="Helvetica Neue"/>
          <w:b/>
          <w:i w:val="0"/>
          <w:color w:val="3A4046"/>
          <w:sz w:val="19"/>
          <w:u w:val="none"/>
        </w:rPr>
        <w:t>— Washington University in St. Louis</w:t>
      </w:r>
      <w:r>
        <w:tab/>
      </w:r>
      <w:r>
        <w:rPr>
          <w:rFonts w:ascii="Helvetica Neue" w:hAnsi="Helvetica Neue" w:cs="Helvetica Neue"/>
          <w:b w:val="0"/>
          <w:i w:val="0"/>
          <w:color w:val="717A85"/>
          <w:sz w:val="16"/>
          <w:u w:val="none"/>
        </w:rPr>
        <w:t>Jun – Aug 2020</w:t>
      </w:r>
    </w:p>
    <w:p>
      <w:pPr>
        <w:spacing w:before="10" w:after="0" w:line="326" w:lineRule="auto"/>
      </w:pPr>
      <w:r>
        <w:rPr>
          <w:rFonts w:ascii="Charter" w:hAnsi="Charter" w:cs="Charter"/>
          <w:b w:val="0"/>
          <w:i/>
          <w:color w:val="717A85"/>
          <w:sz w:val="17"/>
          <w:u w:val="none"/>
        </w:rPr>
        <w:t>Predictive clinical informatics · Advisors: Dr. Andrew Michelson &amp; Dr. Philip Payne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Built Lasso and logistic-regression models predicting respiratory failure in COVID-19 patients and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implemented them in the Barnes-Jewish Hospital EHR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 — research code that reached live clinical use during the pandemic.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Enabled early identification of high-risk patients,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improving ICU resource allocation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 under acute bed and ventilator constraints during the peak of the pandemic.</w:t>
      </w:r>
    </w:p>
    <w:p>
      <w:pPr>
        <w:spacing w:before="200" w:after="50" w:line="326" w:lineRule="auto"/>
        <w:pBdr>
          <w:bottom w:val="single" w:sz="6" w:space="1" w:color="CCD2D8"/>
        </w:pBdr>
      </w:pPr>
      <w:r>
        <w:rPr>
          <w:rFonts w:ascii="Helvetica Neue" w:hAnsi="Helvetica Neue" w:cs="Helvetica Neue"/>
          <w:b/>
          <w:i w:val="0"/>
          <w:color w:val="3A4046"/>
          <w:sz w:val="15"/>
          <w:u w:val="none"/>
          <w:spacing w:val="26"/>
        </w:rPr>
        <w:t>SELECTED PROJECTS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Trained a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560M-parameter decoder-only LLM from scratch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 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 xml:space="preserve">2025 · 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>github.com/Thewhey-Brian/nanochat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 xml:space="preserve"> — built the full pipeline end to end: Rust BPE tokenizer, data loading, base </w:t>
      </w:r>
      <w:r>
        <w:rPr>
          <w:rFonts w:ascii="Charter" w:hAnsi="Charter" w:cs="Charter"/>
          <w:b/>
          <w:i/>
          <w:color w:val="14171A"/>
          <w:sz w:val="18"/>
          <w:u w:val="none"/>
        </w:rPr>
        <w:t>pretraining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 xml:space="preserve">, midtraining, </w:t>
      </w:r>
      <w:r>
        <w:rPr>
          <w:rFonts w:ascii="Charter" w:hAnsi="Charter" w:cs="Charter"/>
          <w:b/>
          <w:i/>
          <w:color w:val="14171A"/>
          <w:sz w:val="18"/>
          <w:u w:val="none"/>
        </w:rPr>
        <w:t>supervised fine-tuning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 xml:space="preserve">, and </w:t>
      </w:r>
      <w:r>
        <w:rPr>
          <w:rFonts w:ascii="Charter" w:hAnsi="Charter" w:cs="Charter"/>
          <w:b/>
          <w:i/>
          <w:color w:val="14171A"/>
          <w:sz w:val="18"/>
          <w:u w:val="none"/>
        </w:rPr>
        <w:t>reinforcement learning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>, with distributed PyTorch DDP across 8 GPUs, mixed precision, and gradient-synchronization tuning for cluster throughput; evaluated on CORE, ARC, MMLU, GSM8K, and HumanEval.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TAL-Mamba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 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>2025 – 2026 · lead developer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 xml:space="preserve"> — state-space Temporal Action Localization model for long-horizon sequence understanding (2+ hours), with efficient state management over massive temporal datasets, reducing memory usage </w:t>
      </w:r>
      <w:r>
        <w:rPr>
          <w:rFonts w:ascii="Charter" w:hAnsi="Charter" w:cs="Charter"/>
          <w:b/>
          <w:i/>
          <w:color w:val="14171A"/>
          <w:sz w:val="18"/>
          <w:u w:val="none"/>
        </w:rPr>
        <w:t>68%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 xml:space="preserve"> versus Transformer baselines.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Track Mamba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 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>2025 – 2026 · principal architect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 xml:space="preserve"> — linear-complexity SSM tracker for real-time small-object tracking on edge hardware, </w:t>
      </w:r>
      <w:r>
        <w:rPr>
          <w:rFonts w:ascii="Charter" w:hAnsi="Charter" w:cs="Charter"/>
          <w:b/>
          <w:i/>
          <w:color w:val="14171A"/>
          <w:sz w:val="18"/>
          <w:u w:val="none"/>
        </w:rPr>
        <w:t>40% smaller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 xml:space="preserve"> and </w:t>
      </w:r>
      <w:r>
        <w:rPr>
          <w:rFonts w:ascii="Charter" w:hAnsi="Charter" w:cs="Charter"/>
          <w:b/>
          <w:i/>
          <w:color w:val="14171A"/>
          <w:sz w:val="18"/>
          <w:u w:val="none"/>
        </w:rPr>
        <w:t>50% faster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 xml:space="preserve"> than TrackNet baselines at higher precision–recall.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Legal Patent Copilot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 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>2024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 xml:space="preserve"> — retrieval agent for prior-art discovery over 10M+ documents using FAISS indexing and fine-tuned reranking layers, cutting search latency </w:t>
      </w:r>
      <w:r>
        <w:rPr>
          <w:rFonts w:ascii="Charter" w:hAnsi="Charter" w:cs="Charter"/>
          <w:b/>
          <w:i/>
          <w:color w:val="14171A"/>
          <w:sz w:val="18"/>
          <w:u w:val="none"/>
        </w:rPr>
        <w:t>42%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 xml:space="preserve"> with improved recall.</w:t>
      </w:r>
    </w:p>
    <w:p>
      <w:pPr>
        <w:spacing w:before="200" w:after="50" w:line="326" w:lineRule="auto"/>
        <w:pBdr>
          <w:bottom w:val="single" w:sz="6" w:space="1" w:color="CCD2D8"/>
        </w:pBdr>
      </w:pPr>
      <w:r>
        <w:rPr>
          <w:rFonts w:ascii="Helvetica Neue" w:hAnsi="Helvetica Neue" w:cs="Helvetica Neue"/>
          <w:b/>
          <w:i w:val="0"/>
          <w:color w:val="3A4046"/>
          <w:sz w:val="15"/>
          <w:u w:val="none"/>
          <w:spacing w:val="26"/>
        </w:rPr>
        <w:t>SELECTED PUBLICATIONS</w:t>
      </w:r>
    </w:p>
    <w:p>
      <w:pPr>
        <w:tabs>
          <w:tab w:pos="288" w:val="left"/>
        </w:tabs>
        <w:spacing w:before="52" w:after="0" w:line="326" w:lineRule="auto"/>
        <w:ind w:left="288" w:hanging="288"/>
      </w:pPr>
      <w:r>
        <w:rPr>
          <w:rFonts w:ascii="Helvetica Neue" w:hAnsi="Helvetica Neue" w:cs="Helvetica Neue"/>
          <w:b w:val="0"/>
          <w:i w:val="0"/>
          <w:color w:val="717A85"/>
          <w:sz w:val="15"/>
          <w:u w:val="none"/>
        </w:rPr>
        <w:t>1.</w:t>
        <w:tab/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>Guo, X.</w:t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 xml:space="preserve">, Chen, L. From G1 to M: a comparative study of methods for identifying cell cycle phases. 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>Briefings in Bioinformatics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 xml:space="preserve"> (2024).</w:t>
      </w:r>
    </w:p>
    <w:p>
      <w:pPr>
        <w:tabs>
          <w:tab w:pos="288" w:val="left"/>
        </w:tabs>
        <w:spacing w:before="52" w:after="0" w:line="326" w:lineRule="auto"/>
        <w:ind w:left="288" w:hanging="288"/>
      </w:pPr>
      <w:r>
        <w:rPr>
          <w:rFonts w:ascii="Helvetica Neue" w:hAnsi="Helvetica Neue" w:cs="Helvetica Neue"/>
          <w:b w:val="0"/>
          <w:i w:val="0"/>
          <w:color w:val="717A85"/>
          <w:sz w:val="15"/>
          <w:u w:val="none"/>
        </w:rPr>
        <w:t>2.</w:t>
        <w:tab/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>Guo, X.</w:t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 xml:space="preserve">, Chatterjee, N., Dutta, D. Subset-based method for cross-tissue transcriptome-wide association studies improves power and interpretability. 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>Human Genetics and Genomics Advances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 xml:space="preserve"> (2024).</w:t>
      </w:r>
    </w:p>
    <w:p>
      <w:pPr>
        <w:tabs>
          <w:tab w:pos="288" w:val="left"/>
        </w:tabs>
        <w:spacing w:before="52" w:after="0" w:line="326" w:lineRule="auto"/>
        <w:ind w:left="288" w:hanging="288"/>
      </w:pPr>
      <w:r>
        <w:rPr>
          <w:rFonts w:ascii="Helvetica Neue" w:hAnsi="Helvetica Neue" w:cs="Helvetica Neue"/>
          <w:b w:val="0"/>
          <w:i w:val="0"/>
          <w:color w:val="717A85"/>
          <w:sz w:val="15"/>
          <w:u w:val="none"/>
        </w:rPr>
        <w:t>3.</w:t>
        <w:tab/>
      </w:r>
      <w:r>
        <w:rPr>
          <w:rFonts w:ascii="Charter" w:hAnsi="Charter" w:cs="Charter"/>
          <w:b w:val="0"/>
          <w:i w:val="0"/>
          <w:color w:val="3A4046"/>
          <w:sz w:val="17"/>
          <w:u w:val="none"/>
        </w:rPr>
        <w:t xml:space="preserve">Dutta, D., </w:t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>Guo, X.</w:t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 xml:space="preserve">, Winter, T.D., et al. Transcriptome- and proteome-wide association studies identify genes associated with renal cell carcinoma. 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>The American Journal of Human Genetics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 xml:space="preserve"> (2024).</w:t>
      </w:r>
    </w:p>
    <w:p>
      <w:pPr>
        <w:tabs>
          <w:tab w:pos="288" w:val="left"/>
        </w:tabs>
        <w:spacing w:before="52" w:after="0" w:line="326" w:lineRule="auto"/>
        <w:ind w:left="288" w:hanging="288"/>
      </w:pPr>
      <w:r>
        <w:rPr>
          <w:rFonts w:ascii="Helvetica Neue" w:hAnsi="Helvetica Neue" w:cs="Helvetica Neue"/>
          <w:b w:val="0"/>
          <w:i w:val="0"/>
          <w:color w:val="717A85"/>
          <w:sz w:val="15"/>
          <w:u w:val="none"/>
        </w:rPr>
        <w:t>4.</w:t>
        <w:tab/>
      </w:r>
      <w:r>
        <w:rPr>
          <w:rFonts w:ascii="Charter" w:hAnsi="Charter" w:cs="Charter"/>
          <w:b w:val="0"/>
          <w:i w:val="0"/>
          <w:color w:val="3A4046"/>
          <w:sz w:val="17"/>
          <w:u w:val="none"/>
        </w:rPr>
        <w:t xml:space="preserve">Bianchi, A., De Castro Silva, I., … </w:t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>Guo, X.</w:t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 xml:space="preserve">, et al. Cell-autonomous Cxcl1 sustains tolerogenic circuitries and stromal inflammation via neutrophil-derived TNF in pancreatic cancer. 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>Cancer Discovery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 xml:space="preserve"> (2023).</w:t>
      </w:r>
    </w:p>
    <w:p>
      <w:pPr>
        <w:tabs>
          <w:tab w:pos="288" w:val="left"/>
        </w:tabs>
        <w:spacing w:before="52" w:after="0" w:line="326" w:lineRule="auto"/>
        <w:ind w:left="288" w:hanging="288"/>
      </w:pPr>
      <w:r>
        <w:rPr>
          <w:rFonts w:ascii="Helvetica Neue" w:hAnsi="Helvetica Neue" w:cs="Helvetica Neue"/>
          <w:b w:val="0"/>
          <w:i w:val="0"/>
          <w:color w:val="717A85"/>
          <w:sz w:val="15"/>
          <w:u w:val="none"/>
        </w:rPr>
        <w:t>5.</w:t>
        <w:tab/>
      </w:r>
      <w:r>
        <w:rPr>
          <w:rFonts w:ascii="Charter" w:hAnsi="Charter" w:cs="Charter"/>
          <w:b w:val="0"/>
          <w:i w:val="0"/>
          <w:color w:val="3A4046"/>
          <w:sz w:val="17"/>
          <w:u w:val="none"/>
        </w:rPr>
        <w:t xml:space="preserve">Blawski, R., Vokshi, B.H., </w:t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>Guo, X.</w:t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 xml:space="preserve">, et al. Methylation of the chromatin modifier KMT2D by SMYD2 contributes to therapeutic response in hormone-dependent breast cancer. 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>Cell Reports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 xml:space="preserve"> (2024).</w:t>
      </w:r>
    </w:p>
    <w:p>
      <w:pPr>
        <w:tabs>
          <w:tab w:pos="288" w:val="left"/>
        </w:tabs>
        <w:spacing w:before="52" w:after="0" w:line="326" w:lineRule="auto"/>
        <w:ind w:left="288" w:hanging="288"/>
      </w:pPr>
      <w:r>
        <w:rPr>
          <w:rFonts w:ascii="Helvetica Neue" w:hAnsi="Helvetica Neue" w:cs="Helvetica Neue"/>
          <w:b w:val="0"/>
          <w:i w:val="0"/>
          <w:color w:val="717A85"/>
          <w:sz w:val="15"/>
          <w:u w:val="none"/>
        </w:rPr>
        <w:t>6.</w:t>
        <w:tab/>
      </w:r>
      <w:r>
        <w:rPr>
          <w:rFonts w:ascii="Charter" w:hAnsi="Charter" w:cs="Charter"/>
          <w:b w:val="0"/>
          <w:i w:val="0"/>
          <w:color w:val="3A4046"/>
          <w:sz w:val="17"/>
          <w:u w:val="none"/>
        </w:rPr>
        <w:t xml:space="preserve">Kittane, S., Ladewig, E., … </w:t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>Guo, X.</w:t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 xml:space="preserve">, et al. The histone methyltransferase KMT2D mediates subtype-specific transcriptional regulation, lineage plasticity, and therapeutic response in castration-resistant prostate cancer. 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>Cancer Research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 xml:space="preserve"> (2024, 2025).</w:t>
      </w:r>
    </w:p>
    <w:p>
      <w:pPr>
        <w:tabs>
          <w:tab w:pos="288" w:val="left"/>
        </w:tabs>
        <w:spacing w:before="52" w:after="0" w:line="326" w:lineRule="auto"/>
        <w:ind w:left="288" w:hanging="288"/>
      </w:pPr>
      <w:r>
        <w:rPr>
          <w:rFonts w:ascii="Helvetica Neue" w:hAnsi="Helvetica Neue" w:cs="Helvetica Neue"/>
          <w:b w:val="0"/>
          <w:i w:val="0"/>
          <w:color w:val="717A85"/>
          <w:sz w:val="15"/>
          <w:u w:val="none"/>
        </w:rPr>
        <w:t>7.</w:t>
        <w:tab/>
      </w:r>
      <w:r>
        <w:rPr>
          <w:rFonts w:ascii="Charter" w:hAnsi="Charter" w:cs="Charter"/>
          <w:b w:val="0"/>
          <w:i w:val="0"/>
          <w:color w:val="3A4046"/>
          <w:sz w:val="17"/>
          <w:u w:val="none"/>
        </w:rPr>
        <w:t xml:space="preserve">Jagirdar, K., Portuallo, M.E., … </w:t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>Guo, X.</w:t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 xml:space="preserve">, et al. ERK hyperactivation as a unified mechanism of escape in intrinsic and acquired CDK4/6-inhibitor resistance in acral lentiginous melanoma. 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>Oncogene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 xml:space="preserve"> (2024).</w:t>
      </w:r>
    </w:p>
    <w:p>
      <w:pPr>
        <w:tabs>
          <w:tab w:pos="288" w:val="left"/>
        </w:tabs>
        <w:spacing w:before="52" w:after="0" w:line="326" w:lineRule="auto"/>
        <w:ind w:left="288" w:hanging="288"/>
      </w:pPr>
      <w:r>
        <w:rPr>
          <w:rFonts w:ascii="Helvetica Neue" w:hAnsi="Helvetica Neue" w:cs="Helvetica Neue"/>
          <w:b w:val="0"/>
          <w:i w:val="0"/>
          <w:color w:val="717A85"/>
          <w:sz w:val="15"/>
          <w:u w:val="none"/>
        </w:rPr>
        <w:t>8.</w:t>
        <w:tab/>
      </w:r>
      <w:r>
        <w:rPr>
          <w:rFonts w:ascii="Charter" w:hAnsi="Charter" w:cs="Charter"/>
          <w:b w:val="0"/>
          <w:i w:val="0"/>
          <w:color w:val="3A4046"/>
          <w:sz w:val="17"/>
          <w:u w:val="none"/>
        </w:rPr>
        <w:t xml:space="preserve">Dutta, D., Zhang, J., </w:t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>Guo, X.</w:t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 xml:space="preserve">, et al. Leveraging and partitioning polygenic risk scores to identify cancer-related proteins. 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>medRxiv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 xml:space="preserve"> (2025, preprint).</w:t>
      </w:r>
    </w:p>
    <w:p>
      <w:pPr>
        <w:spacing w:before="200" w:after="50" w:line="326" w:lineRule="auto"/>
        <w:pBdr>
          <w:bottom w:val="single" w:sz="6" w:space="1" w:color="CCD2D8"/>
        </w:pBdr>
      </w:pPr>
      <w:r>
        <w:rPr>
          <w:rFonts w:ascii="Helvetica Neue" w:hAnsi="Helvetica Neue" w:cs="Helvetica Neue"/>
          <w:b/>
          <w:i w:val="0"/>
          <w:color w:val="3A4046"/>
          <w:sz w:val="15"/>
          <w:u w:val="none"/>
          <w:spacing w:val="26"/>
        </w:rPr>
        <w:t>TECHNICAL EXPERTISE</w:t>
      </w:r>
    </w:p>
    <w:p>
      <w:pPr>
        <w:spacing w:before="68" w:after="0" w:line="326" w:lineRule="auto"/>
      </w:pPr>
      <w:r>
        <w:rPr>
          <w:rFonts w:ascii="Helvetica Neue" w:hAnsi="Helvetica Neue" w:cs="Helvetica Neue"/>
          <w:b/>
          <w:i w:val="0"/>
          <w:color w:val="7A1F2B"/>
          <w:sz w:val="15"/>
          <w:u w:val="none"/>
          <w:spacing w:val="8"/>
        </w:rPr>
        <w:t xml:space="preserve">AI / ML  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>Genomic foundation models (AlphaGenome, Enigma, Evo2, Carbon, Borzoi, Enformer, DNABERT) · transformers · state-space models (Mamba) · GNN/GAT · self-supervised &amp; contrastive learning · LLM pretraining · agentic systems &amp; tool use · RAG / vector retrieval · leakage-safe evaluation</w:t>
      </w:r>
    </w:p>
    <w:p>
      <w:pPr>
        <w:spacing w:before="68" w:after="0" w:line="326" w:lineRule="auto"/>
      </w:pPr>
      <w:r>
        <w:rPr>
          <w:rFonts w:ascii="Helvetica Neue" w:hAnsi="Helvetica Neue" w:cs="Helvetica Neue"/>
          <w:b/>
          <w:i w:val="0"/>
          <w:color w:val="7A1F2B"/>
          <w:sz w:val="15"/>
          <w:u w:val="none"/>
          <w:spacing w:val="8"/>
        </w:rPr>
        <w:t xml:space="preserve">COMP. BIOLOGY  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>Cancer genomics &amp; precision oncology · variant-effect prediction (SNV, SV, fusion) · regulatory genomics &amp; splicing · GWAS/TWAS · single-cell and spatial transcriptomics · RNA-seq / ChIP-seq / ATAC-seq · NGS somatic calling, FFPE artifacts, VCF · OncoKB, CIViC</w:t>
      </w:r>
    </w:p>
    <w:p>
      <w:pPr>
        <w:spacing w:before="68" w:after="0" w:line="326" w:lineRule="auto"/>
      </w:pPr>
      <w:r>
        <w:rPr>
          <w:rFonts w:ascii="Helvetica Neue" w:hAnsi="Helvetica Neue" w:cs="Helvetica Neue"/>
          <w:b/>
          <w:i w:val="0"/>
          <w:color w:val="7A1F2B"/>
          <w:sz w:val="15"/>
          <w:u w:val="none"/>
          <w:spacing w:val="8"/>
        </w:rPr>
        <w:t xml:space="preserve">ENGINEERING  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>Python · R · C++ · SQL · Bash · TypeScript · PyTorch (DDP/FSDP), PyTorch Geometric, Hugging Face, JAX, scikit-learn, CUDA · FastAPI · React · Nextflow / WDL · DuckDB, Parquet · Docker, Git</w:t>
      </w:r>
    </w:p>
    <w:p>
      <w:pPr>
        <w:spacing w:before="68" w:after="0" w:line="326" w:lineRule="auto"/>
      </w:pPr>
      <w:r>
        <w:rPr>
          <w:rFonts w:ascii="Helvetica Neue" w:hAnsi="Helvetica Neue" w:cs="Helvetica Neue"/>
          <w:b/>
          <w:i w:val="0"/>
          <w:color w:val="7A1F2B"/>
          <w:sz w:val="15"/>
          <w:u w:val="none"/>
          <w:spacing w:val="8"/>
        </w:rPr>
        <w:t xml:space="preserve">CLOUD / SCALE  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>AWS SageMaker GPU inference · Bedrock · HealthOmics · EC2, ECS, S3 · petabyte-scale sequence data on Linux/HPC · multi-GPU (A100) distributed training</w:t>
      </w:r>
    </w:p>
    <w:sectPr w:rsidR="00FC693F" w:rsidRPr="0006063C" w:rsidSect="00034616">
      <w:pgSz w:w="12240" w:h="15840"/>
      <w:pgMar w:top="648" w:right="864" w:bottom="576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