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harter" w:hAnsi="Charter" w:cs="Charter"/>
          <w:b/>
          <w:i w:val="0"/>
          <w:color w:val="14171A"/>
          <w:sz w:val="45"/>
          <w:u w:val="none"/>
        </w:rPr>
        <w:t>Xinyu (Brian) Guo</w:t>
      </w:r>
    </w:p>
    <w:p>
      <w:pPr>
        <w:spacing w:before="80" w:after="0" w:line="240" w:lineRule="auto"/>
      </w:pPr>
      <w:r>
        <w:rPr>
          <w:rFonts w:ascii="Helvetica Neue" w:hAnsi="Helvetica Neue" w:cs="Helvetica Neue"/>
          <w:b/>
          <w:i w:val="0"/>
          <w:color w:val="7A1F2B"/>
          <w:sz w:val="16"/>
          <w:u w:val="none"/>
          <w:spacing w:val="13"/>
        </w:rPr>
        <w:t>GENOMIC FOUNDATION MODELS  ·  CANCER GENOMICS  ·  SCIENTIFIC AI AGENTS</w:t>
      </w:r>
    </w:p>
    <w:p>
      <w:pPr>
        <w:spacing w:before="70" w:after="0" w:line="240" w:lineRule="auto"/>
        <w:pBdr>
          <w:bottom w:val="single" w:sz="10" w:space="1" w:color="14171A"/>
        </w:pBdr>
      </w:pP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>xinyug@usc.edu   ·   (314) 680-8961   ·   Open to relocation   ·   xinyuguo.com   ·   Google Scholar   ·   github.com/Thewhey-Brian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EDUCATION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Ph.D., Computational Biology &amp; Bioinformatics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University of Southern California · 3.95/4.0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Viterbi Fellow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2026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M.S., Biostatistics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Johns Hopkins University · 3.97/4.0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Delta Omega Honor Society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2020 – May 2022</w:t>
      </w:r>
    </w:p>
    <w:p>
      <w:pPr>
        <w:tabs>
          <w:tab w:pos="10512" w:val="right"/>
        </w:tabs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8"/>
          <w:u w:val="none"/>
        </w:rPr>
        <w:t>B.A., Mathematics &amp; Computer Science</w:t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  Washington University in St. Louis · 3.89/4.0 · </w:t>
      </w:r>
      <w:r>
        <w:rPr>
          <w:rFonts w:ascii="Charter" w:hAnsi="Charter" w:cs="Charter"/>
          <w:b w:val="0"/>
          <w:i/>
          <w:color w:val="3A4046"/>
          <w:sz w:val="17"/>
          <w:u w:val="none"/>
        </w:rPr>
        <w:t>Cum Laude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2018 – May 2020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EXPERIENCE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AI Research Scientist Intern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Abbott Cancer Diagnostics (formerly Exact Sciences)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Summer 2026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Genomic AI &amp; precision oncology · San Diego (La Jolla), CA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Researched DNA foundation models, particularly sequence-to-function models such as AlphaGenome and Enigma. Studied these state-of-the-art models against an OncoExTra tumor cohort,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rescuing 2,554 of 6,087 variants (42%)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that conventional snpEff annotation had deprioritized.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OncoS2F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, a scientific agent that translates natural-language research requests into executable Enigma, Evo2, and Carbon workflows, automating sequence-context construction, batch embeddings, feature extraction, model routing, and provenance across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13 hosted genomic model endpoints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through to downstream modeling with task-specific classification heads.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FFPE artifact-risk detection models over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~140 GB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of paired fresh-frozen and FFPE sequencing data, reaching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ROC-AUC 0.923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against 0.677 (FFPErase), 0.517 (FFPolish), and 0.509 (FIFA) on the same cohort, and scaled the pipeline to an 18.6M-row SEQC2 benchmark across five variant callers.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Extended sequence-to-function models from SNVs to structural rearrangements by building a reusable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SV→REF/ALT encoder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that renders deletions, duplications, inversions, breakends, and fusions as model-ready sequence, and curated an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83,048-fusion training corpus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across 1,065 cancer types with evidence tiers and leakage-safe splits for supervised fusion modeling.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University of Southern California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Aug 2022 – Present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Biological pathology AI/ML modeling · Advisor: Dr. Liang Chen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cross-modality foundation model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integrating DNA sequence, RNA expression, and spatial transcriptomics to identify tissue-specific disease-risk regions, built around explainability so individual genetic variants map to interpretable spatial microenvironments.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Designed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self-supervised contrastive learning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method with GNN/GAT architectures for spatial transcriptomics, enabling integration with large-scale multi-omics cohorts across scRNA-seq, scATAC-seq, and spatial modalities for genetic risk evaluation.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Proposed a fusion architecture using weighted message-passing GNNs and attention to project GWAS/TWAS signals into spatial embeddings, bridging population-scale genetics with tissue-resolved measurement.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Identified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trans-acting NMD-QTLs across 48 human tissues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linking common regulatory variation to nonsense-mediated mRNA decay and exposing a mechanism by which non-coding variants modulate transcript stability and disease risk.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Benchmarked methods for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cell-cycle phase inference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from single-cell RNA-seq, establishing which approaches stay reliable across datasets and where they break down, giving the field a basis for method selection rather than convention.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Oct 2020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Statistical genetics · Advisors: Dr. Nilanjan Chatterjee &amp; Dr. Diptavo Dutta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Developed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CSTWAS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 subset-based cross-tissue meta-analysis method for transcriptome-wide association studies that raises power over standard single- and multi-tissue tests while identifying which tissues are actually "active" for a gene–trait signal, improving both power and interpretability.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Performed transcriptome- and proteome-wide association studies at bulk and single-cell resolution to identify genes linked to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renal cell carcinoma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, and contributed to follow-on work partitioning polygenic risk scores to identify cancer-related proteins.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Modeled GWAS summary statistics jointly with single-cell ATAC-seq to interpret disease etiology at cellular rather than tissue resolution.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Graduate Researcher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Johns Hopkins University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Feb 2021 – Aug 2022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Multi-omics &amp; cancer therapy resistance · Advisors: Dr. Hongkai Ji &amp; Dr. Eneda Toska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a comprehensive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RNA-seq, ChIP-seq, and ATAC-seq pipeline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supporting differential analysis, gene-set enrichment, and motif discovery, which became shared infrastructure across several lab projects.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Elucidated how transcriptional and epigenetic regulators mediate hormone-driven tumor resistance to therapeutics, with the chromatin modifier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KMT2D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and its methylation by SMYD2 as the central axis.</w:t>
      </w:r>
    </w:p>
    <w:p>
      <w:pPr>
        <w:tabs>
          <w:tab w:pos="10512" w:val="right"/>
        </w:tabs>
        <w:spacing w:before="140" w:after="0" w:line="326" w:lineRule="auto"/>
      </w:pPr>
      <w:r>
        <w:rPr>
          <w:rFonts w:ascii="Helvetica Neue" w:hAnsi="Helvetica Neue" w:cs="Helvetica Neue"/>
          <w:b/>
          <w:i w:val="0"/>
          <w:color w:val="14171A"/>
          <w:sz w:val="19"/>
          <w:u w:val="none"/>
        </w:rPr>
        <w:t xml:space="preserve">Research Assistant </w:t>
      </w:r>
      <w:r>
        <w:rPr>
          <w:rFonts w:ascii="Helvetica Neue" w:hAnsi="Helvetica Neue" w:cs="Helvetica Neue"/>
          <w:b/>
          <w:i w:val="0"/>
          <w:color w:val="3A4046"/>
          <w:sz w:val="19"/>
          <w:u w:val="none"/>
        </w:rPr>
        <w:t>— Washington University in St. Louis</w:t>
      </w:r>
      <w:r>
        <w:tab/>
      </w:r>
      <w:r>
        <w:rPr>
          <w:rFonts w:ascii="Helvetica Neue" w:hAnsi="Helvetica Neue" w:cs="Helvetica Neue"/>
          <w:b w:val="0"/>
          <w:i w:val="0"/>
          <w:color w:val="717A85"/>
          <w:sz w:val="16"/>
          <w:u w:val="none"/>
        </w:rPr>
        <w:t>Jun – Aug 2020</w:t>
      </w:r>
    </w:p>
    <w:p>
      <w:pPr>
        <w:spacing w:before="10" w:after="0" w:line="326" w:lineRule="auto"/>
      </w:pPr>
      <w:r>
        <w:rPr>
          <w:rFonts w:ascii="Charter" w:hAnsi="Charter" w:cs="Charter"/>
          <w:b w:val="0"/>
          <w:i/>
          <w:color w:val="717A85"/>
          <w:sz w:val="17"/>
          <w:u w:val="none"/>
        </w:rPr>
        <w:t>Predictive clinical informatics · Advisors: Dr. Andrew Michelson &amp; Dr. Philip Payne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Built Lasso and logistic-regression models predicting respiratory failure in COVID-19 patients and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implemented them in the Barnes-Jewish Hospital EHR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— research code that reached live clinical use during the pandemic.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Enabled early identification of high-risk patients,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improving ICU resource allocation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under acute bed and ventilator constraints during the peak of the pandemic.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PROJECTS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Trained a </w:t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560M-parameter decoder-only LLM from scratch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2025 ·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github.com/Thewhey-Brian/nanochat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built the full pipeline end to end: Rust BPE tokenizer, data loading, base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pretraining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midtraining,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supervised fine-tuning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,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reinforcement learning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, with distributed PyTorch DDP across 8 GPUs, mixed precision, and gradient-synchronization tuning for cluster throughput; evaluated on CORE, ARC, MMLU, GSM8K, and HumanEval.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TAL-Mamba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2025 – 2026 · lead developer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state-space Temporal Action Localization model for long-horizon sequence understanding (2+ hours), with efficient state management over massive temporal datasets, reducing memory usage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68%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versus Transformer baselines.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Track Mamba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2025 – 2026 · principal architect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linear-complexity SSM tracker for real-time small-object tracking on edge hardware,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40% smaller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and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50% faster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than TrackNet baselines at higher precision–recall.</w:t>
      </w:r>
    </w:p>
    <w:p>
      <w:pPr>
        <w:tabs>
          <w:tab w:pos="245" w:val="left"/>
        </w:tabs>
        <w:spacing w:before="68" w:after="0" w:line="326" w:lineRule="auto"/>
        <w:ind w:left="245" w:hanging="245"/>
      </w:pPr>
      <w:r>
        <w:rPr>
          <w:rFonts w:ascii="Charter" w:hAnsi="Charter" w:cs="Charter"/>
          <w:b w:val="0"/>
          <w:i w:val="0"/>
          <w:color w:val="A9B1BA"/>
          <w:sz w:val="18"/>
          <w:u w:val="none"/>
        </w:rPr>
        <w:t>–</w:t>
        <w:tab/>
      </w:r>
      <w:r>
        <w:rPr>
          <w:rFonts w:ascii="Charter" w:hAnsi="Charter" w:cs="Charter"/>
          <w:b/>
          <w:i w:val="0"/>
          <w:color w:val="14171A"/>
          <w:sz w:val="18"/>
          <w:u w:val="none"/>
        </w:rPr>
        <w:t>Legal Patent Copilot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 xml:space="preserve"> 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>2024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— retrieval agent for prior-art discovery over 10M+ documents using FAISS indexing and fine-tuned reranking layers, cutting search latency </w:t>
      </w:r>
      <w:r>
        <w:rPr>
          <w:rFonts w:ascii="Charter" w:hAnsi="Charter" w:cs="Charter"/>
          <w:b/>
          <w:i/>
          <w:color w:val="14171A"/>
          <w:sz w:val="18"/>
          <w:u w:val="none"/>
        </w:rPr>
        <w:t>42%</w:t>
      </w:r>
      <w:r>
        <w:rPr>
          <w:rFonts w:ascii="Charter" w:hAnsi="Charter" w:cs="Charter"/>
          <w:b w:val="0"/>
          <w:i/>
          <w:color w:val="3A4046"/>
          <w:sz w:val="18"/>
          <w:u w:val="none"/>
        </w:rPr>
        <w:t xml:space="preserve"> with improved recall.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SELECTED PUBLICATIONS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1.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Chen, L. From G1 to M: a comparative study of methods for identifying cell cycle phases.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Briefings in Bioinformatics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2.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Chatterjee, N., Dutta, D. Subset-based method for cross-tissue transcriptome-wide association studies improves power and interpretability.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Human Genetics and Genomics Advances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3.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Winter, T.D., et al. Transcriptome- and proteome-wide association studies identify genes associated with renal cell carcinoma.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The American Journal of Human Genetics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4.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Bianchi, A., De Castro Silva, I.,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Cell-autonomous Cxcl1 sustains tolerogenic circuitries and stromal inflammation via neutrophil-derived TNF in pancreatic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Discovery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(2023).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5.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Blawski, R., Vokshi, B.H.,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Methylation of the chromatin modifier KMT2D by SMYD2 contributes to therapeutic response in hormone-dependent breast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Cell Reports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6.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Kittane, S., Ladewig, 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The histone methyltransferase KMT2D mediates subtype-specific transcriptional regulation, lineage plasticity, and therapeutic response in castration-resistant prostate cancer.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Cancer Research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(2024, 2025).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7.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Jagirdar, K., Portuallo, M.E., …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ERK hyperactivation as a unified mechanism of escape in intrinsic and acquired CDK4/6-inhibitor resistance in acral lentiginous melanoma.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Oncogene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(2024).</w:t>
      </w:r>
    </w:p>
    <w:p>
      <w:pPr>
        <w:tabs>
          <w:tab w:pos="288" w:val="left"/>
        </w:tabs>
        <w:spacing w:before="52" w:after="0" w:line="326" w:lineRule="auto"/>
        <w:ind w:left="288" w:hanging="288"/>
      </w:pPr>
      <w:r>
        <w:rPr>
          <w:rFonts w:ascii="Helvetica Neue" w:hAnsi="Helvetica Neue" w:cs="Helvetica Neue"/>
          <w:b w:val="0"/>
          <w:i w:val="0"/>
          <w:color w:val="717A85"/>
          <w:sz w:val="15"/>
          <w:u w:val="none"/>
        </w:rPr>
        <w:t>8.</w:t>
        <w:tab/>
      </w:r>
      <w:r>
        <w:rPr>
          <w:rFonts w:ascii="Charter" w:hAnsi="Charter" w:cs="Charter"/>
          <w:b w:val="0"/>
          <w:i w:val="0"/>
          <w:color w:val="3A4046"/>
          <w:sz w:val="17"/>
          <w:u w:val="none"/>
        </w:rPr>
        <w:t xml:space="preserve">Dutta, D., Zhang, J., 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>Guo, X.</w:t>
      </w:r>
      <w:r>
        <w:rPr>
          <w:rFonts w:ascii="Charter" w:hAnsi="Charter" w:cs="Charter"/>
          <w:b w:val="0"/>
          <w:i w:val="0"/>
          <w:color w:val="3A4046"/>
          <w:sz w:val="17"/>
          <w:u w:val="single"/>
        </w:rPr>
        <w:t xml:space="preserve">, et al. Leveraging and partitioning polygenic risk scores to identify cancer-related proteins. 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>medRxiv</w:t>
      </w:r>
      <w:r>
        <w:rPr>
          <w:rFonts w:ascii="Charter" w:hAnsi="Charter" w:cs="Charter"/>
          <w:b w:val="0"/>
          <w:i/>
          <w:color w:val="3A4046"/>
          <w:sz w:val="17"/>
          <w:u w:val="single"/>
        </w:rPr>
        <w:t xml:space="preserve"> (2025, preprint).</w:t>
      </w:r>
    </w:p>
    <w:p>
      <w:pPr>
        <w:spacing w:before="200" w:after="50" w:line="326" w:lineRule="auto"/>
        <w:pBdr>
          <w:bottom w:val="single" w:sz="6" w:space="1" w:color="CCD2D8"/>
        </w:pBdr>
      </w:pPr>
      <w:r>
        <w:rPr>
          <w:rFonts w:ascii="Helvetica Neue" w:hAnsi="Helvetica Neue" w:cs="Helvetica Neue"/>
          <w:b/>
          <w:i w:val="0"/>
          <w:color w:val="3A4046"/>
          <w:sz w:val="15"/>
          <w:u w:val="none"/>
          <w:spacing w:val="26"/>
        </w:rPr>
        <w:t>TECHNICAL EXPERTISE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AI / ML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Genomic foundation models (AlphaGenome, Enigma, Evo2, Carbon, Borzoi, Enformer, DNABERT) · transformers · state-space models (Mamba) · GNN/GAT · self-supervised &amp; contrastive learning · LLM pretraining · agentic systems &amp; tool use · RAG / vector retrieval · leakage-safe evaluation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COMP. BIOLOGY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Cancer genomics &amp; precision oncology · variant-effect prediction (SNV, SV, fusion) · regulatory genomics &amp; splicing · GWAS/TWAS · single-cell and spatial transcriptomics · RNA-seq / ChIP-seq / ATAC-seq · NGS somatic calling, FFPE artifacts, VCF · OncoKB, CIViC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ENGINEERING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Python · R · C++ · SQL · Bash · TypeScript · PyTorch (DDP/FSDP), PyTorch Geometric, Hugging Face, JAX, scikit-learn, CUDA · FastAPI · React · Nextflow / WDL · DuckDB, Parquet · Docker, Git</w:t>
      </w:r>
    </w:p>
    <w:p>
      <w:pPr>
        <w:spacing w:before="68" w:after="0" w:line="326" w:lineRule="auto"/>
      </w:pPr>
      <w:r>
        <w:rPr>
          <w:rFonts w:ascii="Helvetica Neue" w:hAnsi="Helvetica Neue" w:cs="Helvetica Neue"/>
          <w:b/>
          <w:i w:val="0"/>
          <w:color w:val="7A1F2B"/>
          <w:sz w:val="15"/>
          <w:u w:val="none"/>
          <w:spacing w:val="8"/>
        </w:rPr>
        <w:t xml:space="preserve">CLOUD / SCALE  </w:t>
      </w:r>
      <w:r>
        <w:rPr>
          <w:rFonts w:ascii="Charter" w:hAnsi="Charter" w:cs="Charter"/>
          <w:b w:val="0"/>
          <w:i w:val="0"/>
          <w:color w:val="3A4046"/>
          <w:sz w:val="18"/>
          <w:u w:val="none"/>
        </w:rPr>
        <w:t>AWS SageMaker GPU inference · Bedrock · HealthOmics · EC2, ECS, S3 · petabyte-scale sequence data on Linux/HPC · multi-GPU (A100) distributed training</w:t>
      </w:r>
    </w:p>
    <w:sectPr w:rsidR="00FC693F" w:rsidRPr="0006063C" w:rsidSect="00034616">
      <w:pgSz w:w="12240" w:h="15840"/>
      <w:pgMar w:top="648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