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~140 GB of paired fresh-frozen and FFPE sequencing data and evaluated them head-to-head against three published tools on a common cohort,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sequence-to-function models from SNVs to structural rearrangements with a reusable SV→REF/ALT encoder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corpus with leakage-safe splits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and evidence tiers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cross-dataset benchmark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for cell-cycle phase inference from single-cell RNA-seq, defining the evaluation protocol and the failure modes that separate methods which generalize from those that do not.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Shipped Lasso and logistic-regression models predicting respiratory failure in COVID-19 patients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into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where they ran against live patient data during the pandemic peak to flag high-risk patients for ICU triage under acute bed and ventilator constraints.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AlphaGenome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atrial-fibrillation TWAS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xinyuguo.com/projects/ag-twas-alphagenome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scored sequence-model predictions on 858 gene–tissue pairs and 10,120 fine-mapped variant–gene–tissue triplets across 10 GTEx tissues; chromatin tracks enriched for causal variants (ATAC 1.18×, P &lt; 10⁻⁴) while expression predictions held only 55–60% sign accuracy, mapping where sequence models can and cannot substitute for genotype-trained methods.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xinyuguo.com/projects/nanochat-llm-training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State-space sequence models for long-horizon and edge deployment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 /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temporal action localization over 2+ hour sequences with efficient state management, cutting memory 68% versus Transformer baselines;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a linear-complexity real-time small-object tracker 40% smaller and 50% faster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benchmark design &amp;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Ensembl, NCBI, UniProt, PDB,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