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harter" w:hAnsi="Charter" w:cs="Charter"/>
          <w:b/>
          <w:i w:val="0"/>
          <w:color w:val="14171A"/>
          <w:sz w:val="45"/>
          <w:u w:val="none"/>
        </w:rPr>
        <w:t>Xinyu (Brian) Guo</w:t>
      </w:r>
    </w:p>
    <w:p>
      <w:pPr>
        <w:spacing w:before="80" w:after="0" w:line="240" w:lineRule="auto"/>
      </w:pPr>
      <w:r>
        <w:rPr>
          <w:rFonts w:ascii="Helvetica Neue" w:hAnsi="Helvetica Neue" w:cs="Helvetica Neue"/>
          <w:b/>
          <w:i w:val="0"/>
          <w:color w:val="7A1F2B"/>
          <w:sz w:val="16"/>
          <w:u w:val="none"/>
          <w:spacing w:val="13"/>
        </w:rPr>
        <w:t>GENOMIC FOUNDATION MODELS  ·  CANCER GENOMICS  ·  SCIENTIFIC AI AGENTS</w:t>
      </w:r>
    </w:p>
    <w:p>
      <w:pPr>
        <w:spacing w:before="70" w:after="0" w:line="240" w:lineRule="auto"/>
        <w:pBdr>
          <w:bottom w:val="single" w:sz="10" w:space="1" w:color="14171A"/>
        </w:pBdr>
      </w:pP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>xinyug@usc.edu   ·   (314) 680-8961   ·   Open to relocation   ·   xinyuguo.com   ·   github.com/Thewhey-Brian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EDUCATION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Ph.D., Computational Biology &amp; Bioinformatics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University of Southern California · 3.95/4.0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Viterbi Fellow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2022 – 2026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M.S., Biostatistics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Johns Hopkins University · 3.97/4.0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Delta Omega Honor Society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2020 – May 2022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B.A., Mathematics &amp; Computer Science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Washington University in St. Louis · 3.89/4.0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Cum Laude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2018 – May 2020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EXPERIENCE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AI Research Scientist Intern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Abbott Cancer Diagnostics (formerly Exact Sciences)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Summer 2026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Genomic AI &amp; precision oncology · San Diego (La Jolla), CA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Researched DNA foundation models, particularly sequence-to-function models such as AlphaGenome and Enigma. Studied these state-of-the-art models against an OncoExTra tumor cohort,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rescuing 2,554 of 6,087 variants (42%)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that conventional snpEff annotation had deprioritized.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OncoS2F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, a scientific agent that translates natural-language research requests into executable Enigma, Evo2, and Carbon workflows, automating sequence-context construction, batch embeddings, feature extraction, model routing, and provenance across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13 hosted genomic model endpoints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through to downstream modeling with task-specific classification heads.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FFPE artifact-risk detection models over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~140 GB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of paired fresh-frozen and FFPE sequencing data, reaching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ROC-AUC 0.923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against 0.677 (FFPErase), 0.517 (FFPolish), and 0.509 (FIFA) on the same cohort, and scaled the pipeline to an 18.6M-row SEQC2 benchmark across five variant callers.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Extended sequence-to-function models from SNVs to structural rearrangements by building a reusable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SV→REF/ALT encoder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that renders deletions, duplications, inversions, breakends, and fusions as model-ready sequence, and curated an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83,048-fusion training corpus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across 1,065 cancer types with evidence tiers and leakage-safe splits for supervised fusion modeling.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University of Southern California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2022 – Present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Biological pathology AI/ML modeling · Advisor: Dr. Liang Chen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cross-modality foundation model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integrating DNA sequence, RNA expression, and spatial transcriptomics to identify tissue-specific disease-risk regions, built around explainability so individual genetic variants map to interpretable spatial microenvironments.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Designed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self-supervised contrastive learning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method with GNN/GAT architectures for spatial transcriptomics, enabling integration with large-scale multi-omics cohorts across scRNA-seq, scATAC-seq, and spatial modalities for genetic risk evaluation.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Proposed a fusion architecture using weighted message-passing GNNs and attention to project GWAS/TWAS signals into spatial embeddings, bridging population-scale genetics with tissue-resolved measurement.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Identified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trans-acting NMD-QTLs across 48 human tissues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linking common regulatory variation to nonsense-mediated mRNA decay and exposing a mechanism by which non-coding variants modulate transcript stability and disease risk.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Benchmarked methods for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cell-cycle phase inference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from single-cell RNA-seq, establishing which approaches stay reliable across datasets and where they break down, giving the field a basis for method selection rather than convention.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Johns Hopkins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Oct 2020 – Aug 2022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Statistical genetics · Advisors: Dr. Nilanjan Chatterjee &amp; Dr. Diptavo Dutta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CSTWAS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a subset-based cross-tissue meta-analysis method for transcriptome-wide association studies that raises power over standard single- and multi-tissue tests while identifying which tissues are actually "active" for a gene–trait signal, improving both power and interpretability.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Performed transcriptome- and proteome-wide association studies at bulk and single-cell resolution to identify genes linked to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renal cell carcinoma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and contributed to follow-on work partitioning polygenic risk scores to identify cancer-related proteins.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Modeled GWAS summary statistics jointly with single-cell ATAC-seq to interpret disease etiology at cellular rather than tissue resolution.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Johns Hopkins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Feb 2021 – Aug 2022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Multi-omics &amp; cancer therapy resistance · Advisors: Dr. Hongkai Ji &amp; Dr. Eneda Toska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a comprehensive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RNA-seq, ChIP-seq, and ATAC-seq pipeline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supporting differential analysis, gene-set enrichment, and motif discovery, which became shared infrastructure across several lab projects.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Elucidated how transcriptional and epigenetic regulators mediate hormone-driven tumor resistance to therapeutics, with the chromatin modifier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KMT2D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and its methylation by SMYD2 as the central axis.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Research Assistant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Washington University in St. Louis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Jun – Aug 2020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Predictive clinical informatics · Advisors: Dr. Andrew Michelson &amp; Dr. Philip Payne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Lasso and logistic-regression models predicting respiratory failure in COVID-19 patients and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implemented them in the Barnes-Jewish Hospital EHR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— research code that reached live clinical use during the pandemic.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Enabled early identification of high-risk patients,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improving ICU resource allocation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under acute bed and ventilator constraints during the peak of the pandemic.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SELECTED PROJECTS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Trained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560M-parameter decoder-only LLM from scratch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2025 ·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github.com/Thewhey-Brian/nanochat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built the full pipeline end to end: Rust BPE tokenizer, data loading, base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pretraining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midtraining,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supervised fine-tuning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and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reinforcement learning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, with distributed PyTorch DDP across 8 GPUs, mixed precision, and gradient-synchronization tuning for cluster throughput; evaluated on CORE, ARC, MMLU, GSM8K, and HumanEval.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TAL-Mamba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2025 – 2026 · lead developer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state-space Temporal Action Localization model for long-horizon sequence understanding (2+ hours), with efficient state management over massive temporal datasets, reducing memory usage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68%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versus Transformer baselines.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Track Mamba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2025 – 2026 · principal architect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linear-complexity SSM tracker for real-time small-object tracking on edge hardware,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40% smaller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and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50% faster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than TrackNet baselines at higher precision–recall.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Legal Patent Copilot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2024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retrieval agent for prior-art discovery over 10M+ documents using FAISS indexing and fine-tuned reranking layers, cutting search latency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42%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with improved recall.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SELECTED PUBLICATIONS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1.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Chen, L. From G1 to M: a comparative study of methods for identifying cell cycle phases.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Briefings in Bioinformatics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2.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Chatterjee, N., Dutta, D. Subset-based method for cross-tissue transcriptome-wide association studies improves power and interpretability.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Human Genetics and Genomics Advances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3.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Dutta, D.,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Winter, T.D., et al. Transcriptome- and proteome-wide association studies identify genes associated with renal cell carcinoma.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The American Journal of Human Genetics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4.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Bianchi, A., De Castro Silva, I.,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Cell-autonomous Cxcl1 sustains tolerogenic circuitries and stromal inflammation via neutrophil-derived TNF in pancreatic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Cancer Discovery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(2023).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5.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Blawski, R., Vokshi, B.H.,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Methylation of the chromatin modifier KMT2D by SMYD2 contributes to therapeutic response in hormone-dependent breast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Cell Reports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6.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Kittane, S., Ladewig, E.,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The histone methyltransferase KMT2D mediates subtype-specific transcriptional regulation, lineage plasticity, and therapeutic response in castration-resistant prostate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Cancer Research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(2024, 2025).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7.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Jagirdar, K., Portuallo, M.E.,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ERK hyperactivation as a unified mechanism of escape in intrinsic and acquired CDK4/6-inhibitor resistance in acral lentiginous melanoma.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Oncogene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8.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Dutta, D., Zhang, J.,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Leveraging and partitioning polygenic risk scores to identify cancer-related proteins.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medRxiv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(2025, preprint).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TECHNICAL EXPERTISE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AI / ML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Genomic foundation models (AlphaGenome, Enigma, Evo2, Carbon, Borzoi, Enformer, DNABERT) · transformers · state-space models (Mamba) · GNN/GAT · self-supervised &amp; contrastive learning · LLM pretraining · agentic systems &amp; tool use · RAG / vector retrieval · leakage-safe evaluation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COMP. BIOLOGY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Cancer genomics &amp; precision oncology · variant-effect prediction (SNV, SV, fusion) · regulatory genomics &amp; splicing · GWAS/TWAS · single-cell and spatial transcriptomics · RNA-seq / ChIP-seq / ATAC-seq · NGS somatic calling, FFPE artifacts, VCF · OncoKB, CIViC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ENGINEERING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Python · R · C++ · SQL · Bash · TypeScript · PyTorch (DDP/FSDP), PyTorch Geometric, Hugging Face, JAX, scikit-learn, CUDA · FastAPI · React · Nextflow / WDL · DuckDB, Parquet · Docker, Git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CLOUD / SCALE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AWS SageMaker GPU inference · Bedrock · HealthOmics · EC2, ECS, S3 · petabyte-scale sequence data on Linux/HPC · multi-GPU (A100) distributed training</w:t>
      </w:r>
    </w:p>
    <w:sectPr w:rsidR="00FC693F" w:rsidRPr="0006063C" w:rsidSect="00034616">
      <w:pgSz w:w="12240" w:h="15840"/>
      <w:pgMar w:top="648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