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7A5B6">
      <w:pPr>
        <w:pStyle w:val="2"/>
        <w:jc w:val="center"/>
        <w:rPr>
          <w:rFonts w:hint="default" w:ascii="Times New Roman Bold" w:hAnsi="Times New Roman Bold" w:cs="Times New Roman Bold"/>
          <w:b/>
          <w:bCs/>
          <w:sz w:val="30"/>
          <w:szCs w:val="30"/>
        </w:rPr>
      </w:pPr>
      <w:r>
        <w:rPr>
          <w:rFonts w:hint="default" w:ascii="Times New Roman Bold" w:hAnsi="Times New Roman Bold" w:cs="Times New Roman Bold"/>
          <w:b/>
          <w:bCs/>
          <w:sz w:val="30"/>
          <w:szCs w:val="30"/>
        </w:rPr>
        <w:t>MRIO Analysis</w:t>
      </w:r>
    </w:p>
    <w:p w14:paraId="4A66258A">
      <w:pPr>
        <w:pStyle w:val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MRIO Analysis for GHG, Land, and Water Indicators</w:t>
      </w:r>
    </w:p>
    <w:p w14:paraId="55C5428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This document provides a step-by-step explanation of how to conduct Multi-Regional Input-Output (MRIO) analysis focused on three key environmental indicators: Greenhouse Gas Emissions (GHG), Land Use, and Water Use. The analysis uses EXIOBASE-style MRIO data stored in Zarr format and restricts attention to 25 food-related sectors across multiple regions.</w:t>
      </w:r>
    </w:p>
    <w:p w14:paraId="301228C8">
      <w:pPr>
        <w:pStyle w:val="3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1. MRIO Data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with D matrix results</w:t>
      </w:r>
    </w:p>
    <w:p w14:paraId="339BB61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An MRIO model links producers and consumers across multiple regions and sectors, capturing both economic transactions and environmental impacts. The environmental extension matrix D is a 3D tensor with dimensions: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Environmental indicators (f)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Producers (region × sector)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Consumers (region × sector × product)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For this study, we reshape D into a 6D tensor: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E(r, s, r’, s’, p, f), where: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r  = producing region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  = producing sector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r’ = consuming region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s’ = consuming sector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p  = product/final demand category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f  = environmental indicator</w:t>
      </w:r>
    </w:p>
    <w:p w14:paraId="6458A073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2.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Idea: </w:t>
      </w:r>
      <w:r>
        <w:rPr>
          <w:rFonts w:hint="default" w:ascii="Times New Roman Regular" w:hAnsi="Times New Roman Regular" w:cs="Times New Roman Regular"/>
          <w:sz w:val="24"/>
          <w:szCs w:val="24"/>
        </w:rPr>
        <w:t>Selection of Indicators</w:t>
      </w:r>
    </w:p>
    <w:p w14:paraId="039442B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dataset contains 19 environmental indicators. Since not all are relevant to food system sustainability, we focus on three key categories: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GHG (climate change impact)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Land (hectares of land used)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Water (m³ of water used)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To do this, we identify the indices of the three indicators from the metadata (environmental_indicator array) and extract a smaller sub-matrix containing only these three.</w:t>
      </w:r>
    </w:p>
    <w:p w14:paraId="55F5F59D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3.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Idea: </w:t>
      </w:r>
      <w:r>
        <w:rPr>
          <w:rFonts w:hint="default" w:ascii="Times New Roman Regular" w:hAnsi="Times New Roman Regular" w:cs="Times New Roman Regular"/>
          <w:sz w:val="24"/>
          <w:szCs w:val="24"/>
        </w:rPr>
        <w:t>Restricting to Food Sectors</w:t>
      </w:r>
    </w:p>
    <w:p w14:paraId="4BA4ED1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From the 163 sectors available, we select 25 food-related sectors including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crop cultivation, livestock farming, fishing, and food processing</w:t>
      </w:r>
      <w:r>
        <w:rPr>
          <w:rFonts w:hint="default" w:ascii="Times New Roman Regular" w:hAnsi="Times New Roman Regular" w:cs="Times New Roman Regular"/>
          <w:sz w:val="24"/>
          <w:szCs w:val="24"/>
        </w:rPr>
        <w:t>. Only flows originating in these sectors are considered. Producer indices are constructed as (region × number of sectors + sector index).</w:t>
      </w:r>
    </w:p>
    <w:p w14:paraId="354CEEE4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4.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Idea: </w:t>
      </w:r>
      <w:r>
        <w:rPr>
          <w:rFonts w:hint="default" w:ascii="Times New Roman Regular" w:hAnsi="Times New Roman Regular" w:cs="Times New Roman Regular"/>
          <w:sz w:val="24"/>
          <w:szCs w:val="24"/>
        </w:rPr>
        <w:t>Building Food-Specific Dataset</w:t>
      </w:r>
    </w:p>
    <w:p w14:paraId="2039289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For each selected indicator, we loop over food-sector producers and collect flows to all consuming regions, sectors, and products. The result is a tidy DataFrame with columns: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Producer region, Producer sector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Consumer region, Consumer sector, Consumer product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Indicator (GHG, Land, Water)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Value (impact magnitude)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This dataset allows filtering, aggregation, and visualization of environmental impacts across producer-consumer relationships.</w:t>
      </w:r>
    </w:p>
    <w:p w14:paraId="34AF54AE">
      <w:pPr>
        <w:pStyle w:val="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5.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Idea: </w:t>
      </w:r>
      <w:r>
        <w:rPr>
          <w:rFonts w:hint="default" w:ascii="Times New Roman Regular" w:hAnsi="Times New Roman Regular" w:cs="Times New Roman Regular"/>
          <w:sz w:val="24"/>
          <w:szCs w:val="24"/>
        </w:rPr>
        <w:t>Aggregation and Insights</w:t>
      </w:r>
    </w:p>
    <w:p w14:paraId="50F1F33F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Based on D matrix results (Impact: it multiplied T matrix already):</w:t>
      </w:r>
    </w:p>
    <w:p w14:paraId="58B6C8DB">
      <w:pPr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drawing>
          <wp:inline distT="0" distB="0" distL="114300" distR="114300">
            <wp:extent cx="2692400" cy="3063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B0C2">
      <w:pPr>
        <w:rPr>
          <w:rFonts w:hint="default" w:ascii="Times New Roman Regular" w:hAnsi="Times New Roman Regular" w:cs="Times New Roman Regular"/>
          <w:sz w:val="24"/>
          <w:szCs w:val="24"/>
        </w:rPr>
      </w:pPr>
      <w:bookmarkStart w:id="0" w:name="_GoBack"/>
      <w:r>
        <w:drawing>
          <wp:inline distT="0" distB="0" distL="114300" distR="114300">
            <wp:extent cx="3008630" cy="2270760"/>
            <wp:effectExtent l="0" t="0" r="1397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A5DA4E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Once the tidy DataFrame is built, impacts can be summarized in several useful ways: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Total GHG/Land/Water use per food sector.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Footprint per consuming region.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- Trade-related environmental flows between producer and consumer regions.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These summaries reveal which sectors and regions drive the largest impacts, and how consumption patterns in one region depend on resource use in others.</w:t>
      </w:r>
    </w:p>
    <w:p w14:paraId="6C31D47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2240" w:h="15840"/>
      <w:pgMar w:top="1417" w:right="1417" w:bottom="1417" w:left="1417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73F4A"/>
    <w:rsid w:val="7E7FDA5D"/>
    <w:rsid w:val="7F035AA9"/>
    <w:rsid w:val="7FBF6CB5"/>
    <w:rsid w:val="7FE58D17"/>
    <w:rsid w:val="EF8F425D"/>
    <w:rsid w:val="FFEF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396</Words>
  <Characters>2253</Characters>
  <Lines>0</Lines>
  <Paragraphs>0</Paragraphs>
  <TotalTime>8</TotalTime>
  <ScaleCrop>false</ScaleCrop>
  <LinksUpToDate>false</LinksUpToDate>
  <CharactersWithSpaces>2616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MÙI LÊ</cp:lastModifiedBy>
  <dcterms:modified xsi:type="dcterms:W3CDTF">2025-08-25T16:26:21Z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CCC6F868F98FA9257E6FAC68EA7F8C92_42</vt:lpwstr>
  </property>
</Properties>
</file>