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3234" w14:textId="7FADF863" w:rsidR="00594D15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OMNI-SOLUTIONS</w:t>
      </w:r>
    </w:p>
    <w:p w14:paraId="06C3B1CC" w14:textId="7A28A800" w:rsidR="00594D15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Trazendo soluções para monitoramento e controle de temperatura e umidade nas mais diversas indústrias do ramo têxtil.</w:t>
      </w:r>
    </w:p>
    <w:p w14:paraId="73719FCF" w14:textId="77777777" w:rsidR="00FF3C39" w:rsidRDefault="00FF3C39" w:rsidP="71E3CD2A">
      <w:pPr>
        <w:rPr>
          <w:rFonts w:ascii="Century Gothic" w:eastAsia="Century Gothic" w:hAnsi="Century Gothic" w:cs="Century Gothic"/>
          <w:noProof w:val="0"/>
          <w:lang w:val="pt-BR"/>
        </w:rPr>
      </w:pPr>
    </w:p>
    <w:p w14:paraId="52D5A64D" w14:textId="77777777" w:rsidR="00FF3C39" w:rsidRDefault="00FF3C39" w:rsidP="71E3CD2A">
      <w:pPr>
        <w:rPr>
          <w:rFonts w:ascii="Century Gothic" w:eastAsia="Century Gothic" w:hAnsi="Century Gothic" w:cs="Century Gothic"/>
          <w:b/>
          <w:bCs/>
          <w:noProof w:val="0"/>
          <w:lang w:val="pt-BR"/>
        </w:rPr>
      </w:pPr>
      <w:r>
        <w:rPr>
          <w:rFonts w:ascii="Century Gothic" w:eastAsia="Century Gothic" w:hAnsi="Century Gothic" w:cs="Century Gothic"/>
          <w:b/>
          <w:bCs/>
          <w:noProof w:val="0"/>
          <w:lang w:val="pt-BR"/>
        </w:rPr>
        <w:br w:type="page"/>
      </w:r>
    </w:p>
    <w:p w14:paraId="2C078E63" w14:textId="3DF3F39D" w:rsidR="00594D15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lang w:val="pt-BR"/>
        </w:rPr>
        <w:lastRenderedPageBreak/>
        <w:t>INTRODUÇÃO</w:t>
      </w:r>
    </w:p>
    <w:p w14:paraId="1CBDA33F" w14:textId="49218AC4" w:rsidR="71E3CD2A" w:rsidRDefault="71E3CD2A" w:rsidP="71E3CD2A">
      <w:pPr>
        <w:rPr>
          <w:rFonts w:ascii="Century Gothic" w:eastAsia="Century Gothic" w:hAnsi="Century Gothic" w:cs="Century Gothic"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lang w:val="pt-BR"/>
        </w:rPr>
        <w:t xml:space="preserve">A indústria têxtil é uma das mais antigas artes da humanidade, que quando correlacionamos com </w:t>
      </w:r>
      <w:proofErr w:type="spellStart"/>
      <w:r w:rsidRPr="71E3CD2A">
        <w:rPr>
          <w:rFonts w:ascii="Century Gothic" w:eastAsia="Century Gothic" w:hAnsi="Century Gothic" w:cs="Century Gothic"/>
          <w:i/>
          <w:iCs/>
          <w:noProof w:val="0"/>
          <w:lang w:val="pt-BR"/>
        </w:rPr>
        <w:t>IoT</w:t>
      </w:r>
      <w:proofErr w:type="spellEnd"/>
      <w:r w:rsidRPr="71E3CD2A">
        <w:rPr>
          <w:rFonts w:ascii="Century Gothic" w:eastAsia="Century Gothic" w:hAnsi="Century Gothic" w:cs="Century Gothic"/>
          <w:i/>
          <w:iCs/>
          <w:noProof w:val="0"/>
          <w:lang w:val="pt-BR"/>
        </w:rPr>
        <w:t xml:space="preserve"> </w:t>
      </w:r>
      <w:r w:rsidRPr="71E3CD2A">
        <w:rPr>
          <w:rFonts w:ascii="Century Gothic" w:eastAsia="Century Gothic" w:hAnsi="Century Gothic" w:cs="Century Gothic"/>
          <w:noProof w:val="0"/>
          <w:lang w:val="pt-BR"/>
        </w:rPr>
        <w:t xml:space="preserve">por exemplo, pode transparecer à primeira vista de não ser algo tecnológico devido ao </w:t>
      </w:r>
      <w:proofErr w:type="gramStart"/>
      <w:r w:rsidRPr="71E3CD2A">
        <w:rPr>
          <w:rFonts w:ascii="Century Gothic" w:eastAsia="Century Gothic" w:hAnsi="Century Gothic" w:cs="Century Gothic"/>
          <w:noProof w:val="0"/>
          <w:lang w:val="pt-BR"/>
        </w:rPr>
        <w:t>produto final</w:t>
      </w:r>
      <w:proofErr w:type="gramEnd"/>
      <w:r w:rsidRPr="71E3CD2A">
        <w:rPr>
          <w:rFonts w:ascii="Century Gothic" w:eastAsia="Century Gothic" w:hAnsi="Century Gothic" w:cs="Century Gothic"/>
          <w:noProof w:val="0"/>
          <w:lang w:val="pt-BR"/>
        </w:rPr>
        <w:t xml:space="preserve"> ser geralmente um pedaço de pano, sem luzes piscando ou uma conexão WIFI embutida. Mas quando nós voltamos para os setores de design, fabricação e armazenamento, é notável a presença (e a falta) de tecnologias que influenciam a renda do fabricante. </w:t>
      </w:r>
    </w:p>
    <w:p w14:paraId="3A11231F" w14:textId="11386CFE" w:rsidR="71E3CD2A" w:rsidRDefault="71E3CD2A" w:rsidP="71E3CD2A">
      <w:pPr>
        <w:rPr>
          <w:rFonts w:ascii="Century Gothic" w:eastAsia="Century Gothic" w:hAnsi="Century Gothic" w:cs="Century Gothic"/>
          <w:noProof w:val="0"/>
          <w:lang w:val="pt-BR"/>
        </w:rPr>
      </w:pPr>
    </w:p>
    <w:p w14:paraId="5E44366C" w14:textId="1DEBFF04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lang w:val="pt-BR"/>
        </w:rPr>
        <w:t>OBJETIVO</w:t>
      </w:r>
    </w:p>
    <w:p w14:paraId="3E903948" w14:textId="26FEBD37" w:rsidR="71E3CD2A" w:rsidRDefault="71E3CD2A" w:rsidP="71E3CD2A">
      <w:pPr>
        <w:rPr>
          <w:rFonts w:ascii="Century Gothic" w:eastAsia="Century Gothic" w:hAnsi="Century Gothic" w:cs="Century Gothic"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lang w:val="pt-BR"/>
        </w:rPr>
        <w:t>Fornecer dados por meio de um sistema composto por sensores, auxiliando no gerenciamento de temperatura e umidade no armazenamento de tecidos, reduzindo em até 10% a perda de insumos em um período de 6 meses, além de oferecer um maior monitoramento sobre o risco de incêndio local.</w:t>
      </w:r>
    </w:p>
    <w:p w14:paraId="531A951B" w14:textId="201757D2" w:rsidR="71E3CD2A" w:rsidRDefault="71E3CD2A" w:rsidP="71E3CD2A">
      <w:pPr>
        <w:rPr>
          <w:rFonts w:ascii="Century Gothic" w:eastAsia="Century Gothic" w:hAnsi="Century Gothic" w:cs="Century Gothic"/>
          <w:noProof w:val="0"/>
          <w:lang w:val="pt-BR"/>
        </w:rPr>
      </w:pPr>
    </w:p>
    <w:p w14:paraId="6D5C6B09" w14:textId="1E955601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lang w:val="pt-BR"/>
        </w:rPr>
        <w:t>JUSTIFICATIVA</w:t>
      </w:r>
    </w:p>
    <w:p w14:paraId="09541B79" w14:textId="7450CBDB" w:rsidR="71E3CD2A" w:rsidRDefault="71E3CD2A" w:rsidP="71E3CD2A">
      <w:pPr>
        <w:rPr>
          <w:rFonts w:ascii="Century Gothic" w:eastAsia="Century Gothic" w:hAnsi="Century Gothic" w:cs="Century Gothic"/>
          <w:noProof w:val="0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A indústria têxtil tem grande importância para a economia brasileira. O país possui a maior cadeia têxtil completa do Ocidente, com produção média de 1,2 milhão de toneladas de materiais e US$ 2,6 bilhões em exportação no ano de 2019. O setor teve um investimento estimado de 4,5 bilhões de reais no ano de 2020, além de </w:t>
      </w:r>
      <w:r w:rsidRPr="71E3CD2A">
        <w:rPr>
          <w:rFonts w:ascii="Century Gothic" w:eastAsia="Century Gothic" w:hAnsi="Century Gothic" w:cs="Century Gothic"/>
          <w:noProof w:val="0"/>
          <w:lang w:val="pt-BR"/>
        </w:rPr>
        <w:t>representar 19,8% do total de trabalhadores alocados na produção industrial e 5% do valor total da produção da indústria brasileira de transformação.</w:t>
      </w:r>
    </w:p>
    <w:p w14:paraId="7449897A" w14:textId="1034FF62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lang w:val="pt-BR"/>
        </w:rPr>
        <w:t xml:space="preserve">A indústria têxtil engloba a fiação (fios), a tecelagem e malharia (tecidos)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2F47CB59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 controle de umidade relativa do ar é um fator essencial para manter a qualidade desses tecidos, como algodão, couro e seda durante sua fabricação e armazenamento. A falta dele resulta na deterioração dos materiais, causada pela proliferação de microrganismos, como os fungos, que se alimentam das fibras e alteram o aspecto mais importante dos tecidos: a aparência.</w:t>
      </w:r>
    </w:p>
    <w:p w14:paraId="3CF1DC4E" w14:textId="05758A9C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Os problemas no estoque de tecidos afetam diariamente a indústria têxtil mundial. Cerca de 175 mil toneladas de lixo têxtil são produzidas por ano, causando desperdício de material e problemas para o meio ambiente. Isso acontece por conta da umidade excessiva. A cada segundo, o equivalente a um caminhão de lixo de 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lastRenderedPageBreak/>
        <w:t>materiais têxteis é incinerado ou enviado para aterros sanitários. Estima-se que 500 bilhões de dólares sejam perdidos todos os anos com o descarte de roupas que, muitas vezes, tiveram pouco ou nenhum uso.</w:t>
      </w:r>
    </w:p>
    <w:p w14:paraId="22B617C0" w14:textId="068537FE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</w:p>
    <w:p w14:paraId="381414DA" w14:textId="27D7A2D7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ESCOPO (Produtos e Principais Requisitos)</w:t>
      </w:r>
    </w:p>
    <w:p w14:paraId="2BB9279E" w14:textId="6E701A68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 projeto gira em torno de fornecer as indústrias têxteis dados coletados sobre a temperatura e umidade dentro das fábricas em relação ao armazenamento de tecidos. Para a implementação de nosso projeto, cumpriremos prazos específicos, acompanhado de todos os passos e requisitos prescritos abaixo:</w:t>
      </w:r>
    </w:p>
    <w:p w14:paraId="63416D40" w14:textId="50472F87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 prazo para a finalização do projeto está definido para o dia 25 de maio de 2022, sendo entregue para o cliente, com todas as funcionalidades ressaltadas neste documento, tendo como base dos deveres de entrega todas as premissas e restrições (já descritas na documentação), vindo também por cumprir os prazos parciais de entrega, denominados como: Sprint 1 (Finalizada em 02/03/2022), Sprint 2 (Finalizada em 25/04/2022) e Sprint 3 (Finalizada em 30/05/2022).</w:t>
      </w:r>
    </w:p>
    <w:p w14:paraId="7E821372" w14:textId="4741C3A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A ideia final do projeto será a coleta de dados referentes a temperatura e umidade do ambiente em tempo real via sensores DHT11 instalados em placas de Arduino distribuídas pelo ambiente de armazenamento de tecidos dentro das fábricas, e que possuam conexão à Internet para que </w:t>
      </w:r>
      <w:proofErr w:type="gram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os mesmos</w:t>
      </w:r>
      <w:proofErr w:type="gram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enviem os dados recebidos para o MySQL (Banco de dados), assim fornecendo conteúdo para os dashboards do cliente. Ainda na ideia final do projeto, o dito-cujo possuirá um site institucional para fornecer ao público-alvo, informações sobre nossa empresa (tais como: quais problemas buscamos resolver, o lucro previsto para quem contratar nosso serviço, as nossas informações de contato, nossa filosofia etc.), uma página de login e uma de cadastro para, respectivamente, usuários que já possuem o serviço e usuários que buscam contar com o mesmo e por fim os dashboards da empresa cadastrada para a realização de análises.</w:t>
      </w:r>
    </w:p>
    <w:p w14:paraId="2E9544E3" w14:textId="70F64A5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Após a contratação do serviço, o</w:t>
      </w:r>
      <w:r w:rsidRPr="71E3CD2A">
        <w:rPr>
          <w:rFonts w:ascii="Century Gothic" w:eastAsia="Century Gothic" w:hAnsi="Century Gothic" w:cs="Century Gothic"/>
          <w:i/>
          <w:iCs/>
          <w:noProof w:val="0"/>
          <w:color w:val="000000" w:themeColor="text1"/>
          <w:lang w:val="pt-BR"/>
        </w:rPr>
        <w:t xml:space="preserve"> </w:t>
      </w:r>
      <w:proofErr w:type="spellStart"/>
      <w:r w:rsidRPr="71E3CD2A">
        <w:rPr>
          <w:rFonts w:ascii="Century Gothic" w:eastAsia="Century Gothic" w:hAnsi="Century Gothic" w:cs="Century Gothic"/>
          <w:i/>
          <w:iCs/>
          <w:noProof w:val="0"/>
          <w:color w:val="000000" w:themeColor="text1"/>
          <w:lang w:val="pt-BR"/>
        </w:rPr>
        <w:t>Product</w:t>
      </w:r>
      <w:proofErr w:type="spellEnd"/>
      <w:r w:rsidRPr="71E3CD2A">
        <w:rPr>
          <w:rFonts w:ascii="Century Gothic" w:eastAsia="Century Gothic" w:hAnsi="Century Gothic" w:cs="Century Gothic"/>
          <w:i/>
          <w:iCs/>
          <w:noProof w:val="0"/>
          <w:color w:val="000000" w:themeColor="text1"/>
          <w:lang w:val="pt-BR"/>
        </w:rPr>
        <w:t xml:space="preserve"> </w:t>
      </w:r>
      <w:proofErr w:type="spellStart"/>
      <w:r w:rsidRPr="71E3CD2A">
        <w:rPr>
          <w:rFonts w:ascii="Century Gothic" w:eastAsia="Century Gothic" w:hAnsi="Century Gothic" w:cs="Century Gothic"/>
          <w:i/>
          <w:iCs/>
          <w:noProof w:val="0"/>
          <w:color w:val="000000" w:themeColor="text1"/>
          <w:lang w:val="pt-BR"/>
        </w:rPr>
        <w:t>Owner</w:t>
      </w:r>
      <w:proofErr w:type="spellEnd"/>
      <w:r w:rsidRPr="71E3CD2A">
        <w:rPr>
          <w:rFonts w:ascii="Century Gothic" w:eastAsia="Century Gothic" w:hAnsi="Century Gothic" w:cs="Century Gothic"/>
          <w:i/>
          <w:iCs/>
          <w:noProof w:val="0"/>
          <w:color w:val="000000" w:themeColor="text1"/>
          <w:lang w:val="pt-BR"/>
        </w:rPr>
        <w:t xml:space="preserve"> 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da equipe irá realizar uma pesquisa com o cliente, para analisar suas dificuldades, o tamanho do ambiente da empresa e adequar o sistema conforme as necessidades do mesmo. Após a pesquisa, a equipe de técnicos irá se locomover até a localidade da empresa, onde irá iniciar o processo de instalação dos sensores DHT11 (Processo previsto para durar entre 5 </w:t>
      </w:r>
      <w:proofErr w:type="gram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-</w:t>
      </w:r>
      <w:proofErr w:type="gram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7 dias úteis), vale ressaltar que a partir desse ponto a equipe de desenvolvedores, administrada pelo Scrum Master, iniciará o desenvolvimento do Banco de Dados e do Dashboard que será disponibilizado para o cliente conforme a sua necessidade.</w:t>
      </w:r>
    </w:p>
    <w:p w14:paraId="0D4CED68" w14:textId="6A04985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</w:p>
    <w:p w14:paraId="55915FBF" w14:textId="613F6A8E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MARCO DO PROJETO (Milestones)</w:t>
      </w:r>
    </w:p>
    <w:p w14:paraId="0004AC21" w14:textId="5C2DC62F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Reunião do planejamento inicial do projeto – 25/03 </w:t>
      </w:r>
    </w:p>
    <w:p w14:paraId="04BF4AE7" w14:textId="0D850A16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Início das reuniões diárias presenciais – 28/03</w:t>
      </w:r>
    </w:p>
    <w:p w14:paraId="39266E33" w14:textId="02216F7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lastRenderedPageBreak/>
        <w:t>Início da documentação - 29/03</w:t>
      </w:r>
    </w:p>
    <w:p w14:paraId="09A34C75" w14:textId="52D277E4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Entrega da 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Sub-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Sprint 2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A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- 04/4</w:t>
      </w:r>
    </w:p>
    <w:p w14:paraId="0E913BC1" w14:textId="319E3D14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Entrega do 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Sub-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Sprint 2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B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- 11/04 </w:t>
      </w:r>
    </w:p>
    <w:p w14:paraId="69216BCB" w14:textId="340F55FB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Entrega do 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Sub-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Sprint 2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C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- 18/04</w:t>
      </w:r>
    </w:p>
    <w:p w14:paraId="7CFC0C9D" w14:textId="77FC7BFA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Entrega da Sprint 2 – 25/04</w:t>
      </w:r>
    </w:p>
    <w:p w14:paraId="75C81567" w14:textId="2E93CE75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Entrega da Sprint 3 – 30/05</w:t>
      </w:r>
    </w:p>
    <w:p w14:paraId="70CCA9CC" w14:textId="407325E4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</w:p>
    <w:p w14:paraId="3E1169A2" w14:textId="51AD2316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PREMISSAS</w:t>
      </w:r>
    </w:p>
    <w:p w14:paraId="77EA158A" w14:textId="488B27F6" w:rsidR="71E3CD2A" w:rsidRDefault="71E3CD2A" w:rsidP="71E3CD2A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 sensor usado será o de temperatura e umidade;</w:t>
      </w:r>
    </w:p>
    <w:p w14:paraId="41621B3E" w14:textId="4D771150" w:rsidR="71E3CD2A" w:rsidRDefault="71E3CD2A" w:rsidP="71E3CD2A">
      <w:pPr>
        <w:pStyle w:val="PargrafodaLista"/>
        <w:numPr>
          <w:ilvl w:val="0"/>
          <w:numId w:val="6"/>
        </w:numPr>
        <w:rPr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O cliente disponibilizará a infraestrutura dos 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A</w:t>
      </w:r>
      <w:r w:rsidR="00FF3C39"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rdu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i</w:t>
      </w:r>
      <w:r w:rsidR="00FF3C39"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no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s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;</w:t>
      </w:r>
    </w:p>
    <w:p w14:paraId="6B1173D8" w14:textId="00DD9EEE" w:rsidR="71E3CD2A" w:rsidRDefault="71E3CD2A" w:rsidP="71E3CD2A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Processo de instalação previsto para durar entre 5 </w:t>
      </w:r>
      <w:proofErr w:type="gram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-</w:t>
      </w:r>
      <w:proofErr w:type="gram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7 dias úteis;</w:t>
      </w:r>
    </w:p>
    <w:p w14:paraId="7DD8950F" w14:textId="3B806B22" w:rsidR="71E3CD2A" w:rsidRDefault="71E3CD2A" w:rsidP="71E3CD2A">
      <w:pPr>
        <w:pStyle w:val="PargrafodaLista"/>
        <w:numPr>
          <w:ilvl w:val="0"/>
          <w:numId w:val="4"/>
        </w:numPr>
        <w:rPr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 cliente fornecerá o tamanho do local de instalação em metros cúbicos, para identificação da quantidade de sensores disponíveis.</w:t>
      </w:r>
    </w:p>
    <w:p w14:paraId="2F46BF94" w14:textId="5218EE98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p w14:paraId="0BD6935F" w14:textId="35E4C5EC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RESTRIÇÕES</w:t>
      </w:r>
    </w:p>
    <w:p w14:paraId="1AC9C919" w14:textId="25192402" w:rsidR="71E3CD2A" w:rsidRDefault="71E3CD2A" w:rsidP="71E3CD2A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Nosso orçamento será de R$ </w:t>
      </w:r>
      <w:r w:rsidR="00940026" w:rsidRPr="00FF3C39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X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;</w:t>
      </w:r>
    </w:p>
    <w:p w14:paraId="1026C409" w14:textId="7B156C6C" w:rsidR="71E3CD2A" w:rsidRDefault="71E3CD2A" w:rsidP="71E3CD2A">
      <w:pPr>
        <w:pStyle w:val="PargrafodaLista"/>
        <w:numPr>
          <w:ilvl w:val="0"/>
          <w:numId w:val="1"/>
        </w:numPr>
        <w:rPr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Não será </w:t>
      </w:r>
      <w:r w:rsidR="00FF3C39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oferecido o sistema de instalação</w:t>
      </w: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nos finais de semana e feriados;</w:t>
      </w:r>
    </w:p>
    <w:p w14:paraId="244A7A80" w14:textId="5629120A" w:rsidR="71E3CD2A" w:rsidRDefault="71E3CD2A" w:rsidP="71E3CD2A">
      <w:pPr>
        <w:pStyle w:val="PargrafodaLista"/>
        <w:numPr>
          <w:ilvl w:val="0"/>
          <w:numId w:val="1"/>
        </w:numPr>
        <w:rPr>
          <w:noProof w:val="0"/>
          <w:color w:val="000000" w:themeColor="text1"/>
          <w:lang w:val="pt-BR"/>
        </w:rPr>
      </w:pPr>
    </w:p>
    <w:p w14:paraId="5DA18991" w14:textId="42687FCF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p w14:paraId="46754C92" w14:textId="45FFFEEF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EQUIPE ENVOLVIDA</w:t>
      </w:r>
    </w:p>
    <w:p w14:paraId="04ED0F82" w14:textId="6918BCD7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Eduarda Calixto Evangelista - Desenvolvedora</w:t>
      </w:r>
    </w:p>
    <w:p w14:paraId="12A47A7E" w14:textId="1A19A17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Fábio </w:t>
      </w:r>
      <w:proofErr w:type="spell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Ceslaki</w:t>
      </w:r>
      <w:proofErr w:type="spell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Ribeiro – Desenvolvedor </w:t>
      </w:r>
    </w:p>
    <w:p w14:paraId="29612D71" w14:textId="220ECC9A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Gabriel Martins – </w:t>
      </w:r>
      <w:proofErr w:type="spell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Product</w:t>
      </w:r>
      <w:proofErr w:type="spell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</w:t>
      </w:r>
      <w:proofErr w:type="spell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Owner</w:t>
      </w:r>
      <w:proofErr w:type="spell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(P.O) </w:t>
      </w:r>
    </w:p>
    <w:p w14:paraId="4252B10F" w14:textId="3C638870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Thiago Ramos de Jesus – Scrum Master (SM)</w:t>
      </w:r>
    </w:p>
    <w:p w14:paraId="0E175E78" w14:textId="13501A36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Vitor Mendes – Desenvolvedor </w:t>
      </w:r>
    </w:p>
    <w:p w14:paraId="366078CA" w14:textId="74D82064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Wladimir </w:t>
      </w:r>
      <w:proofErr w:type="spell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Condori</w:t>
      </w:r>
      <w:proofErr w:type="spell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</w:t>
      </w:r>
      <w:proofErr w:type="spellStart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Tinini</w:t>
      </w:r>
      <w:proofErr w:type="spellEnd"/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 xml:space="preserve"> - Desenvolvedor</w:t>
      </w:r>
    </w:p>
    <w:p w14:paraId="4AD75232" w14:textId="521EFDCD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</w:p>
    <w:p w14:paraId="2A66A3DA" w14:textId="3090D2F2" w:rsidR="71E3CD2A" w:rsidRDefault="71E3CD2A" w:rsidP="71E3CD2A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  <w:t>SUSTENTAÇÃO</w:t>
      </w:r>
    </w:p>
    <w:p w14:paraId="60D4FDE9" w14:textId="23B07EF8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  <w:t>Visando garantir a estabilidade e a disponibilidade do nosso sistema, terão atividades de manutenção, como:</w:t>
      </w:r>
    </w:p>
    <w:p w14:paraId="5C4D310F" w14:textId="1E6570A5" w:rsidR="71E3CD2A" w:rsidRDefault="71E3CD2A" w:rsidP="71E3CD2A">
      <w:pPr>
        <w:pStyle w:val="PargrafodaLista"/>
        <w:numPr>
          <w:ilvl w:val="0"/>
          <w:numId w:val="7"/>
        </w:numPr>
        <w:spacing w:line="360" w:lineRule="exact"/>
        <w:rPr>
          <w:rFonts w:ascii="Century Gothic" w:eastAsia="Century Gothic" w:hAnsi="Century Gothic" w:cs="Century Gothic"/>
          <w:noProof w:val="0"/>
          <w:color w:val="0A0A0A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A0A0A"/>
          <w:lang w:val="pt-BR"/>
        </w:rPr>
        <w:t>Monitoramento do sistema 24 horas todos os dias;</w:t>
      </w:r>
    </w:p>
    <w:p w14:paraId="22DFA674" w14:textId="1C68791D" w:rsidR="71E3CD2A" w:rsidRDefault="71E3CD2A" w:rsidP="71E3CD2A">
      <w:pPr>
        <w:pStyle w:val="PargrafodaLista"/>
        <w:numPr>
          <w:ilvl w:val="0"/>
          <w:numId w:val="7"/>
        </w:numPr>
        <w:spacing w:line="360" w:lineRule="exact"/>
        <w:rPr>
          <w:rFonts w:ascii="Century Gothic" w:eastAsia="Century Gothic" w:hAnsi="Century Gothic" w:cs="Century Gothic"/>
          <w:noProof w:val="0"/>
          <w:color w:val="0A0A0A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A0A0A"/>
          <w:lang w:val="pt-BR"/>
        </w:rPr>
        <w:lastRenderedPageBreak/>
        <w:t>Monitorar a satisfação dos usuários;</w:t>
      </w:r>
    </w:p>
    <w:p w14:paraId="0BCA9292" w14:textId="641084F7" w:rsidR="71E3CD2A" w:rsidRDefault="71E3CD2A" w:rsidP="71E3CD2A">
      <w:pPr>
        <w:pStyle w:val="PargrafodaLista"/>
        <w:numPr>
          <w:ilvl w:val="0"/>
          <w:numId w:val="7"/>
        </w:numPr>
        <w:spacing w:line="360" w:lineRule="exact"/>
        <w:rPr>
          <w:rFonts w:ascii="Century Gothic" w:eastAsia="Century Gothic" w:hAnsi="Century Gothic" w:cs="Century Gothic"/>
          <w:noProof w:val="0"/>
          <w:color w:val="0A0A0A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A0A0A"/>
          <w:lang w:val="pt-BR"/>
        </w:rPr>
        <w:t>Correção de erros;</w:t>
      </w:r>
    </w:p>
    <w:p w14:paraId="4C32A53E" w14:textId="55A2A1E9" w:rsidR="71E3CD2A" w:rsidRDefault="71E3CD2A" w:rsidP="71E3CD2A">
      <w:pPr>
        <w:pStyle w:val="PargrafodaLista"/>
        <w:numPr>
          <w:ilvl w:val="0"/>
          <w:numId w:val="7"/>
        </w:numPr>
        <w:spacing w:line="360" w:lineRule="exact"/>
        <w:rPr>
          <w:rFonts w:ascii="Century Gothic" w:eastAsia="Century Gothic" w:hAnsi="Century Gothic" w:cs="Century Gothic"/>
          <w:noProof w:val="0"/>
          <w:color w:val="0A0A0A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A0A0A"/>
          <w:lang w:val="pt-BR"/>
        </w:rPr>
        <w:t>Atualizações de aprimoramento;</w:t>
      </w:r>
    </w:p>
    <w:p w14:paraId="0A17B165" w14:textId="6DF4FF80" w:rsidR="71E3CD2A" w:rsidRDefault="71E3CD2A" w:rsidP="71E3CD2A">
      <w:pPr>
        <w:pStyle w:val="PargrafodaLista"/>
        <w:numPr>
          <w:ilvl w:val="0"/>
          <w:numId w:val="7"/>
        </w:numPr>
        <w:spacing w:line="360" w:lineRule="exact"/>
        <w:rPr>
          <w:noProof w:val="0"/>
          <w:color w:val="0A0A0A"/>
          <w:lang w:val="pt-BR"/>
        </w:rPr>
      </w:pPr>
      <w:r w:rsidRPr="71E3CD2A">
        <w:rPr>
          <w:rFonts w:ascii="Century Gothic" w:eastAsia="Century Gothic" w:hAnsi="Century Gothic" w:cs="Century Gothic"/>
          <w:noProof w:val="0"/>
          <w:color w:val="0A0A0A"/>
          <w:lang w:val="pt-BR"/>
        </w:rPr>
        <w:t>Verificar a frequência do fluxo de dados.</w:t>
      </w:r>
    </w:p>
    <w:p w14:paraId="386B921C" w14:textId="082225A1" w:rsidR="71E3CD2A" w:rsidRDefault="71E3CD2A" w:rsidP="71E3CD2A">
      <w:pPr>
        <w:spacing w:line="360" w:lineRule="exact"/>
        <w:rPr>
          <w:rFonts w:ascii="Calibri" w:eastAsia="Calibri" w:hAnsi="Calibri" w:cs="Calibri"/>
          <w:noProof w:val="0"/>
          <w:color w:val="0A0A0A"/>
          <w:sz w:val="27"/>
          <w:szCs w:val="27"/>
          <w:lang w:val="pt-BR"/>
        </w:rPr>
      </w:pPr>
    </w:p>
    <w:p w14:paraId="231D9735" w14:textId="79AFE5F0" w:rsidR="71E3CD2A" w:rsidRDefault="71E3CD2A" w:rsidP="71E3CD2A">
      <w:pPr>
        <w:rPr>
          <w:rFonts w:ascii="Century Gothic" w:eastAsia="Century Gothic" w:hAnsi="Century Gothic" w:cs="Century Gothic"/>
          <w:noProof w:val="0"/>
          <w:color w:val="000000" w:themeColor="text1"/>
          <w:lang w:val="pt-BR"/>
        </w:rPr>
      </w:pPr>
    </w:p>
    <w:sectPr w:rsidR="71E3C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21029" w14:textId="77777777" w:rsidR="00DE0E7F" w:rsidRDefault="00DE0E7F" w:rsidP="00FF3C39">
      <w:pPr>
        <w:spacing w:after="0" w:line="240" w:lineRule="auto"/>
      </w:pPr>
      <w:r>
        <w:separator/>
      </w:r>
    </w:p>
  </w:endnote>
  <w:endnote w:type="continuationSeparator" w:id="0">
    <w:p w14:paraId="59776833" w14:textId="77777777" w:rsidR="00DE0E7F" w:rsidRDefault="00DE0E7F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275A" w14:textId="77777777" w:rsidR="00DE0E7F" w:rsidRDefault="00DE0E7F" w:rsidP="00FF3C39">
      <w:pPr>
        <w:spacing w:after="0" w:line="240" w:lineRule="auto"/>
      </w:pPr>
      <w:r>
        <w:separator/>
      </w:r>
    </w:p>
  </w:footnote>
  <w:footnote w:type="continuationSeparator" w:id="0">
    <w:p w14:paraId="72DE491E" w14:textId="77777777" w:rsidR="00DE0E7F" w:rsidRDefault="00DE0E7F" w:rsidP="00FF3C39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594D15"/>
    <w:rsid w:val="00940026"/>
    <w:rsid w:val="0094074F"/>
    <w:rsid w:val="00CD5E11"/>
    <w:rsid w:val="00DE0E7F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15ed2ee35cb3425d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 COSTA .</cp:lastModifiedBy>
  <cp:revision>3</cp:revision>
  <dcterms:created xsi:type="dcterms:W3CDTF">2022-03-29T11:56:00Z</dcterms:created>
  <dcterms:modified xsi:type="dcterms:W3CDTF">2022-03-30T12:11:00Z</dcterms:modified>
</cp:coreProperties>
</file>