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/docProps/app.xml"/>
</Relationships>
</file>

<file path=word/document.xml><?xml version="1.0" encoding="utf-8"?>
<w:document xmlns:w="http://schemas.openxmlformats.org/wordprocessingml/2006/main">
  <w:body>
    <w:p>
      <w:r>
        <w:t>Minuta resumida para Parceria Público-Privada dos Totens de Videomonitoramento da PMERJ.</w:t>
      </w:r>
    </w:p>
    <w:p>
      <w:r>
        <w:t>Escopo: implantação modular de [N_PONTOS] totens com foco em videomonitoramento ostensivo e redundante.</w:t>
      </w:r>
    </w:p>
    <w:p>
      <w:r>
        <w:t>Modelo de remuneração: CAPEX compartilhado + OPEX indexado a KPIs (Disponibilidade [UPTIME_ALVO], TME detecção, TMA despacho, TMA chegada).</w:t>
      </w:r>
    </w:p>
    <w:p>
      <w:r>
        <w:t>Premissas de conformidade: LGPD (base legal segurança pública, retenção 90 dias), governança de dados com auditoria e trilha completa.</w:t>
      </w:r>
    </w:p>
    <w:p>
      <w:r>
        <w:t>Obrigações do Parceiro Privado: fabricação/instalação, manutenção nível 1/2, backhaul [LINK_PRIMARIO] + contingência 4G, registro no inventário oficial.</w:t>
      </w:r>
    </w:p>
    <w:p>
      <w:r>
        <w:t>Obrigações da PMERJ: fornecimento do espaço, acesso energético, integração com CICC/COPOM, supervisão e aceite, disponibilização de protocolos operacionais.</w:t>
      </w:r>
    </w:p>
    <w:p>
      <w:r>
        <w:t>Mecanismos de pagamento: 40% CAPEX após aceite físico, 60% distribuídos em marcos D0-D30-D60 conforme cronograma paramétrico, OPEX mensal contra KPIs.</w:t>
      </w:r>
    </w:p>
    <w:p>
      <w:r>
        <w:t>Governança: comitê bimestral, matriz de riscos compartilhada, cláusula de step-in em caso de falha &gt; 72h ou descumprimento LGPD.</w:t>
      </w:r>
    </w:p>
    <w:p>
      <w:r>
        <w:t>Case opcional (4º BPM) como anexo sem vincular métricas regionais ao texto principal.</w:t>
      </w:r>
    </w:p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Pages>1</Pages>
  <Words>120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Minuta PPP Totens PMERJ</dc:title>
  <dc:creator>Projeto Câmeras</dc:creator>
  <cp:lastModifiedBy>Codex Agent</cp:lastModifiedBy>
  <dcterms:created xmlns:xsi="http://www.w3.org/2001/XMLSchema-instance" xsi:type="dcterms:W3CDTF">2025-11-12T21:37:47.162115Z</dcterms:created>
</cp:coreProperties>
</file>