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ANÁLISE DE DADOS - JOGOS OLÍMPICOS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O estudo teve como objetivo realizar uma análise de dados provenientes de uma fonte de registros.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Link do Dataset: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https://www.kaggle.com/datasets/heesoo37/120-years-of-olympic-history-athletes-and-results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  <w:t xml:space="preserve"> - Esta consulta retornará um único valor representando o número total de edições distintas dos Jogos Olímpicos na tabela olympics_history na coluna games.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1704975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- Essa consulta retornará uma lista de registros distintos da tabela olympics_history, incluindo as colunas year, season e city, e a ordem será baseada no campo year.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6029325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02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tl w:val="0"/>
        </w:rPr>
        <w:t xml:space="preserve"> - Consulta usando uma subconsulta chamada all_countries para contar o número total de países por jogo olímpico e região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tl w:val="0"/>
        </w:rPr>
        <w:t xml:space="preserve"> - A consulta fornece uma visão das edições dos Jogos Olímpicos, mostrando o menor e o maior número nas edições realizadas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5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-  A consulta retoma países que têm um número de participações igual ao número total de jogos olímpicos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5076825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6</w:t>
      </w:r>
      <w:r w:rsidDel="00000000" w:rsidR="00000000" w:rsidRPr="00000000">
        <w:rPr>
          <w:rtl w:val="0"/>
        </w:rPr>
        <w:t xml:space="preserve"> - A consulta busca informações sobre o número total de jogos distintos na tabela olympics_history no verão (t1). Em seguida, ela seleciona jogos e esportes distintos para a estação de verão (t2). Por fim, conta o número de jogos para cada esporte (t3) e junta essas informações para mostrar os esportes e o número total de jogos para a estação de verão.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4791075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7</w:t>
      </w:r>
      <w:r w:rsidDel="00000000" w:rsidR="00000000" w:rsidRPr="00000000">
        <w:rPr>
          <w:rtl w:val="0"/>
        </w:rPr>
        <w:t xml:space="preserve"> -  A consulta retornará os esportes que têm apenas um jogo na tabela olympics_history, incluindo o nome do jogo.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52482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8</w:t>
      </w:r>
      <w:r w:rsidDel="00000000" w:rsidR="00000000" w:rsidRPr="00000000">
        <w:rPr>
          <w:rtl w:val="0"/>
        </w:rPr>
        <w:t xml:space="preserve"> - A consulta retorna a quantidade de modalidades praticadas em cada edição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592455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7.jpg"/><Relationship Id="rId13" Type="http://schemas.openxmlformats.org/officeDocument/2006/relationships/image" Target="media/image1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4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hyperlink" Target="https://www.kaggle.com/datasets/heesoo37/120-years-of-olympic-history-athletes-and-results" TargetMode="External"/><Relationship Id="rId7" Type="http://schemas.openxmlformats.org/officeDocument/2006/relationships/image" Target="media/image8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