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atividades(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codigo int PRIMARY KEY AUTO_INCREMENT,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atividades varchar(150),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dias_participacao varchar(50),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horario varchar(50),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encontrou_ong varchar(50),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retricao varchar(500)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dados(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codigo int PRIMARY KEY AUTO_INCREMENT,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nome_completo varchar(150),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email varchar(250),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data_nascimento varchar(20),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numero_contato varchar(15),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genero varchar(50),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endereco varchar(254)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incricao(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codigo int PRIMARY KEY AUTO_INCREMENT,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codigo_dados int,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codigo_atividades int,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data_inscricao varchar(20),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FOREIGN KEY (codigo_dados) REFERENCES dados(codigo),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FOREIGN KEY (codigo_atividades) REFERENCES atividades(codigo)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