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325E5AD" w14:textId="267FF4C1" w:rsidR="00C97F9D" w:rsidRDefault="00E0221B">
      <w:r>
        <w:t>DS4200 Design Explanations:</w:t>
      </w:r>
      <w:r w:rsidR="00464E37">
        <w:t xml:space="preserve"> </w:t>
      </w:r>
    </w:p>
    <w:p w14:paraId="679BA550" w14:textId="2B6EA286" w:rsidR="00464E37" w:rsidRDefault="00464E37">
      <w:r>
        <w:t>Group 42</w:t>
      </w:r>
    </w:p>
    <w:p w14:paraId="3E78975F" w14:textId="3671118E" w:rsidR="00464E37" w:rsidRDefault="00464E37">
      <w:r>
        <w:t>By: Samuel Gioffre, Nicholas Sparrow, Thiago Fasolo</w:t>
      </w:r>
    </w:p>
    <w:p w14:paraId="5B9446F0" w14:textId="7A0F6F14" w:rsidR="00E0221B" w:rsidRDefault="00E0221B">
      <w:r>
        <w:t xml:space="preserve">Visualization 1: </w:t>
      </w:r>
    </w:p>
    <w:p w14:paraId="5CE20B71" w14:textId="670917EC" w:rsidR="00E0221B" w:rsidRDefault="00E0221B">
      <w:r>
        <w:t>This interactive risk-return scatter plot enables multi-dimensional analysis of hedge fund performance through strategic encoding and user control. The chart positions funds by risk (x-axis) and return (y-axis), with circle size representing A</w:t>
      </w:r>
      <w:r>
        <w:t>UM</w:t>
      </w:r>
      <w:r>
        <w:t xml:space="preserve"> and color indicating investment strategy. The design's key strength is its layered interactivity: users can filter by minimum fund size via slider and highlight specific strategies through legend selection, while unselected points remain faintly visible (0.02 opacity) rather than disappearing entirely. This approach preserves dataset context while enabling focused analysis. The comprehensive tooltip provides detailed fund metrics on demand, keeping the visual clean while ensuring information accessibility. Together, these elements create an effective exploratory tool that balances simplicity with analytical depth.</w:t>
      </w:r>
    </w:p>
    <w:p w14:paraId="6B812575" w14:textId="3EB7015D" w:rsidR="00E0221B" w:rsidRDefault="00E0221B">
      <w:r>
        <w:t>Visualization 2:</w:t>
      </w:r>
    </w:p>
    <w:p w14:paraId="55A2AEE7" w14:textId="70295BE8" w:rsidR="00E0221B" w:rsidRDefault="00E0221B">
      <w:r>
        <w:t>This boxplot visualization compares the distribution of Sharpe Ratios across different hedge fund strategies, enabling quick assessment of risk-adjusted performance consistency. The chart orders strategies by median Sharpe Ratio (descending), immediately highlighting which strategies deliver the best risk-adjusted returns. Boxplots effectively show the full distribution</w:t>
      </w:r>
      <w:r>
        <w:t xml:space="preserve">, </w:t>
      </w:r>
      <w:r>
        <w:t>median, quartiles, and outliers</w:t>
      </w:r>
      <w:r>
        <w:t xml:space="preserve">, </w:t>
      </w:r>
      <w:r>
        <w:t xml:space="preserve">revealing not just average performance but also consistency and variability within each strategy. Color encoding by strategy reinforces categorical distinctions without requiring a separate legend, keeping the visual clean. </w:t>
      </w:r>
    </w:p>
    <w:p w14:paraId="0E3F248F" w14:textId="390C2007" w:rsidR="00E0221B" w:rsidRDefault="00E0221B">
      <w:r>
        <w:t>Visualization 3:</w:t>
      </w:r>
    </w:p>
    <w:p w14:paraId="1BF5C059" w14:textId="01C437CB" w:rsidR="00E0221B" w:rsidRDefault="00E0221B">
      <w:r>
        <w:t xml:space="preserve">This heatmap reveals temporal performance patterns across hedge fund strategies by aggregating monthly returns from September 2024 through September 2025. The visualization uses a diverging red-blue color scheme centered at zero, making it immediately apparent which strategies outperformed (blue) or underperformed (red) in specific months. By scaling the color domain to the 5th-95th percentile range rather than absolute min-max, the design prevents extreme outliers from washing out meaningful variation in the central distribution, ensuring color differences remain visually informative. The aggregation to mean returns by strategy-month combination reduces noise from individual fund volatility while highlighting broader strategic trends. </w:t>
      </w:r>
    </w:p>
    <w:p w14:paraId="418EFBA5" w14:textId="77777777" w:rsidR="00E0221B" w:rsidRDefault="00E0221B"/>
    <w:p w14:paraId="58944B92" w14:textId="77777777" w:rsidR="00E0221B" w:rsidRDefault="00E0221B"/>
    <w:p w14:paraId="1B3BBE27" w14:textId="77777777" w:rsidR="00E0221B" w:rsidRDefault="00E0221B"/>
    <w:p w14:paraId="2A0F225B" w14:textId="7F828F59" w:rsidR="00E0221B" w:rsidRDefault="00E0221B">
      <w:r>
        <w:t>Visualization 4:</w:t>
      </w:r>
    </w:p>
    <w:p w14:paraId="0E8EBE51" w14:textId="753D3D91" w:rsidR="00E0221B" w:rsidRDefault="00E0221B">
      <w:r>
        <w:t xml:space="preserve">This scatter plot investigates the relationship between fund size and risk-adjusted performance, addressing the critical question of whether larger assets under management correlate with better Sharpe Ratios. The x-axis uses a logarithmic transformation of </w:t>
      </w:r>
      <w:proofErr w:type="spellStart"/>
      <w:r>
        <w:t>AuM</w:t>
      </w:r>
      <w:proofErr w:type="spellEnd"/>
      <w:r>
        <w:t xml:space="preserve"> to handle the massive range in fund sizes (from millions to billions), ensuring smaller funds remain visible while preventing large outliers from compressing the scale. The chart filters out extreme Sharpe Ratio outliers (&gt;5) to maintain focus on the realistic performance range. </w:t>
      </w:r>
      <w:r>
        <w:t>This</w:t>
      </w:r>
      <w:r>
        <w:t xml:space="preserve"> visualization </w:t>
      </w:r>
      <w:r>
        <w:t xml:space="preserve">has </w:t>
      </w:r>
      <w:r>
        <w:t>unselected strategies completely hidden (opacity 0.0) rather than faded, allowing users to cleanly isolate individual strategies for clearer pattern recognition. The legend-bound selection enables effortless exploration of whether the size-performance relationship varies by strategy type.</w:t>
      </w:r>
    </w:p>
    <w:p w14:paraId="6557D6F8" w14:textId="25519366" w:rsidR="00E0221B" w:rsidRDefault="00E0221B">
      <w:r>
        <w:t xml:space="preserve">Visualization 5: </w:t>
      </w:r>
    </w:p>
    <w:p w14:paraId="53159E3C" w14:textId="572C104A" w:rsidR="00E0221B" w:rsidRDefault="00E0221B">
      <w:r>
        <w:t xml:space="preserve">This histogram reveals the distributional characteristics of annualized returns across all hedge funds, providing crucial context for performance expectations and risk assessment. The 40-bin granularity captures fine-grained variation in the return distribution while maintaining readability, and the semi-transparent bars (opacity 0.6) allow overlapping reference lines to remain visible. The visualization overlays mean (red dashed) and median (green dashed) lines, which serve a diagnostic purpose: the gap between these measures immediately reveals the distribution's right skew, indicating that a small number of high-performing outliers pull the mean above the median. The binned tooltip provides exact count information for each return range, enabling users to assess not just where the center of the distribution lies, but also the prevalence of extreme outcomes. </w:t>
      </w:r>
    </w:p>
    <w:p w14:paraId="6A47E65A" w14:textId="6191B2C5" w:rsidR="00E0221B" w:rsidRDefault="00E0221B">
      <w:r>
        <w:t>Visualization 6:</w:t>
      </w:r>
    </w:p>
    <w:p w14:paraId="3D610CD7" w14:textId="3D4BA099" w:rsidR="00E0221B" w:rsidRDefault="00E0221B">
      <w:r>
        <w:t>This heatmap provides a comprehensive comparative analysis of hedge fund strategies across five key performance metrics, using min-max normalization to enable fair comparison despite vastly different scales (e.g., Sharpe Ratios vs. percentage returns). By aggregating funds to the strategy level and normalizing each metric independently to a 0-1 scale, the visualization reveals relative strengths and weaknesses across strategies</w:t>
      </w:r>
      <w:r>
        <w:t xml:space="preserve">, </w:t>
      </w:r>
      <w:r>
        <w:t xml:space="preserve">darker cells indicate superior performance on that specific metric. </w:t>
      </w:r>
      <w:r>
        <w:t>The inversion</w:t>
      </w:r>
      <w:r>
        <w:t xml:space="preserve"> of Maximum Drawdown to "Drawdown Protection" ensures all metrics are directionally consistent (higher is better), making the heatmap intuitively readable. The rectangular encoding creates a compact matrix view that facilitates pattern recognition</w:t>
      </w:r>
      <w:r>
        <w:t>.</w:t>
      </w:r>
    </w:p>
    <w:p w14:paraId="50340475" w14:textId="77777777" w:rsidR="006B749F" w:rsidRDefault="006B749F"/>
    <w:p w14:paraId="555517F0" w14:textId="77777777" w:rsidR="006B749F" w:rsidRDefault="006B749F"/>
    <w:p w14:paraId="73805804" w14:textId="58B62F16" w:rsidR="006B749F" w:rsidRDefault="006B749F">
      <w:r>
        <w:t>Visualization 7 (D3):</w:t>
      </w:r>
    </w:p>
    <w:p w14:paraId="10935A8B" w14:textId="69A3801A" w:rsidR="006B749F" w:rsidRDefault="006B749F">
      <w:r>
        <w:t xml:space="preserve">This interactive bar chart enables dynamic comparison of hedge fund strategies across three key performance metrics through a dropdown menu, leveraging D3's data-join pattern to create smooth animated transitions between views. The horizontal bar orientation with strategies on the y-axis accommodates long strategy names while maintaining readability, and bars are sorted in descending order by value to immediately highlight top performers. The design handles negative values intelligently by anchoring bars at zero and extending left or right as needed, which is particularly important for metrics like returns that can be negative. Animated transitions (600ms duration) provide visual continuity when switching metrics, helping users maintain context about which strategies are being </w:t>
      </w:r>
      <w:r>
        <w:t>compared</w:t>
      </w:r>
      <w:r>
        <w:t>. The log-transformed A</w:t>
      </w:r>
      <w:r>
        <w:t>U</w:t>
      </w:r>
      <w:r>
        <w:t>M preprocessing ensures extreme outliers don't distort analysis, while the dynamic x-axis rescaling (</w:t>
      </w:r>
      <w:proofErr w:type="spellStart"/>
      <w:r>
        <w:t>maxVal</w:t>
      </w:r>
      <w:proofErr w:type="spellEnd"/>
      <w:r>
        <w:t xml:space="preserve"> × 1.1) optimizes space usage for each metric's range. Tooltips provide precise values on hover, combining the exploratory power of the visual ranking with exact numerical data. </w:t>
      </w:r>
    </w:p>
    <w:sectPr w:rsidR="006B749F">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ourier New">
    <w:panose1 w:val="02070309020205020404"/>
    <w:charset w:val="00"/>
    <w:family w:val="modern"/>
    <w:pitch w:val="fixed"/>
    <w:sig w:usb0="E0002AFF" w:usb1="C0007843"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9"/>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0221B"/>
    <w:rsid w:val="00464E37"/>
    <w:rsid w:val="006806DE"/>
    <w:rsid w:val="006B749F"/>
    <w:rsid w:val="00C97F9D"/>
    <w:rsid w:val="00DE2CA8"/>
    <w:rsid w:val="00E0221B"/>
    <w:rsid w:val="00E76949"/>
    <w:rsid w:val="00FE3FBA"/>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ecimalSymbol w:val="."/>
  <w:listSeparator w:val=","/>
  <w14:docId w14:val="361B4B7F"/>
  <w15:chartTrackingRefBased/>
  <w15:docId w15:val="{464D0B8B-81ED-2D45-8AE7-E59E6778A75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E0221B"/>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E0221B"/>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E0221B"/>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E0221B"/>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E0221B"/>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E0221B"/>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E0221B"/>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E0221B"/>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E0221B"/>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E0221B"/>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E0221B"/>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E0221B"/>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E0221B"/>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E0221B"/>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E0221B"/>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E0221B"/>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E0221B"/>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E0221B"/>
    <w:rPr>
      <w:rFonts w:eastAsiaTheme="majorEastAsia" w:cstheme="majorBidi"/>
      <w:color w:val="272727" w:themeColor="text1" w:themeTint="D8"/>
    </w:rPr>
  </w:style>
  <w:style w:type="paragraph" w:styleId="Title">
    <w:name w:val="Title"/>
    <w:basedOn w:val="Normal"/>
    <w:next w:val="Normal"/>
    <w:link w:val="TitleChar"/>
    <w:uiPriority w:val="10"/>
    <w:qFormat/>
    <w:rsid w:val="00E0221B"/>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E0221B"/>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E0221B"/>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E0221B"/>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E0221B"/>
    <w:pPr>
      <w:spacing w:before="160"/>
      <w:jc w:val="center"/>
    </w:pPr>
    <w:rPr>
      <w:i/>
      <w:iCs/>
      <w:color w:val="404040" w:themeColor="text1" w:themeTint="BF"/>
    </w:rPr>
  </w:style>
  <w:style w:type="character" w:customStyle="1" w:styleId="QuoteChar">
    <w:name w:val="Quote Char"/>
    <w:basedOn w:val="DefaultParagraphFont"/>
    <w:link w:val="Quote"/>
    <w:uiPriority w:val="29"/>
    <w:rsid w:val="00E0221B"/>
    <w:rPr>
      <w:i/>
      <w:iCs/>
      <w:color w:val="404040" w:themeColor="text1" w:themeTint="BF"/>
    </w:rPr>
  </w:style>
  <w:style w:type="paragraph" w:styleId="ListParagraph">
    <w:name w:val="List Paragraph"/>
    <w:basedOn w:val="Normal"/>
    <w:uiPriority w:val="34"/>
    <w:qFormat/>
    <w:rsid w:val="00E0221B"/>
    <w:pPr>
      <w:ind w:left="720"/>
      <w:contextualSpacing/>
    </w:pPr>
  </w:style>
  <w:style w:type="character" w:styleId="IntenseEmphasis">
    <w:name w:val="Intense Emphasis"/>
    <w:basedOn w:val="DefaultParagraphFont"/>
    <w:uiPriority w:val="21"/>
    <w:qFormat/>
    <w:rsid w:val="00E0221B"/>
    <w:rPr>
      <w:i/>
      <w:iCs/>
      <w:color w:val="0F4761" w:themeColor="accent1" w:themeShade="BF"/>
    </w:rPr>
  </w:style>
  <w:style w:type="paragraph" w:styleId="IntenseQuote">
    <w:name w:val="Intense Quote"/>
    <w:basedOn w:val="Normal"/>
    <w:next w:val="Normal"/>
    <w:link w:val="IntenseQuoteChar"/>
    <w:uiPriority w:val="30"/>
    <w:qFormat/>
    <w:rsid w:val="00E0221B"/>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E0221B"/>
    <w:rPr>
      <w:i/>
      <w:iCs/>
      <w:color w:val="0F4761" w:themeColor="accent1" w:themeShade="BF"/>
    </w:rPr>
  </w:style>
  <w:style w:type="character" w:styleId="IntenseReference">
    <w:name w:val="Intense Reference"/>
    <w:basedOn w:val="DefaultParagraphFont"/>
    <w:uiPriority w:val="32"/>
    <w:qFormat/>
    <w:rsid w:val="00E0221B"/>
    <w:rPr>
      <w:b/>
      <w:bCs/>
      <w:smallCaps/>
      <w:color w:val="0F4761" w:themeColor="accent1" w:themeShade="BF"/>
      <w:spacing w:val="5"/>
    </w:rPr>
  </w:style>
  <w:style w:type="character" w:styleId="HTMLCode">
    <w:name w:val="HTML Code"/>
    <w:basedOn w:val="DefaultParagraphFont"/>
    <w:uiPriority w:val="99"/>
    <w:semiHidden/>
    <w:unhideWhenUsed/>
    <w:rsid w:val="00E0221B"/>
    <w:rPr>
      <w:rFonts w:ascii="Courier New" w:eastAsia="Times New Roman" w:hAnsi="Courier New" w:cs="Courier New"/>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9</TotalTime>
  <Pages>3</Pages>
  <Words>905</Words>
  <Characters>5159</Characters>
  <Application>Microsoft Office Word</Application>
  <DocSecurity>0</DocSecurity>
  <Lines>42</Lines>
  <Paragraphs>12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6052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Sam Gioffre</dc:creator>
  <cp:keywords/>
  <dc:description/>
  <cp:lastModifiedBy>Sam Gioffre</cp:lastModifiedBy>
  <cp:revision>2</cp:revision>
  <dcterms:created xsi:type="dcterms:W3CDTF">2025-12-10T14:52:00Z</dcterms:created>
  <dcterms:modified xsi:type="dcterms:W3CDTF">2025-12-10T15:05:00Z</dcterms:modified>
</cp:coreProperties>
</file>