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t>COMMERCEHUB</w:t>
        <w:br/>
      </w:r>
      <w:r>
        <w:rPr>
          <w:b/>
          <w:sz w:val="56"/>
        </w:rPr>
        <w:t>Plano de Execução P1</w:t>
        <w:br/>
      </w:r>
      <w:r>
        <w:t>Validar a demonstração ponta a ponta</w:t>
        <w:br/>
        <w:br/>
        <w:t>Runbook para execução, observabilidade e coleta de evidências reais</w:t>
      </w:r>
    </w:p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Documento</w:t>
            </w:r>
          </w:p>
        </w:tc>
        <w:tc>
          <w:tcPr>
            <w:tcW w:type="dxa" w:w="5040"/>
            <w:vAlign w:val="center"/>
          </w:tcPr>
          <w:p>
            <w:r>
              <w:t>CommerceHub_P1_Plano_Validacao_E2E</w:t>
            </w:r>
          </w:p>
        </w:tc>
      </w:tr>
      <w:tr>
        <w:tc>
          <w:tcPr>
            <w:tcW w:type="dxa" w:w="5040"/>
            <w:vAlign w:val="center"/>
          </w:tcPr>
          <w:p>
            <w:r>
              <w:t>Versão</w:t>
            </w:r>
          </w:p>
        </w:tc>
        <w:tc>
          <w:tcPr>
            <w:tcW w:type="dxa" w:w="5040"/>
            <w:vAlign w:val="center"/>
          </w:tcPr>
          <w:p>
            <w: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</w:t>
            </w:r>
          </w:p>
        </w:tc>
        <w:tc>
          <w:tcPr>
            <w:tcW w:type="dxa" w:w="5040"/>
            <w:vAlign w:val="center"/>
          </w:tcPr>
          <w:p>
            <w:r>
              <w:t>15/10/2026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Prioridade</w:t>
            </w:r>
          </w:p>
        </w:tc>
        <w:tc>
          <w:tcPr>
            <w:tcW w:type="dxa" w:w="5040"/>
            <w:vAlign w:val="center"/>
          </w:tcPr>
          <w:p>
            <w:r>
              <w:t>P1</w:t>
            </w:r>
          </w:p>
        </w:tc>
      </w:tr>
      <w:tr>
        <w:tc>
          <w:tcPr>
            <w:tcW w:type="dxa" w:w="5040"/>
            <w:vAlign w:val="center"/>
          </w:tcPr>
          <w:p>
            <w:r>
              <w:t>Objetivo</w:t>
            </w:r>
          </w:p>
        </w:tc>
        <w:tc>
          <w:tcPr>
            <w:tcW w:type="dxa" w:w="5040"/>
            <w:vAlign w:val="center"/>
          </w:tcPr>
          <w:p>
            <w:r>
              <w:t>Executar e provar os principais fluxos do CommerceHub em ambiente reproduzível, coletando evidências funcionais, Kafka, tracing, métricas, logs e infraestrutura.</w:t>
            </w:r>
          </w:p>
        </w:tc>
      </w:tr>
      <w:tr>
        <w:tc>
          <w:tcPr>
            <w:tcW w:type="dxa" w:w="5040"/>
            <w:vAlign w:val="center"/>
          </w:tcPr>
          <w:p>
            <w:r>
              <w:t>Pré-requisito</w:t>
            </w:r>
          </w:p>
        </w:tc>
        <w:tc>
          <w:tcPr>
            <w:tcW w:type="dxa" w:w="5040"/>
            <w:vAlign w:val="center"/>
          </w:tcPr>
          <w:p>
            <w:r>
              <w:t>P0 — tratamento da chave privada JWT concluído ou, no mínimo, a correção aplicada no ambiente de validação.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</w:rPr>
              <w:t>Princípio</w:t>
              <w:br/>
            </w:r>
            <w:r>
              <w:t>O objetivo não é apenas 'testar'. É produzir uma demonstração reproduzível em que cada resultado importante tenha evidência verificável e possa ser apresentado a um cliente, recrutador ou avaliador técnico.</w:t>
            </w:r>
          </w:p>
        </w:tc>
      </w:tr>
    </w:tbl>
    <w:p>
      <w:r>
        <w:br w:type="page"/>
      </w:r>
    </w:p>
    <w:p>
      <w:pPr>
        <w:pStyle w:val="Heading1"/>
      </w:pPr>
      <w:r>
        <w:t>1. Resultado esperado do P1</w:t>
      </w:r>
    </w:p>
    <w:p>
      <w:pPr>
        <w:pStyle w:val="ListBullet"/>
      </w:pPr>
      <w:r>
        <w:t>Demonstrar login/autorização.</w:t>
      </w:r>
    </w:p>
    <w:p>
      <w:pPr>
        <w:pStyle w:val="ListBullet"/>
      </w:pPr>
      <w:r>
        <w:t>Demonstrar criação de pedido e integração Order → Product.</w:t>
      </w:r>
    </w:p>
    <w:p>
      <w:pPr>
        <w:pStyle w:val="ListBullet"/>
      </w:pPr>
      <w:r>
        <w:t>Demonstrar publicação/consumo de eventos Kafka.</w:t>
      </w:r>
    </w:p>
    <w:p>
      <w:pPr>
        <w:pStyle w:val="ListBullet"/>
      </w:pPr>
      <w:r>
        <w:t>Demonstrar reserva de estoque bem-sucedida e InventoryReserved.</w:t>
      </w:r>
    </w:p>
    <w:p>
      <w:pPr>
        <w:pStyle w:val="ListBullet"/>
      </w:pPr>
      <w:r>
        <w:t>Demonstrar atualização do pedido para CONFIRMED.</w:t>
      </w:r>
    </w:p>
    <w:p>
      <w:pPr>
        <w:pStyle w:val="ListBullet"/>
      </w:pPr>
      <w:r>
        <w:t>Demonstrar reserva malsucedida e InventoryReservationFailed.</w:t>
      </w:r>
    </w:p>
    <w:p>
      <w:pPr>
        <w:pStyle w:val="ListBullet"/>
      </w:pPr>
      <w:r>
        <w:t>Demonstrar compensação/alteração de estado para CANCELLED.</w:t>
      </w:r>
    </w:p>
    <w:p>
      <w:pPr>
        <w:pStyle w:val="ListBullet"/>
      </w:pPr>
      <w:r>
        <w:t>Demonstrar Outbox e idempotência quando aplicável.</w:t>
      </w:r>
    </w:p>
    <w:p>
      <w:pPr>
        <w:pStyle w:val="ListBullet"/>
      </w:pPr>
      <w:r>
        <w:t>Demonstrar uma transação ponta a ponta no Jaeger.</w:t>
      </w:r>
    </w:p>
    <w:p>
      <w:pPr>
        <w:pStyle w:val="ListBullet"/>
      </w:pPr>
      <w:r>
        <w:t>Demonstrar métricas e saúde dos serviços no Prometheus/Grafana.</w:t>
      </w:r>
    </w:p>
    <w:p>
      <w:pPr>
        <w:pStyle w:val="ListBullet"/>
      </w:pPr>
      <w:r>
        <w:t>Guardar evidências versionáveis ou anexáveis sem incluir segredos.</w:t>
      </w:r>
    </w:p>
    <w:p>
      <w:pPr>
        <w:pStyle w:val="Heading1"/>
      </w:pPr>
      <w:r>
        <w:t>2. Ferramentas recomendadas para geração das evidências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Uso no P1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Evidência</w:t>
            </w:r>
          </w:p>
        </w:tc>
      </w:tr>
      <w:tr>
        <w:tc>
          <w:tcPr>
            <w:tcW w:type="dxa" w:w="3360"/>
            <w:vAlign w:val="center"/>
          </w:tcPr>
          <w:p>
            <w:r>
              <w:t>Swagger UI / OpenAPI</w:t>
            </w:r>
          </w:p>
        </w:tc>
        <w:tc>
          <w:tcPr>
            <w:tcW w:type="dxa" w:w="3360"/>
            <w:vAlign w:val="center"/>
          </w:tcPr>
          <w:p>
            <w:r>
              <w:t>Executar APIs manualmente</w:t>
            </w:r>
          </w:p>
        </w:tc>
        <w:tc>
          <w:tcPr>
            <w:tcW w:type="dxa" w:w="3360"/>
            <w:vAlign w:val="center"/>
          </w:tcPr>
          <w:p>
            <w:r>
              <w:t>Request/response e contrato</w:t>
            </w:r>
          </w:p>
        </w:tc>
      </w:tr>
      <w:tr>
        <w:tc>
          <w:tcPr>
            <w:tcW w:type="dxa" w:w="3360"/>
            <w:vAlign w:val="center"/>
          </w:tcPr>
          <w:p>
            <w:r>
              <w:t>curl</w:t>
            </w:r>
          </w:p>
        </w:tc>
        <w:tc>
          <w:tcPr>
            <w:tcW w:type="dxa" w:w="3360"/>
            <w:vAlign w:val="center"/>
          </w:tcPr>
          <w:p>
            <w:r>
              <w:t>Cenários reproduzíveis via script</w:t>
            </w:r>
          </w:p>
        </w:tc>
        <w:tc>
          <w:tcPr>
            <w:tcW w:type="dxa" w:w="3360"/>
            <w:vAlign w:val="center"/>
          </w:tcPr>
          <w:p>
            <w:r>
              <w:t>Comandos + respostas</w:t>
            </w:r>
          </w:p>
        </w:tc>
      </w:tr>
      <w:tr>
        <w:tc>
          <w:tcPr>
            <w:tcW w:type="dxa" w:w="3360"/>
            <w:vAlign w:val="center"/>
          </w:tcPr>
          <w:p>
            <w:r>
              <w:t>Bruno ou Postman</w:t>
            </w:r>
          </w:p>
        </w:tc>
        <w:tc>
          <w:tcPr>
            <w:tcW w:type="dxa" w:w="3360"/>
            <w:vAlign w:val="center"/>
          </w:tcPr>
          <w:p>
            <w:r>
              <w:t>Coleções de cenários</w:t>
            </w:r>
          </w:p>
        </w:tc>
        <w:tc>
          <w:tcPr>
            <w:tcW w:type="dxa" w:w="3360"/>
            <w:vAlign w:val="center"/>
          </w:tcPr>
          <w:p>
            <w:r>
              <w:t>Coleção/export + screenshots</w:t>
            </w:r>
          </w:p>
        </w:tc>
      </w:tr>
      <w:tr>
        <w:tc>
          <w:tcPr>
            <w:tcW w:type="dxa" w:w="3360"/>
            <w:vAlign w:val="center"/>
          </w:tcPr>
          <w:p>
            <w:r>
              <w:t>jq</w:t>
            </w:r>
          </w:p>
        </w:tc>
        <w:tc>
          <w:tcPr>
            <w:tcW w:type="dxa" w:w="3360"/>
            <w:vAlign w:val="center"/>
          </w:tcPr>
          <w:p>
            <w:r>
              <w:t>Extrair orderId/eventId/token claims sem ruído</w:t>
            </w:r>
          </w:p>
        </w:tc>
        <w:tc>
          <w:tcPr>
            <w:tcW w:type="dxa" w:w="3360"/>
            <w:vAlign w:val="center"/>
          </w:tcPr>
          <w:p>
            <w:r>
              <w:t>Saída textual limpa</w:t>
            </w:r>
          </w:p>
        </w:tc>
      </w:tr>
      <w:tr>
        <w:tc>
          <w:tcPr>
            <w:tcW w:type="dxa" w:w="3360"/>
            <w:vAlign w:val="center"/>
          </w:tcPr>
          <w:p>
            <w:r>
              <w:t>Kafka CLI / ferramentas do projeto</w:t>
            </w:r>
          </w:p>
        </w:tc>
        <w:tc>
          <w:tcPr>
            <w:tcW w:type="dxa" w:w="3360"/>
            <w:vAlign w:val="center"/>
          </w:tcPr>
          <w:p>
            <w:r>
              <w:t>Inspecionar tópicos/eventos</w:t>
            </w:r>
          </w:p>
        </w:tc>
        <w:tc>
          <w:tcPr>
            <w:tcW w:type="dxa" w:w="3360"/>
            <w:vAlign w:val="center"/>
          </w:tcPr>
          <w:p>
            <w:r>
              <w:t>Payload + timestamp + 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Jaeger UI</w:t>
            </w:r>
          </w:p>
        </w:tc>
        <w:tc>
          <w:tcPr>
            <w:tcW w:type="dxa" w:w="3360"/>
            <w:vAlign w:val="center"/>
          </w:tcPr>
          <w:p>
            <w:r>
              <w:t>Tracing distribuído</w:t>
            </w:r>
          </w:p>
        </w:tc>
        <w:tc>
          <w:tcPr>
            <w:tcW w:type="dxa" w:w="3360"/>
            <w:vAlign w:val="center"/>
          </w:tcPr>
          <w:p>
            <w:r>
              <w:t>Trace, spans, duração e erro</w:t>
            </w:r>
          </w:p>
        </w:tc>
      </w:tr>
      <w:tr>
        <w:tc>
          <w:tcPr>
            <w:tcW w:type="dxa" w:w="3360"/>
            <w:vAlign w:val="center"/>
          </w:tcPr>
          <w:p>
            <w:r>
              <w:t>OpenTelemetry</w:t>
            </w:r>
          </w:p>
        </w:tc>
        <w:tc>
          <w:tcPr>
            <w:tcW w:type="dxa" w:w="3360"/>
            <w:vAlign w:val="center"/>
          </w:tcPr>
          <w:p>
            <w:r>
              <w:t>Correlação entre serviços</w:t>
            </w:r>
          </w:p>
        </w:tc>
        <w:tc>
          <w:tcPr>
            <w:tcW w:type="dxa" w:w="3360"/>
            <w:vAlign w:val="center"/>
          </w:tcPr>
          <w:p>
            <w:r>
              <w:t>trace/span context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Prometheus</w:t>
            </w:r>
          </w:p>
        </w:tc>
        <w:tc>
          <w:tcPr>
            <w:tcW w:type="dxa" w:w="3360"/>
            <w:vAlign w:val="center"/>
          </w:tcPr>
          <w:p>
            <w:r>
              <w:t>Métricas técnicas</w:t>
            </w:r>
          </w:p>
        </w:tc>
        <w:tc>
          <w:tcPr>
            <w:tcW w:type="dxa" w:w="3360"/>
            <w:vAlign w:val="center"/>
          </w:tcPr>
          <w:p>
            <w:r>
              <w:t>Queries e screenshots</w:t>
            </w:r>
          </w:p>
        </w:tc>
      </w:tr>
      <w:tr>
        <w:tc>
          <w:tcPr>
            <w:tcW w:type="dxa" w:w="3360"/>
            <w:vAlign w:val="center"/>
          </w:tcPr>
          <w:p>
            <w:r>
              <w:t>Grafana</w:t>
            </w:r>
          </w:p>
        </w:tc>
        <w:tc>
          <w:tcPr>
            <w:tcW w:type="dxa" w:w="3360"/>
            <w:vAlign w:val="center"/>
          </w:tcPr>
          <w:p>
            <w:r>
              <w:t>Dashboards</w:t>
            </w:r>
          </w:p>
        </w:tc>
        <w:tc>
          <w:tcPr>
            <w:tcW w:type="dxa" w:w="3360"/>
            <w:vAlign w:val="center"/>
          </w:tcPr>
          <w:p>
            <w:r>
              <w:t>Painéis e screenshots</w:t>
            </w:r>
          </w:p>
        </w:tc>
      </w:tr>
      <w:tr>
        <w:tc>
          <w:tcPr>
            <w:tcW w:type="dxa" w:w="3360"/>
            <w:vAlign w:val="center"/>
          </w:tcPr>
          <w:p>
            <w:r>
              <w:t>OpenShift Console / oc</w:t>
            </w:r>
          </w:p>
        </w:tc>
        <w:tc>
          <w:tcPr>
            <w:tcW w:type="dxa" w:w="3360"/>
            <w:vAlign w:val="center"/>
          </w:tcPr>
          <w:p>
            <w:r>
              <w:t>Pods, logs, rollout, resources</w:t>
            </w:r>
          </w:p>
        </w:tc>
        <w:tc>
          <w:tcPr>
            <w:tcW w:type="dxa" w:w="3360"/>
            <w:vAlign w:val="center"/>
          </w:tcPr>
          <w:p>
            <w:r>
              <w:t>Estado do deployment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Docker/Podman</w:t>
            </w:r>
          </w:p>
        </w:tc>
        <w:tc>
          <w:tcPr>
            <w:tcW w:type="dxa" w:w="3360"/>
            <w:vAlign w:val="center"/>
          </w:tcPr>
          <w:p>
            <w:r>
              <w:t>Ambiente local reproduzível</w:t>
            </w:r>
          </w:p>
        </w:tc>
        <w:tc>
          <w:tcPr>
            <w:tcW w:type="dxa" w:w="3360"/>
            <w:vAlign w:val="center"/>
          </w:tcPr>
          <w:p>
            <w:r>
              <w:t>Logs, containers, imagens</w:t>
            </w:r>
          </w:p>
        </w:tc>
      </w:tr>
      <w:tr>
        <w:tc>
          <w:tcPr>
            <w:tcW w:type="dxa" w:w="3360"/>
            <w:vAlign w:val="center"/>
          </w:tcPr>
          <w:p>
            <w:r>
              <w:t>GitHub Actions</w:t>
            </w:r>
          </w:p>
        </w:tc>
        <w:tc>
          <w:tcPr>
            <w:tcW w:type="dxa" w:w="3360"/>
            <w:vAlign w:val="center"/>
          </w:tcPr>
          <w:p>
            <w:r>
              <w:t>Build/test/publish</w:t>
            </w:r>
          </w:p>
        </w:tc>
        <w:tc>
          <w:tcPr>
            <w:tcW w:type="dxa" w:w="3360"/>
            <w:vAlign w:val="center"/>
          </w:tcPr>
          <w:p>
            <w:r>
              <w:t>Run verde + logs dos jobs</w:t>
            </w:r>
          </w:p>
        </w:tc>
      </w:tr>
      <w:tr>
        <w:tc>
          <w:tcPr>
            <w:tcW w:type="dxa" w:w="3360"/>
            <w:vAlign w:val="center"/>
          </w:tcPr>
          <w:p>
            <w:r>
              <w:t>Oracle SQL*Plus/cliente SQL</w:t>
            </w:r>
          </w:p>
        </w:tc>
        <w:tc>
          <w:tcPr>
            <w:tcW w:type="dxa" w:w="3360"/>
            <w:vAlign w:val="center"/>
          </w:tcPr>
          <w:p>
            <w:r>
              <w:t>Confirmar estado persistido</w:t>
            </w:r>
          </w:p>
        </w:tc>
        <w:tc>
          <w:tcPr>
            <w:tcW w:type="dxa" w:w="3360"/>
            <w:vAlign w:val="center"/>
          </w:tcPr>
          <w:p>
            <w:r>
              <w:t>Queries de auditoria</w:t>
            </w:r>
          </w:p>
        </w:tc>
      </w:tr>
      <w:tr>
        <w:tc>
          <w:tcPr>
            <w:tcW w:type="dxa" w:w="3360"/>
            <w:vAlign w:val="center"/>
          </w:tcPr>
          <w:p>
            <w:r>
              <w:t>Git</w:t>
            </w:r>
          </w:p>
        </w:tc>
        <w:tc>
          <w:tcPr>
            <w:tcW w:type="dxa" w:w="3360"/>
            <w:vAlign w:val="center"/>
          </w:tcPr>
          <w:p>
            <w:r>
              <w:t>Versionar scripts/evidências não sensíveis</w:t>
            </w:r>
          </w:p>
        </w:tc>
        <w:tc>
          <w:tcPr>
            <w:tcW w:type="dxa" w:w="3360"/>
            <w:vAlign w:val="center"/>
          </w:tcPr>
          <w:p>
            <w:r>
              <w:t>Commit reproduzível</w:t>
            </w:r>
          </w:p>
        </w:tc>
      </w:tr>
    </w:tbl>
    <w:p>
      <w:pPr>
        <w:pStyle w:val="Heading1"/>
      </w:pPr>
      <w:r>
        <w:t>3. Estrutura de evidências</w:t>
      </w:r>
    </w:p>
    <w:p>
      <w:r>
        <w:t>Criar uma estrutura fora do código-fonte sensível. Sugestão:</w:t>
      </w:r>
    </w:p>
    <w:p>
      <w:pPr>
        <w:ind w:left="360"/>
      </w:pPr>
      <w:r>
        <w:rPr>
          <w:rFonts w:ascii="Consolas" w:hAnsi="Consolas"/>
          <w:sz w:val="17"/>
        </w:rPr>
        <w:t>docs/evidence/p1/</w:t>
        <w:br/>
        <w:t>├── README.md</w:t>
        <w:br/>
        <w:t>├── 01-login/</w:t>
        <w:br/>
        <w:t>│   ├── request.txt</w:t>
        <w:br/>
        <w:t>│   ├── response.txt</w:t>
        <w:br/>
        <w:t>│   └── screenshot.png</w:t>
        <w:br/>
        <w:t>├── 02-order-success/</w:t>
        <w:br/>
        <w:t>│   ├── request.json</w:t>
        <w:br/>
        <w:t>│   ├── response.json</w:t>
        <w:br/>
        <w:t>│   ├── kafka-event.json</w:t>
        <w:br/>
        <w:t>│   ├── db-state.txt</w:t>
        <w:br/>
        <w:t>│   ├── trace.txt</w:t>
        <w:br/>
        <w:t>│   └── screenshots/</w:t>
        <w:br/>
        <w:t>├── 03-order-inventory-failure/</w:t>
        <w:br/>
        <w:t>│   ├── request.json</w:t>
        <w:br/>
        <w:t>│   ├── response.json</w:t>
        <w:br/>
        <w:t>│   ├── failure-event.json</w:t>
        <w:br/>
        <w:t>│   ├── db-state.txt</w:t>
        <w:br/>
        <w:t>│   └── trace.txt</w:t>
        <w:br/>
        <w:t>├── 04-idempotency/</w:t>
        <w:br/>
        <w:t>├── 05-observability/</w:t>
        <w:br/>
        <w:t>└── SUMMARY.md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</w:rPr>
              <w:t>Regra</w:t>
              <w:br/>
            </w:r>
            <w:r>
              <w:t>Não armazenar JWTs completos, senhas, private keys, tokens de acesso, connection strings ou dados pessoais reais nas evidências. Quando necessário, mascarar valores.</w:t>
            </w:r>
          </w:p>
        </w:tc>
      </w:tr>
    </w:tbl>
    <w:p>
      <w:pPr>
        <w:pStyle w:val="Heading1"/>
      </w:pPr>
      <w:r>
        <w:t>4. Fluxograma principal — Saga ponta a ponta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25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rcehub_p1_fluxo_e2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diagrama representa os dois caminhos que obrigatoriamente devem ser demonstrados: sucesso e falha de reserva.</w:t>
      </w:r>
    </w:p>
    <w:p>
      <w:pPr>
        <w:pStyle w:val="Heading1"/>
      </w:pPr>
      <w:r>
        <w:t>5. Preparação do ambiente</w:t>
      </w:r>
    </w:p>
    <w:p>
      <w:pPr>
        <w:pStyle w:val="ListNumber"/>
      </w:pPr>
      <w:r>
        <w:t>Fazer checkout do commit/branch que contém o P0 concluído.</w:t>
      </w:r>
    </w:p>
    <w:p>
      <w:pPr>
        <w:pStyle w:val="ListNumber"/>
      </w:pPr>
      <w:r>
        <w:t>Executar a suíte automatizada.</w:t>
      </w:r>
    </w:p>
    <w:p>
      <w:pPr>
        <w:pStyle w:val="ListNumber"/>
      </w:pPr>
      <w:r>
        <w:t>Subir dependências e os quatro serviços pelo método oficialmente documentado no README.</w:t>
      </w:r>
    </w:p>
    <w:p>
      <w:pPr>
        <w:pStyle w:val="ListNumber"/>
      </w:pPr>
      <w:r>
        <w:t>Confirmar health/readiness de User, Product, Order e Inventory.</w:t>
      </w:r>
    </w:p>
    <w:p>
      <w:pPr>
        <w:pStyle w:val="ListNumber"/>
      </w:pPr>
      <w:r>
        <w:t>Confirmar Kafka disponível.</w:t>
      </w:r>
    </w:p>
    <w:p>
      <w:pPr>
        <w:pStyle w:val="ListNumber"/>
      </w:pPr>
      <w:r>
        <w:t>Confirmar Oracle disponível e migrações aplicadas.</w:t>
      </w:r>
    </w:p>
    <w:p>
      <w:pPr>
        <w:pStyle w:val="ListNumber"/>
      </w:pPr>
      <w:r>
        <w:t>Confirmar Jaeger recebendo traces.</w:t>
      </w:r>
    </w:p>
    <w:p>
      <w:pPr>
        <w:pStyle w:val="ListNumber"/>
      </w:pPr>
      <w:r>
        <w:t>Confirmar Prometheus coletando métricas.</w:t>
      </w:r>
    </w:p>
    <w:p>
      <w:pPr>
        <w:pStyle w:val="ListNumber"/>
      </w:pPr>
      <w:r>
        <w:t>Confirmar Grafana com dashboards funcionais.</w:t>
      </w:r>
    </w:p>
    <w:p>
      <w:pPr>
        <w:pStyle w:val="ListNumber"/>
      </w:pPr>
      <w:r>
        <w:t>Se usar OpenShift, confirmar pods, services, routes e recursos.</w:t>
      </w:r>
    </w:p>
    <w:p>
      <w:pPr>
        <w:ind w:left="360"/>
      </w:pPr>
      <w:r>
        <w:rPr>
          <w:rFonts w:ascii="Consolas" w:hAnsi="Consolas"/>
          <w:sz w:val="17"/>
        </w:rPr>
        <w:t>./mvnw clean verify</w:t>
        <w:br/>
        <w:t># depois, conforme o mecanismo do README do projeto:</w:t>
        <w:br/>
        <w:t>docker compose up -d</w:t>
        <w:br/>
        <w:t># ou Podman/OpenShift conforme ambiente utilizado</w:t>
      </w:r>
    </w:p>
    <w:p>
      <w:r>
        <w:t>Antes de executar cenários, registrar o timestamp inicial, versão/commit e ambiente.</w:t>
      </w:r>
    </w:p>
    <w:p>
      <w:pPr>
        <w:pStyle w:val="Heading1"/>
      </w:pPr>
      <w:r>
        <w:t>6. Fluxo de evidências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9287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rcehub_p1_fluxo_evidenc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Cenário E2E-01 — Pedido confirmado</w:t>
      </w:r>
    </w:p>
    <w:p>
      <w:r>
        <w:t>Objetivo: provar o caminho feliz completo.</w:t>
      </w:r>
    </w:p>
    <w:p>
      <w:pPr>
        <w:pStyle w:val="ListNumber"/>
      </w:pPr>
      <w:r>
        <w:t>Autenticar como usuário válido.</w:t>
      </w:r>
    </w:p>
    <w:p>
      <w:pPr>
        <w:pStyle w:val="ListNumber"/>
      </w:pPr>
      <w:r>
        <w:t>Obter productId válido no Product Service.</w:t>
      </w:r>
    </w:p>
    <w:p>
      <w:pPr>
        <w:pStyle w:val="ListNumber"/>
      </w:pPr>
      <w:r>
        <w:t>Criar pedido com quantidade compatível com o estoque.</w:t>
      </w:r>
    </w:p>
    <w:p>
      <w:pPr>
        <w:pStyle w:val="ListNumber"/>
      </w:pPr>
      <w:r>
        <w:t>Registrar orderId, timestamp e identificador de correlação.</w:t>
      </w:r>
    </w:p>
    <w:p>
      <w:pPr>
        <w:pStyle w:val="ListNumber"/>
      </w:pPr>
      <w:r>
        <w:t>Confirmar que o Order Service persistiu o pedido em estado inicial esperado.</w:t>
      </w:r>
    </w:p>
    <w:p>
      <w:pPr>
        <w:pStyle w:val="ListNumber"/>
      </w:pPr>
      <w:r>
        <w:t>Confirmar evento OrderCreated na Outbox/tópico.</w:t>
      </w:r>
    </w:p>
    <w:p>
      <w:pPr>
        <w:pStyle w:val="ListNumber"/>
      </w:pPr>
      <w:r>
        <w:t>Confirmar consumo pelo Inventory Service.</w:t>
      </w:r>
    </w:p>
    <w:p>
      <w:pPr>
        <w:pStyle w:val="ListNumber"/>
      </w:pPr>
      <w:r>
        <w:t>Confirmar reserva de estoque.</w:t>
      </w:r>
    </w:p>
    <w:p>
      <w:pPr>
        <w:pStyle w:val="ListNumber"/>
      </w:pPr>
      <w:r>
        <w:t>Confirmar InventoryReserved.</w:t>
      </w:r>
    </w:p>
    <w:p>
      <w:pPr>
        <w:pStyle w:val="ListNumber"/>
      </w:pPr>
      <w:r>
        <w:t>Confirmar atualização do pedido para CONFIRMED.</w:t>
      </w:r>
    </w:p>
    <w:p>
      <w:pPr>
        <w:pStyle w:val="ListNumber"/>
      </w:pPr>
      <w:r>
        <w:t>Localizar o trace no Jaeger.</w:t>
      </w:r>
    </w:p>
    <w:p>
      <w:pPr>
        <w:pStyle w:val="ListNumber"/>
      </w:pPr>
      <w:r>
        <w:t>Capturar métricas e logs relevantes.</w:t>
      </w:r>
    </w:p>
    <w:p>
      <w:r>
        <w:t>Evidências mínimas:</w:t>
      </w:r>
    </w:p>
    <w:p>
      <w:pPr>
        <w:pStyle w:val="ListBullet"/>
      </w:pPr>
      <w:r>
        <w:t>HTTP request/response</w:t>
      </w:r>
    </w:p>
    <w:p>
      <w:pPr>
        <w:pStyle w:val="ListBullet"/>
      </w:pPr>
      <w:r>
        <w:t>orderId</w:t>
      </w:r>
    </w:p>
    <w:p>
      <w:pPr>
        <w:pStyle w:val="ListBullet"/>
      </w:pPr>
      <w:r>
        <w:t>eventId/message key</w:t>
      </w:r>
    </w:p>
    <w:p>
      <w:pPr>
        <w:pStyle w:val="ListBullet"/>
      </w:pPr>
      <w:r>
        <w:t>estado antes/depois</w:t>
      </w:r>
    </w:p>
    <w:p>
      <w:pPr>
        <w:pStyle w:val="ListBullet"/>
      </w:pPr>
      <w:r>
        <w:t>InventoryReserved</w:t>
      </w:r>
    </w:p>
    <w:p>
      <w:pPr>
        <w:pStyle w:val="ListBullet"/>
      </w:pPr>
      <w:r>
        <w:t>traceId</w:t>
      </w:r>
    </w:p>
    <w:p>
      <w:pPr>
        <w:pStyle w:val="ListBullet"/>
      </w:pPr>
      <w:r>
        <w:t>spans Order → Kafka → Inventory → retorno</w:t>
      </w:r>
    </w:p>
    <w:p>
      <w:pPr>
        <w:pStyle w:val="ListBullet"/>
      </w:pPr>
      <w:r>
        <w:t>screenshot do Jaeger</w:t>
      </w:r>
    </w:p>
    <w:p>
      <w:pPr>
        <w:pStyle w:val="ListBullet"/>
      </w:pPr>
      <w:r>
        <w:t>screenshot ou query do Grafana/Prometheus</w:t>
      </w:r>
    </w:p>
    <w:p>
      <w:r>
        <w:t>Critério de aprovação: todos os estados e eventos esperados aparecem na ordem lógica, sem erro não explicado.</w:t>
      </w:r>
    </w:p>
    <w:p>
      <w:pPr>
        <w:pStyle w:val="Heading1"/>
      </w:pPr>
      <w:r>
        <w:t>8. Cenário E2E-02 — Reserva de estoque falha</w:t>
      </w:r>
    </w:p>
    <w:p>
      <w:r>
        <w:t>Objetivo: provar o caminho de compensação.</w:t>
      </w:r>
    </w:p>
    <w:p>
      <w:pPr>
        <w:pStyle w:val="ListNumber"/>
      </w:pPr>
      <w:r>
        <w:t>Preparar produto com estoque insuficiente para a quantidade solicitada.</w:t>
      </w:r>
    </w:p>
    <w:p>
      <w:pPr>
        <w:pStyle w:val="ListNumber"/>
      </w:pPr>
      <w:r>
        <w:t>Criar o pedido.</w:t>
      </w:r>
    </w:p>
    <w:p>
      <w:pPr>
        <w:pStyle w:val="ListNumber"/>
      </w:pPr>
      <w:r>
        <w:t>Capturar orderId e traceId.</w:t>
      </w:r>
    </w:p>
    <w:p>
      <w:pPr>
        <w:pStyle w:val="ListNumber"/>
      </w:pPr>
      <w:r>
        <w:t>Confirmar OrderCreated.</w:t>
      </w:r>
    </w:p>
    <w:p>
      <w:pPr>
        <w:pStyle w:val="ListNumber"/>
      </w:pPr>
      <w:r>
        <w:t>Confirmar tentativa de reserva no Inventory.</w:t>
      </w:r>
    </w:p>
    <w:p>
      <w:pPr>
        <w:pStyle w:val="ListNumber"/>
      </w:pPr>
      <w:r>
        <w:t>Confirmar InventoryReservationFailed com motivo.</w:t>
      </w:r>
    </w:p>
    <w:p>
      <w:pPr>
        <w:pStyle w:val="ListNumber"/>
      </w:pPr>
      <w:r>
        <w:t>Confirmar processamento do evento pelo Order Service.</w:t>
      </w:r>
    </w:p>
    <w:p>
      <w:pPr>
        <w:pStyle w:val="ListNumber"/>
      </w:pPr>
      <w:r>
        <w:t>Confirmar estado final CANCELLED, conforme regra do projeto.</w:t>
      </w:r>
    </w:p>
    <w:p>
      <w:pPr>
        <w:pStyle w:val="ListNumber"/>
      </w:pPr>
      <w:r>
        <w:t>Confirmar que nenhuma reserva parcial indevida permaneceu.</w:t>
      </w:r>
    </w:p>
    <w:p>
      <w:pPr>
        <w:pStyle w:val="ListNumber"/>
      </w:pPr>
      <w:r>
        <w:t>Capturar trace, logs, evento e estado persistido.</w:t>
      </w:r>
    </w:p>
    <w:p>
      <w:r>
        <w:t>Critério de aprovação: a falha não fica somente em log; ela produz a transição de estado prevista e a evidência da compensação.</w:t>
      </w:r>
    </w:p>
    <w:p>
      <w:pPr>
        <w:pStyle w:val="Heading1"/>
      </w:pPr>
      <w:r>
        <w:t>9. Cenário E2E-03 — Idempotência</w:t>
      </w:r>
    </w:p>
    <w:p>
      <w:pPr>
        <w:pStyle w:val="ListNumber"/>
      </w:pPr>
      <w:r>
        <w:t>Selecionar um evento válido já processado ou reproduzir o mesmo evento de acordo com o mecanismo seguro do projeto.</w:t>
      </w:r>
    </w:p>
    <w:p>
      <w:pPr>
        <w:pStyle w:val="ListNumber"/>
      </w:pPr>
      <w:r>
        <w:t>Executar o consumidor duas vezes com a mesma identidade de evento.</w:t>
      </w:r>
    </w:p>
    <w:p>
      <w:pPr>
        <w:pStyle w:val="ListNumber"/>
      </w:pPr>
      <w:r>
        <w:t>Confirmar que a segunda entrega não gera novo efeito de negócio.</w:t>
      </w:r>
    </w:p>
    <w:p>
      <w:pPr>
        <w:pStyle w:val="ListNumber"/>
      </w:pPr>
      <w:r>
        <w:t>Confirmar que o estado final permanece correto.</w:t>
      </w:r>
    </w:p>
    <w:p>
      <w:pPr>
        <w:pStyle w:val="ListNumber"/>
      </w:pPr>
      <w:r>
        <w:t>Registrar logs indicando evento duplicado/ignorado, se essa observabilidade existir.</w:t>
      </w:r>
    </w:p>
    <w:p>
      <w:pPr>
        <w:pStyle w:val="ListNumber"/>
      </w:pPr>
      <w:r>
        <w:t>Capturar trace e evidência do mecanismo de deduplicação.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</w:rPr>
              <w:t>Cuidado</w:t>
              <w:br/>
            </w:r>
            <w:r>
              <w:t>Não manipular Kafka de modo a corromper o ambiente. Preferir um teste automatizado ou procedimento controlado já previsto no projeto.</w:t>
            </w:r>
          </w:p>
        </w:tc>
      </w:tr>
    </w:tbl>
    <w:p>
      <w:pPr>
        <w:pStyle w:val="Heading1"/>
      </w:pPr>
      <w:r>
        <w:t>10. Cenário E2E-04 — Segurança</w:t>
      </w:r>
    </w:p>
    <w:p>
      <w:pPr>
        <w:pStyle w:val="ListBullet"/>
      </w:pPr>
      <w:r>
        <w:t>JWT novo é aceito em endpoint protegido.</w:t>
      </w:r>
    </w:p>
    <w:p>
      <w:pPr>
        <w:pStyle w:val="ListBullet"/>
      </w:pPr>
      <w:r>
        <w:t>JWT expirado é rejeitado.</w:t>
      </w:r>
    </w:p>
    <w:p>
      <w:pPr>
        <w:pStyle w:val="ListBullet"/>
      </w:pPr>
      <w:r>
        <w:t>JWT com issuer incorreto é rejeitado.</w:t>
      </w:r>
    </w:p>
    <w:p>
      <w:pPr>
        <w:pStyle w:val="ListBullet"/>
      </w:pPr>
      <w:r>
        <w:t>Usuário sem role adequada recebe 401/403 conforme o caso.</w:t>
      </w:r>
    </w:p>
    <w:p>
      <w:pPr>
        <w:pStyle w:val="ListBullet"/>
      </w:pPr>
      <w:r>
        <w:t>Usuário não consegue acessar pedido de outro usuário.</w:t>
      </w:r>
    </w:p>
    <w:p>
      <w:pPr>
        <w:pStyle w:val="ListBullet"/>
      </w:pPr>
      <w:r>
        <w:t>Após P0, JWT assinado com a chave antiga deve ser rejeitado.</w:t>
      </w:r>
    </w:p>
    <w:p>
      <w:pPr>
        <w:pStyle w:val="Heading1"/>
      </w:pPr>
      <w:r>
        <w:t>11. Tracing com Jaeger + OpenTelemetry</w:t>
      </w:r>
    </w:p>
    <w:p>
      <w:r>
        <w:t>Para cada cenário, a evidência ideal é um trace único que permita navegar pela cadeia.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Span esperado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O que verificar</w:t>
            </w:r>
          </w:p>
        </w:tc>
      </w:tr>
      <w:tr>
        <w:tc>
          <w:tcPr>
            <w:tcW w:type="dxa" w:w="5040"/>
            <w:vAlign w:val="center"/>
          </w:tcPr>
          <w:p>
            <w:r>
              <w:t>HTTP Order</w:t>
            </w:r>
          </w:p>
        </w:tc>
        <w:tc>
          <w:tcPr>
            <w:tcW w:type="dxa" w:w="5040"/>
            <w:vAlign w:val="center"/>
          </w:tcPr>
          <w:p>
            <w:r>
              <w:t>route, status, duração, traceId</w:t>
            </w:r>
          </w:p>
        </w:tc>
      </w:tr>
      <w:tr>
        <w:tc>
          <w:tcPr>
            <w:tcW w:type="dxa" w:w="5040"/>
            <w:vAlign w:val="center"/>
          </w:tcPr>
          <w:p>
            <w:r>
              <w:t>Order → Product</w:t>
            </w:r>
          </w:p>
        </w:tc>
        <w:tc>
          <w:tcPr>
            <w:tcW w:type="dxa" w:w="5040"/>
            <w:vAlign w:val="center"/>
          </w:tcPr>
          <w:p>
            <w:r>
              <w:t>request, response/status, erro se houver</w:t>
            </w:r>
          </w:p>
        </w:tc>
      </w:tr>
      <w:tr>
        <w:tc>
          <w:tcPr>
            <w:tcW w:type="dxa" w:w="5040"/>
            <w:vAlign w:val="center"/>
          </w:tcPr>
          <w:p>
            <w:r>
              <w:t>Outbox/publicação</w:t>
            </w:r>
          </w:p>
        </w:tc>
        <w:tc>
          <w:tcPr>
            <w:tcW w:type="dxa" w:w="5040"/>
            <w:vAlign w:val="center"/>
          </w:tcPr>
          <w:p>
            <w:r>
              <w:t>eventId/correlation, timestamp, status</w:t>
            </w:r>
          </w:p>
        </w:tc>
      </w:tr>
      <w:tr>
        <w:tc>
          <w:tcPr>
            <w:tcW w:type="dxa" w:w="5040"/>
            <w:vAlign w:val="center"/>
          </w:tcPr>
          <w:p>
            <w:r>
              <w:t>Kafka consumer</w:t>
            </w:r>
          </w:p>
        </w:tc>
        <w:tc>
          <w:tcPr>
            <w:tcW w:type="dxa" w:w="5040"/>
            <w:vAlign w:val="center"/>
          </w:tcPr>
          <w:p>
            <w:r>
              <w:t>consumer span, tópico, partition/offset quando disponível</w:t>
            </w:r>
          </w:p>
        </w:tc>
      </w:tr>
      <w:tr>
        <w:tc>
          <w:tcPr>
            <w:tcW w:type="dxa" w:w="5040"/>
            <w:vAlign w:val="center"/>
          </w:tcPr>
          <w:p>
            <w:r>
              <w:t>Inventory</w:t>
            </w:r>
          </w:p>
        </w:tc>
        <w:tc>
          <w:tcPr>
            <w:tcW w:type="dxa" w:w="5040"/>
            <w:vAlign w:val="center"/>
          </w:tcPr>
          <w:p>
            <w:r>
              <w:t>reserve, quantidade, resultado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Inventory event</w:t>
            </w:r>
          </w:p>
        </w:tc>
        <w:tc>
          <w:tcPr>
            <w:tcW w:type="dxa" w:w="5040"/>
            <w:vAlign w:val="center"/>
          </w:tcPr>
          <w:p>
            <w:r>
              <w:t>InventoryReserved ou InventoryReservationFailed</w:t>
            </w:r>
          </w:p>
        </w:tc>
      </w:tr>
      <w:tr>
        <w:tc>
          <w:tcPr>
            <w:tcW w:type="dxa" w:w="5040"/>
            <w:vAlign w:val="center"/>
          </w:tcPr>
          <w:p>
            <w:r>
              <w:t>Order consumer</w:t>
            </w:r>
          </w:p>
        </w:tc>
        <w:tc>
          <w:tcPr>
            <w:tcW w:type="dxa" w:w="5040"/>
            <w:vAlign w:val="center"/>
          </w:tcPr>
          <w:p>
            <w:r>
              <w:t>processamento do evento e transição de estado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HTTP final</w:t>
            </w:r>
          </w:p>
        </w:tc>
        <w:tc>
          <w:tcPr>
            <w:tcW w:type="dxa" w:w="5040"/>
            <w:vAlign w:val="center"/>
          </w:tcPr>
          <w:p>
            <w:r>
              <w:t>status final quando o fluxo expuser o resultado</w:t>
            </w:r>
          </w:p>
        </w:tc>
      </w:tr>
    </w:tbl>
    <w:p>
      <w:r>
        <w:t>Guardar o traceId e, se disponível, o spanId principal junto da evidência do cenário. Isso permite ao avaliador sair do screenshot e reproduzir a investigação.</w:t>
      </w:r>
    </w:p>
    <w:p>
      <w:pPr>
        <w:pStyle w:val="Heading1"/>
      </w:pPr>
      <w:r>
        <w:t>12. Métricas com Prometheus/Grafana</w:t>
      </w:r>
    </w:p>
    <w:p>
      <w:pPr>
        <w:pStyle w:val="ListBullet"/>
      </w:pPr>
      <w:r>
        <w:t>Taxa de requests por serviço.</w:t>
      </w:r>
    </w:p>
    <w:p>
      <w:pPr>
        <w:pStyle w:val="ListBullet"/>
      </w:pPr>
      <w:r>
        <w:t>HTTP error rate.</w:t>
      </w:r>
    </w:p>
    <w:p>
      <w:pPr>
        <w:pStyle w:val="ListBullet"/>
      </w:pPr>
      <w:r>
        <w:t>Latência de endpoints.</w:t>
      </w:r>
    </w:p>
    <w:p>
      <w:pPr>
        <w:pStyle w:val="ListBullet"/>
      </w:pPr>
      <w:r>
        <w:t>Mensagens Kafka processadas, quando métricas estiverem disponíveis.</w:t>
      </w:r>
    </w:p>
    <w:p>
      <w:pPr>
        <w:pStyle w:val="ListBullet"/>
      </w:pPr>
      <w:r>
        <w:t>Erros de consumo.</w:t>
      </w:r>
    </w:p>
    <w:p>
      <w:pPr>
        <w:pStyle w:val="ListBullet"/>
      </w:pPr>
      <w:r>
        <w:t>Saúde/disponibilidade dos pods.</w:t>
      </w:r>
    </w:p>
    <w:p>
      <w:pPr>
        <w:pStyle w:val="ListBullet"/>
      </w:pPr>
      <w:r>
        <w:t>Uso de CPU/memória no ambiente de container/OpenShift.</w:t>
      </w:r>
    </w:p>
    <w:p>
      <w:r>
        <w:t>A evidência deve conter timestamp e, quando possível, filtro por serviço.</w:t>
      </w:r>
    </w:p>
    <w:p>
      <w:pPr>
        <w:pStyle w:val="Heading1"/>
      </w:pPr>
      <w:r>
        <w:t>13. Logs e correlação</w:t>
      </w:r>
    </w:p>
    <w:p>
      <w:r>
        <w:t>Os logs devem permitir correlacionar pelo menos orderId/eventId/traceId, conforme o que já é produzido pela aplicação.</w:t>
      </w:r>
    </w:p>
    <w:p>
      <w:pPr>
        <w:ind w:left="360"/>
      </w:pPr>
      <w:r>
        <w:rPr>
          <w:rFonts w:ascii="Consolas" w:hAnsi="Consolas"/>
          <w:sz w:val="17"/>
        </w:rPr>
        <w:t># exemplos de investigação — adaptar aos nomes reais</w:t>
        <w:br/>
        <w:t>docker compose logs order-service</w:t>
        <w:br/>
        <w:t>docker compose logs inventory-service</w:t>
        <w:br/>
        <w:t>oc logs deployment/order-service</w:t>
        <w:br/>
        <w:t>oc logs deployment/inventory-service</w:t>
      </w:r>
    </w:p>
    <w:p>
      <w:r>
        <w:t>Não capturar logs contendo secrets.</w:t>
      </w:r>
    </w:p>
    <w:p>
      <w:pPr>
        <w:pStyle w:val="Heading1"/>
      </w:pPr>
      <w:r>
        <w:t>14. Banco e prova de estado</w:t>
      </w:r>
    </w:p>
    <w:p>
      <w:r>
        <w:t>Para cada cenário, obter uma consulta curta mostrando o antes/depois do pedido e, quando aplicável, do estoque/outbox/deduplicação.</w:t>
      </w:r>
    </w:p>
    <w:p>
      <w:pPr>
        <w:ind w:left="360"/>
      </w:pPr>
      <w:r>
        <w:rPr>
          <w:rFonts w:ascii="Consolas" w:hAnsi="Consolas"/>
          <w:sz w:val="17"/>
        </w:rPr>
        <w:t>-- exemplo conceitual; adaptar ao DDL real do CommerceHub</w:t>
        <w:br/>
        <w:t>SELECT id, status, created_at, updated_at</w:t>
        <w:br/>
        <w:t>FROM orders</w:t>
        <w:br/>
        <w:t>WHERE id = :order_id;</w:t>
        <w:br/>
        <w:br/>
        <w:t>-- Outbox: usar as colunas reais do projeto</w:t>
        <w:br/>
        <w:t>SELECT *</w:t>
        <w:br/>
        <w:t>FROM outbox</w:t>
        <w:br/>
        <w:t>WHERE aggregate_id = :order_id</w:t>
        <w:br/>
        <w:t>ORDER BY created_at;</w:t>
      </w:r>
    </w:p>
    <w:p>
      <w:r>
        <w:t>A consulta final deve ser específica o suficiente para provar o caso, sem exportar tabelas inteiras.</w:t>
      </w:r>
    </w:p>
    <w:p>
      <w:pPr>
        <w:pStyle w:val="Heading1"/>
      </w:pPr>
      <w:r>
        <w:t>15. Evidências no GitHub Actions</w:t>
      </w:r>
    </w:p>
    <w:p>
      <w:pPr>
        <w:pStyle w:val="ListBullet"/>
      </w:pPr>
      <w:r>
        <w:t>Run verde do commit validado.</w:t>
      </w:r>
    </w:p>
    <w:p>
      <w:pPr>
        <w:pStyle w:val="ListBullet"/>
      </w:pPr>
      <w:r>
        <w:t>Log de mvnw verify.</w:t>
      </w:r>
    </w:p>
    <w:p>
      <w:pPr>
        <w:pStyle w:val="ListBullet"/>
      </w:pPr>
      <w:r>
        <w:t>Resultado dos testes.</w:t>
      </w:r>
    </w:p>
    <w:p>
      <w:pPr>
        <w:pStyle w:val="ListBullet"/>
      </w:pPr>
      <w:r>
        <w:t>Validação dos manifests.</w:t>
      </w:r>
    </w:p>
    <w:p>
      <w:pPr>
        <w:pStyle w:val="ListBullet"/>
      </w:pPr>
      <w:r>
        <w:t>Build/publicação das imagens.</w:t>
      </w:r>
    </w:p>
    <w:p>
      <w:pPr>
        <w:pStyle w:val="ListBullet"/>
      </w:pPr>
      <w:r>
        <w:t>Se o P0 adicionou secret scanning, mostrar o job verde.</w:t>
      </w:r>
    </w:p>
    <w:p>
      <w:r>
        <w:t>O objetivo é complementar a demonstração manual com evidência de que o software também passa por automação.</w:t>
      </w:r>
    </w:p>
    <w:p>
      <w:pPr>
        <w:pStyle w:val="Heading1"/>
      </w:pPr>
      <w:r>
        <w:t>16. Roteiro de gravação da demonstração</w:t>
      </w:r>
    </w:p>
    <w:p>
      <w:pPr>
        <w:pStyle w:val="ListNumber"/>
      </w:pPr>
      <w:r>
        <w:t>Mostrar README e arquitetura por 20–30 segundos.</w:t>
      </w:r>
    </w:p>
    <w:p>
      <w:pPr>
        <w:pStyle w:val="ListNumber"/>
      </w:pPr>
      <w:r>
        <w:t>Mostrar login e obtenção de JWT sem expor o token completo.</w:t>
      </w:r>
    </w:p>
    <w:p>
      <w:pPr>
        <w:pStyle w:val="ListNumber"/>
      </w:pPr>
      <w:r>
        <w:t>Criar pedido de sucesso.</w:t>
      </w:r>
    </w:p>
    <w:p>
      <w:pPr>
        <w:pStyle w:val="ListNumber"/>
      </w:pPr>
      <w:r>
        <w:t>Mostrar orderId.</w:t>
      </w:r>
    </w:p>
    <w:p>
      <w:pPr>
        <w:pStyle w:val="ListNumber"/>
      </w:pPr>
      <w:r>
        <w:t>Mostrar Jaeger e abrir o trace.</w:t>
      </w:r>
    </w:p>
    <w:p>
      <w:pPr>
        <w:pStyle w:val="ListNumber"/>
      </w:pPr>
      <w:r>
        <w:t>Mostrar InventoryReserved.</w:t>
      </w:r>
    </w:p>
    <w:p>
      <w:pPr>
        <w:pStyle w:val="ListNumber"/>
      </w:pPr>
      <w:r>
        <w:t>Mostrar pedido CONFIRMED.</w:t>
      </w:r>
    </w:p>
    <w:p>
      <w:pPr>
        <w:pStyle w:val="ListNumber"/>
      </w:pPr>
      <w:r>
        <w:t>Executar pedido com estoque insuficiente.</w:t>
      </w:r>
    </w:p>
    <w:p>
      <w:pPr>
        <w:pStyle w:val="ListNumber"/>
      </w:pPr>
      <w:r>
        <w:t>Mostrar InventoryReservationFailed.</w:t>
      </w:r>
    </w:p>
    <w:p>
      <w:pPr>
        <w:pStyle w:val="ListNumber"/>
      </w:pPr>
      <w:r>
        <w:t>Mostrar pedido CANCELLED.</w:t>
      </w:r>
    </w:p>
    <w:p>
      <w:pPr>
        <w:pStyle w:val="ListNumber"/>
      </w:pPr>
      <w:r>
        <w:t>Mostrar Grafana/Prometheus.</w:t>
      </w:r>
    </w:p>
    <w:p>
      <w:pPr>
        <w:pStyle w:val="ListNumber"/>
      </w:pPr>
      <w:r>
        <w:t>Mostrar GitHub Actions verde.</w:t>
      </w:r>
    </w:p>
    <w:p>
      <w:pPr>
        <w:pStyle w:val="ListNumber"/>
      </w:pPr>
      <w:r>
        <w:t>Encerrar com arquitetura e tecnologias.</w:t>
      </w:r>
    </w:p>
    <w:p>
      <w:r>
        <w:t>Duração sugerida: 5–8 minutos. O vídeo deve demonstrar fatos observáveis, não apenas navegar pelo código.</w:t>
      </w:r>
    </w:p>
    <w:p>
      <w:pPr>
        <w:pStyle w:val="Heading1"/>
      </w:pPr>
      <w:r>
        <w:t>17. Definition of Done — P1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Evidência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P1-01</w:t>
            </w:r>
          </w:p>
        </w:tc>
        <w:tc>
          <w:tcPr>
            <w:tcW w:type="dxa" w:w="3360"/>
            <w:vAlign w:val="center"/>
          </w:tcPr>
          <w:p>
            <w:r>
              <w:t>Ambiente reproduzível</w:t>
            </w:r>
          </w:p>
        </w:tc>
        <w:tc>
          <w:tcPr>
            <w:tcW w:type="dxa" w:w="3360"/>
            <w:vAlign w:val="center"/>
          </w:tcPr>
          <w:p>
            <w:r>
              <w:t>README + versão/commit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P1-02</w:t>
            </w:r>
          </w:p>
        </w:tc>
        <w:tc>
          <w:tcPr>
            <w:tcW w:type="dxa" w:w="3360"/>
            <w:vAlign w:val="center"/>
          </w:tcPr>
          <w:p>
            <w:r>
              <w:t>Login/autorização validados</w:t>
            </w:r>
          </w:p>
        </w:tc>
        <w:tc>
          <w:tcPr>
            <w:tcW w:type="dxa" w:w="3360"/>
            <w:vAlign w:val="center"/>
          </w:tcPr>
          <w:p>
            <w:r>
              <w:t>Request/response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P1-03</w:t>
            </w:r>
          </w:p>
        </w:tc>
        <w:tc>
          <w:tcPr>
            <w:tcW w:type="dxa" w:w="3360"/>
            <w:vAlign w:val="center"/>
          </w:tcPr>
          <w:p>
            <w:r>
              <w:t>Pedido feliz concluído</w:t>
            </w:r>
          </w:p>
        </w:tc>
        <w:tc>
          <w:tcPr>
            <w:tcW w:type="dxa" w:w="3360"/>
            <w:vAlign w:val="center"/>
          </w:tcPr>
          <w:p>
            <w:r>
              <w:t>CONFIRMED + eventos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P1-04</w:t>
            </w:r>
          </w:p>
        </w:tc>
        <w:tc>
          <w:tcPr>
            <w:tcW w:type="dxa" w:w="3360"/>
            <w:vAlign w:val="center"/>
          </w:tcPr>
          <w:p>
            <w:r>
              <w:t>Falha de estoque concluída</w:t>
            </w:r>
          </w:p>
        </w:tc>
        <w:tc>
          <w:tcPr>
            <w:tcW w:type="dxa" w:w="3360"/>
            <w:vAlign w:val="center"/>
          </w:tcPr>
          <w:p>
            <w:r>
              <w:t>InventoryReservationFailed + CANCELLED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P1-05</w:t>
            </w:r>
          </w:p>
        </w:tc>
        <w:tc>
          <w:tcPr>
            <w:tcW w:type="dxa" w:w="3360"/>
            <w:vAlign w:val="center"/>
          </w:tcPr>
          <w:p>
            <w:r>
              <w:t>Outbox demonstrada</w:t>
            </w:r>
          </w:p>
        </w:tc>
        <w:tc>
          <w:tcPr>
            <w:tcW w:type="dxa" w:w="3360"/>
            <w:vAlign w:val="center"/>
          </w:tcPr>
          <w:p>
            <w:r>
              <w:t>Registro/evento correspondente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P1-06</w:t>
            </w:r>
          </w:p>
        </w:tc>
        <w:tc>
          <w:tcPr>
            <w:tcW w:type="dxa" w:w="3360"/>
            <w:vAlign w:val="center"/>
          </w:tcPr>
          <w:p>
            <w:r>
              <w:t>Kafka demonstrado</w:t>
            </w:r>
          </w:p>
        </w:tc>
        <w:tc>
          <w:tcPr>
            <w:tcW w:type="dxa" w:w="3360"/>
            <w:vAlign w:val="center"/>
          </w:tcPr>
          <w:p>
            <w:r>
              <w:t>Evento + consumer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P1-07</w:t>
            </w:r>
          </w:p>
        </w:tc>
        <w:tc>
          <w:tcPr>
            <w:tcW w:type="dxa" w:w="3360"/>
            <w:vAlign w:val="center"/>
          </w:tcPr>
          <w:p>
            <w:r>
              <w:t>Idempotência demonstrada</w:t>
            </w:r>
          </w:p>
        </w:tc>
        <w:tc>
          <w:tcPr>
            <w:tcW w:type="dxa" w:w="3360"/>
            <w:vAlign w:val="center"/>
          </w:tcPr>
          <w:p>
            <w:r>
              <w:t>Duplicata sem efeito duplicado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P1-08</w:t>
            </w:r>
          </w:p>
        </w:tc>
        <w:tc>
          <w:tcPr>
            <w:tcW w:type="dxa" w:w="3360"/>
            <w:vAlign w:val="center"/>
          </w:tcPr>
          <w:p>
            <w:r>
              <w:t>Tracing demonstrado</w:t>
            </w:r>
          </w:p>
        </w:tc>
        <w:tc>
          <w:tcPr>
            <w:tcW w:type="dxa" w:w="3360"/>
            <w:vAlign w:val="center"/>
          </w:tcPr>
          <w:p>
            <w:r>
              <w:t>Trace completo no Jaeger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P1-09</w:t>
            </w:r>
          </w:p>
        </w:tc>
        <w:tc>
          <w:tcPr>
            <w:tcW w:type="dxa" w:w="3360"/>
            <w:vAlign w:val="center"/>
          </w:tcPr>
          <w:p>
            <w:r>
              <w:t>Métricas demonstradas</w:t>
            </w:r>
          </w:p>
        </w:tc>
        <w:tc>
          <w:tcPr>
            <w:tcW w:type="dxa" w:w="3360"/>
            <w:vAlign w:val="center"/>
          </w:tcPr>
          <w:p>
            <w:r>
              <w:t>Prometheus/Grafana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P1-10</w:t>
            </w:r>
          </w:p>
        </w:tc>
        <w:tc>
          <w:tcPr>
            <w:tcW w:type="dxa" w:w="3360"/>
            <w:vAlign w:val="center"/>
          </w:tcPr>
          <w:p>
            <w:r>
              <w:t>Logs correlacionáveis</w:t>
            </w:r>
          </w:p>
        </w:tc>
        <w:tc>
          <w:tcPr>
            <w:tcW w:type="dxa" w:w="3360"/>
            <w:vAlign w:val="center"/>
          </w:tcPr>
          <w:p>
            <w:r>
              <w:t>orderId/eventId/traceId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P1-11</w:t>
            </w:r>
          </w:p>
        </w:tc>
        <w:tc>
          <w:tcPr>
            <w:tcW w:type="dxa" w:w="3360"/>
            <w:vAlign w:val="center"/>
          </w:tcPr>
          <w:p>
            <w:r>
              <w:t>Estado persistido comprovado</w:t>
            </w:r>
          </w:p>
        </w:tc>
        <w:tc>
          <w:tcPr>
            <w:tcW w:type="dxa" w:w="3360"/>
            <w:vAlign w:val="center"/>
          </w:tcPr>
          <w:p>
            <w:r>
              <w:t>Queries direcionadas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P1-12</w:t>
            </w:r>
          </w:p>
        </w:tc>
        <w:tc>
          <w:tcPr>
            <w:tcW w:type="dxa" w:w="3360"/>
            <w:vAlign w:val="center"/>
          </w:tcPr>
          <w:p>
            <w:r>
              <w:t>CI comprovada</w:t>
            </w:r>
          </w:p>
        </w:tc>
        <w:tc>
          <w:tcPr>
            <w:tcW w:type="dxa" w:w="3360"/>
            <w:vAlign w:val="center"/>
          </w:tcPr>
          <w:p>
            <w:r>
              <w:t>Run verde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P1-13</w:t>
            </w:r>
          </w:p>
        </w:tc>
        <w:tc>
          <w:tcPr>
            <w:tcW w:type="dxa" w:w="3360"/>
            <w:vAlign w:val="center"/>
          </w:tcPr>
          <w:p>
            <w:r>
              <w:t>Evidências organizadas</w:t>
            </w:r>
          </w:p>
        </w:tc>
        <w:tc>
          <w:tcPr>
            <w:tcW w:type="dxa" w:w="3360"/>
            <w:vAlign w:val="center"/>
          </w:tcPr>
          <w:p>
            <w:r>
              <w:t>docs/evidence/p1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P1-14</w:t>
            </w:r>
          </w:p>
        </w:tc>
        <w:tc>
          <w:tcPr>
            <w:tcW w:type="dxa" w:w="3360"/>
            <w:vAlign w:val="center"/>
          </w:tcPr>
          <w:p>
            <w:r>
              <w:t>Sem segredos nas evidências</w:t>
            </w:r>
          </w:p>
        </w:tc>
        <w:tc>
          <w:tcPr>
            <w:tcW w:type="dxa" w:w="3360"/>
            <w:vAlign w:val="center"/>
          </w:tcPr>
          <w:p>
            <w:r>
              <w:t>Revisão final</w:t>
            </w:r>
          </w:p>
        </w:tc>
      </w:tr>
      <w:tr>
        <w:tc>
          <w:tcPr>
            <w:tcW w:type="dxa" w:w="3360"/>
            <w:vAlign w:val="center"/>
          </w:tcPr>
          <w:p>
            <w:r>
              <w:t>P1-15</w:t>
            </w:r>
          </w:p>
        </w:tc>
        <w:tc>
          <w:tcPr>
            <w:tcW w:type="dxa" w:w="3360"/>
            <w:vAlign w:val="center"/>
          </w:tcPr>
          <w:p>
            <w:r>
              <w:t>Vídeo opcional de portfólio</w:t>
            </w:r>
          </w:p>
        </w:tc>
        <w:tc>
          <w:tcPr>
            <w:tcW w:type="dxa" w:w="3360"/>
            <w:vAlign w:val="center"/>
          </w:tcPr>
          <w:p>
            <w:r>
              <w:t>5–8 min, se produzido</w:t>
            </w:r>
          </w:p>
        </w:tc>
      </w:tr>
    </w:tbl>
    <w:p>
      <w:pPr>
        <w:pStyle w:val="Heading1"/>
      </w:pPr>
      <w:r>
        <w:t>18. Checklist final</w:t>
      </w:r>
    </w:p>
    <w:p>
      <w:pPr>
        <w:pStyle w:val="ListBullet"/>
      </w:pPr>
      <w:r>
        <w:t>☐ Commit/versão do ambiente registrada.</w:t>
      </w:r>
    </w:p>
    <w:p>
      <w:pPr>
        <w:pStyle w:val="ListBullet"/>
      </w:pPr>
      <w:r>
        <w:t>☐ Todos os serviços saudáveis.</w:t>
      </w:r>
    </w:p>
    <w:p>
      <w:pPr>
        <w:pStyle w:val="ListBullet"/>
      </w:pPr>
      <w:r>
        <w:t>☐ Kafka saudável.</w:t>
      </w:r>
    </w:p>
    <w:p>
      <w:pPr>
        <w:pStyle w:val="ListBullet"/>
      </w:pPr>
      <w:r>
        <w:t>☐ Oracle/migrações saudáveis.</w:t>
      </w:r>
    </w:p>
    <w:p>
      <w:pPr>
        <w:pStyle w:val="ListBullet"/>
      </w:pPr>
      <w:r>
        <w:t>☐ Jaeger recebendo traces.</w:t>
      </w:r>
    </w:p>
    <w:p>
      <w:pPr>
        <w:pStyle w:val="ListBullet"/>
      </w:pPr>
      <w:r>
        <w:t>☐ Prometheus coletando.</w:t>
      </w:r>
    </w:p>
    <w:p>
      <w:pPr>
        <w:pStyle w:val="ListBullet"/>
      </w:pPr>
      <w:r>
        <w:t>☐ Grafana funcionando.</w:t>
      </w:r>
    </w:p>
    <w:p>
      <w:pPr>
        <w:pStyle w:val="ListBullet"/>
      </w:pPr>
      <w:r>
        <w:t>☐ Login validado.</w:t>
      </w:r>
    </w:p>
    <w:p>
      <w:pPr>
        <w:pStyle w:val="ListBullet"/>
      </w:pPr>
      <w:r>
        <w:t>☐ Pedido confirmado validado.</w:t>
      </w:r>
    </w:p>
    <w:p>
      <w:pPr>
        <w:pStyle w:val="ListBullet"/>
      </w:pPr>
      <w:r>
        <w:t>☐ InventoryReserved comprovado.</w:t>
      </w:r>
    </w:p>
    <w:p>
      <w:pPr>
        <w:pStyle w:val="ListBullet"/>
      </w:pPr>
      <w:r>
        <w:t>☐ Pedido CANCELLED por estoque insuficiente comprovado.</w:t>
      </w:r>
    </w:p>
    <w:p>
      <w:pPr>
        <w:pStyle w:val="ListBullet"/>
      </w:pPr>
      <w:r>
        <w:t>☐ InventoryReservationFailed comprovado.</w:t>
      </w:r>
    </w:p>
    <w:p>
      <w:pPr>
        <w:pStyle w:val="ListBullet"/>
      </w:pPr>
      <w:r>
        <w:t>☐ Idempotência comprovada.</w:t>
      </w:r>
    </w:p>
    <w:p>
      <w:pPr>
        <w:pStyle w:val="ListBullet"/>
      </w:pPr>
      <w:r>
        <w:t>☐ JWT antigo rejeitado após P0.</w:t>
      </w:r>
    </w:p>
    <w:p>
      <w:pPr>
        <w:pStyle w:val="ListBullet"/>
      </w:pPr>
      <w:r>
        <w:t>☐ Evidências sem segredos.</w:t>
      </w:r>
    </w:p>
    <w:p>
      <w:pPr>
        <w:pStyle w:val="ListBullet"/>
      </w:pPr>
      <w:r>
        <w:t>☐ CI verde.</w:t>
      </w:r>
    </w:p>
    <w:p>
      <w:pPr>
        <w:pStyle w:val="ListBullet"/>
      </w:pPr>
      <w:r>
        <w:t>☐ README/evidências atualizados.</w:t>
      </w:r>
    </w:p>
    <w:p>
      <w:pPr>
        <w:pStyle w:val="ListBullet"/>
      </w:pPr>
      <w:r>
        <w:t>☐ Vídeo capturado, se fizer parte do portfólio.</w:t>
      </w:r>
    </w:p>
    <w:p>
      <w:pPr>
        <w:pStyle w:val="Heading1"/>
      </w:pPr>
      <w:r>
        <w:t>19. Entregáveis</w:t>
      </w:r>
    </w:p>
    <w:p>
      <w:pPr>
        <w:pStyle w:val="ListBullet"/>
      </w:pPr>
      <w:r>
        <w:t>Scripts/coleções de execução dos cenários.</w:t>
      </w:r>
    </w:p>
    <w:p>
      <w:pPr>
        <w:pStyle w:val="ListBullet"/>
      </w:pPr>
      <w:r>
        <w:t>Diretório docs/evidence/p1 com evidências sanitizadas.</w:t>
      </w:r>
    </w:p>
    <w:p>
      <w:pPr>
        <w:pStyle w:val="ListBullet"/>
      </w:pPr>
      <w:r>
        <w:t>Trace IDs e screenshots do Jaeger.</w:t>
      </w:r>
    </w:p>
    <w:p>
      <w:pPr>
        <w:pStyle w:val="ListBullet"/>
      </w:pPr>
      <w:r>
        <w:t>Queries/snapshots de Prometheus/Grafana.</w:t>
      </w:r>
    </w:p>
    <w:p>
      <w:pPr>
        <w:pStyle w:val="ListBullet"/>
      </w:pPr>
      <w:r>
        <w:t>Evidências Kafka.</w:t>
      </w:r>
    </w:p>
    <w:p>
      <w:pPr>
        <w:pStyle w:val="ListBullet"/>
      </w:pPr>
      <w:r>
        <w:t>Evidências de estado no Oracle.</w:t>
      </w:r>
    </w:p>
    <w:p>
      <w:pPr>
        <w:pStyle w:val="ListBullet"/>
      </w:pPr>
      <w:r>
        <w:t>Resultado da CI.</w:t>
      </w:r>
    </w:p>
    <w:p>
      <w:pPr>
        <w:pStyle w:val="ListBullet"/>
      </w:pPr>
      <w:r>
        <w:t>Relatório SUMMARY.md com cenário, resultado, timestamp, commit e links.</w:t>
      </w:r>
    </w:p>
    <w:p>
      <w:pPr>
        <w:pStyle w:val="ListBullet"/>
      </w:pPr>
      <w:r>
        <w:t>Vídeo de demonstração, opcional, mas recomendado para portfólio freelancer.</w:t>
      </w:r>
    </w:p>
    <w:p>
      <w:pPr>
        <w:pStyle w:val="Heading1"/>
      </w:pPr>
      <w:r>
        <w:t>20. Modelo de registro de cada cenário</w:t>
      </w:r>
    </w:p>
    <w:p>
      <w:pPr>
        <w:ind w:left="360"/>
      </w:pPr>
      <w:r>
        <w:rPr>
          <w:rFonts w:ascii="Consolas" w:hAnsi="Consolas"/>
          <w:sz w:val="17"/>
        </w:rPr>
        <w:t># E2E-01 — Pedido confirmado</w:t>
        <w:br/>
        <w:br/>
        <w:t>Data/hora:</w:t>
        <w:br/>
        <w:t>Commit:</w:t>
        <w:br/>
        <w:t>Ambiente:</w:t>
        <w:br/>
        <w:t>Cenário:</w:t>
        <w:br/>
        <w:t>Usuário de teste:</w:t>
        <w:br/>
        <w:t>productId:</w:t>
        <w:br/>
        <w:t>orderId:</w:t>
        <w:br/>
        <w:t>eventId:</w:t>
        <w:br/>
        <w:t>traceId:</w:t>
        <w:br/>
        <w:br/>
        <w:t>Resultado esperado:</w:t>
        <w:br/>
        <w:t>Resultado observado:</w:t>
        <w:br/>
        <w:br/>
        <w:t>Eventos:</w:t>
        <w:br/>
        <w:t>- OrderCreated:</w:t>
        <w:br/>
        <w:t>- InventoryReserved:</w:t>
        <w:br/>
        <w:br/>
        <w:t>Estado inicial:</w:t>
        <w:br/>
        <w:t>Estado final:</w:t>
        <w:br/>
        <w:br/>
        <w:t>Evidências:</w:t>
        <w:br/>
        <w:t>- HTTP:</w:t>
        <w:br/>
        <w:t>- Kafka:</w:t>
        <w:br/>
        <w:t>- DB:</w:t>
        <w:br/>
        <w:t>- Jaeger:</w:t>
        <w:br/>
        <w:t>- Grafana/Prometheus:</w:t>
        <w:br/>
        <w:t>- Logs:</w:t>
        <w:br/>
        <w:br/>
        <w:t>Conclusão: PASS / FAIL</w:t>
        <w:br/>
        <w:t>Observações:</w:t>
      </w:r>
    </w:p>
    <w:p>
      <w:pPr>
        <w:pStyle w:val="Heading1"/>
      </w:pPr>
      <w:r>
        <w:t>21. Critério de decisão para seguir ao próximo projeto</w:t>
      </w:r>
    </w:p>
    <w:p>
      <w:r>
        <w:t>O P1 deve ser considerado concluído quando o CommerceHub deixar de ser apenas um repositório com código e passar a ter uma demonstração reproduzível. Um terceiro deve conseguir entender o fluxo, executar o cenário e verificar no mínimo o resultado HTTP, o evento Kafka, o estado persistido e o trace distribuído.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rPr>
                <w:b/>
              </w:rPr>
              <w:t>GO para Projeto 2</w:t>
              <w:br/>
            </w:r>
            <w:r>
              <w:t>Após P0 corrigido e P1 aprovado, não é necessário continuar aumentando a complexidade do CommerceHub. O próximo investimento de portfólio deve demonstrar uma competência diferente e comercialmente útil para seus trabalhos freelance.</w:t>
            </w:r>
          </w:p>
        </w:tc>
      </w:tr>
    </w:tbl>
    <w:p>
      <w:pPr>
        <w:pStyle w:val="Heading1"/>
      </w:pPr>
      <w:r>
        <w:t>22. Referências de trabalho</w:t>
      </w:r>
    </w:p>
    <w:p>
      <w:r>
        <w:t>https://github.com/ThiagoGuimaraesRocha/CommerceHub</w:t>
      </w:r>
    </w:p>
    <w:p>
      <w:r>
        <w:t>https://github.com/ThiagoGuimaraesRocha/CommerceHub/actions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Runbook de validação • 15/10/2026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CommerceHub • P1 — Validar demonstração ponta a ponta •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