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24"/>
        </w:rPr>
        <w:t>MACAO POLYTECHNIC UNIVERSITY</w:t>
      </w:r>
    </w:p>
    <w:p>
      <w:pPr>
        <w:jc w:val="center"/>
      </w:pPr>
      <w:r>
        <w:rPr>
          <w:sz w:val="22"/>
        </w:rPr>
        <w:t>CSAI3121 – Machine Learning and Intelligent Data Analysis</w:t>
        <w:br/>
        <w:t>Ano letivo 2026/2027 · Semestre 1</w:t>
      </w:r>
    </w:p>
    <w:p/>
    <w:p/>
    <w:p>
      <w:pPr>
        <w:jc w:val="center"/>
      </w:pPr>
      <w:r>
        <w:rPr>
          <w:b/>
          <w:color w:val="1F3A5F"/>
          <w:sz w:val="48"/>
        </w:rPr>
        <w:t>Previsão do Tempo em Macau com Machine Learning</w:t>
      </w:r>
    </w:p>
    <w:p>
      <w:pPr>
        <w:jc w:val="center"/>
      </w:pPr>
      <w:r>
        <w:rPr>
          <w:color w:val="555555"/>
          <w:sz w:val="26"/>
        </w:rPr>
        <w:t>Temperatura máxima, mínima e condição do tempo do dia seguinte</w:t>
      </w:r>
    </w:p>
    <w:p/>
    <w:p/>
    <w:tbl>
      <w:tblPr>
        <w:tblStyle w:val="TableGrid"/>
        <w:tblW w:type="auto" w:w="0"/>
        <w:jc w:val="center"/>
        <w:tblLayout w:type="fixed"/>
        <w:tblLook w:firstColumn="1" w:firstRow="1" w:lastColumn="0" w:lastRow="0" w:noHBand="0" w:noVBand="1" w:val="04A0"/>
      </w:tblPr>
      <w:tblGrid>
        <w:gridCol w:w="2268"/>
        <w:gridCol w:w="6803"/>
      </w:tblGrid>
      <w:tr>
        <w:trPr>
          <w:tblHeader w:val="true"/>
        </w:trPr>
        <w:tc>
          <w:tcPr>
            <w:tcW w:type="dxa" w:w="2268"/>
            <w:shd w:val="clear" w:color="auto" w:fill="DCE6F2"/>
          </w:tcPr>
          <w:p>
            <w:pPr>
              <w:spacing w:after="0" w:line="240" w:lineRule="auto"/>
            </w:pPr>
            <w:r>
              <w:rPr>
                <w:b/>
                <w:sz w:val="19"/>
              </w:rPr>
              <w:t>Campo</w:t>
            </w:r>
          </w:p>
        </w:tc>
        <w:tc>
          <w:tcPr>
            <w:tcW w:type="dxa" w:w="6803"/>
            <w:shd w:val="clear" w:color="auto" w:fill="DCE6F2"/>
          </w:tcPr>
          <w:p>
            <w:pPr>
              <w:spacing w:after="0" w:line="240" w:lineRule="auto"/>
            </w:pPr>
            <w:r>
              <w:rPr>
                <w:b/>
                <w:sz w:val="19"/>
              </w:rPr>
              <w:t>Valor</w:t>
            </w:r>
          </w:p>
        </w:tc>
      </w:tr>
      <w:tr>
        <w:tc>
          <w:tcPr>
            <w:tcW w:type="dxa" w:w="2268"/>
          </w:tcPr>
          <w:p>
            <w:pPr>
              <w:spacing w:after="0" w:line="240" w:lineRule="auto"/>
            </w:pPr>
            <w:r>
              <w:rPr>
                <w:sz w:val="19"/>
              </w:rPr>
              <w:t>Grupo</w:t>
            </w:r>
          </w:p>
        </w:tc>
        <w:tc>
          <w:tcPr>
            <w:tcW w:type="dxa" w:w="6803"/>
          </w:tcPr>
          <w:p>
            <w:pPr>
              <w:spacing w:after="0" w:line="240" w:lineRule="auto"/>
            </w:pPr>
            <w:r>
              <w:rPr>
                <w:sz w:val="19"/>
              </w:rPr>
              <w:t>(preencher o número do grupo)</w:t>
            </w:r>
          </w:p>
        </w:tc>
      </w:tr>
      <w:tr>
        <w:tc>
          <w:tcPr>
            <w:tcW w:type="dxa" w:w="2268"/>
          </w:tcPr>
          <w:p>
            <w:pPr>
              <w:spacing w:after="0" w:line="240" w:lineRule="auto"/>
            </w:pPr>
            <w:r>
              <w:rPr>
                <w:sz w:val="19"/>
              </w:rPr>
              <w:t>Membros</w:t>
            </w:r>
          </w:p>
        </w:tc>
        <w:tc>
          <w:tcPr>
            <w:tcW w:type="dxa" w:w="6803"/>
          </w:tcPr>
          <w:p>
            <w:pPr>
              <w:spacing w:after="0" w:line="240" w:lineRule="auto"/>
            </w:pPr>
            <w:r>
              <w:rPr>
                <w:sz w:val="19"/>
              </w:rPr>
              <w:t>Thiago Honorato Ferreira (P262742-1) · Marcelo Oliveira (P262739-4) · João Vitor Konrad (P262740-2)</w:t>
            </w:r>
          </w:p>
        </w:tc>
      </w:tr>
      <w:tr>
        <w:tc>
          <w:tcPr>
            <w:tcW w:type="dxa" w:w="2268"/>
          </w:tcPr>
          <w:p>
            <w:pPr>
              <w:spacing w:after="0" w:line="240" w:lineRule="auto"/>
            </w:pPr>
            <w:r>
              <w:rPr>
                <w:sz w:val="19"/>
              </w:rPr>
              <w:t>Data de entrega</w:t>
            </w:r>
          </w:p>
        </w:tc>
        <w:tc>
          <w:tcPr>
            <w:tcW w:type="dxa" w:w="6803"/>
          </w:tcPr>
          <w:p>
            <w:pPr>
              <w:spacing w:after="0" w:line="240" w:lineRule="auto"/>
            </w:pPr>
            <w:r>
              <w:rPr>
                <w:sz w:val="19"/>
              </w:rPr>
              <w:t>11 de novembro de 2026</w:t>
            </w:r>
          </w:p>
        </w:tc>
      </w:tr>
    </w:tbl>
    <w:p>
      <w:pPr>
        <w:spacing w:after="40"/>
      </w:pPr>
    </w:p>
    <w:p>
      <w:pPr>
        <w:jc w:val="center"/>
      </w:pPr>
      <w:r>
        <w:rPr>
          <w:i/>
          <w:color w:val="555555"/>
          <w:sz w:val="19"/>
        </w:rPr>
        <w:t>Relatório técnico. Todos os resultados provêm do notebook notebooks/weather_prediction_macau.ipynb (dados Open‑Meteo/ERA5, semente 42).</w:t>
      </w:r>
    </w:p>
    <w:p>
      <w:pPr>
        <w:pStyle w:val="Heading1"/>
        <w:pageBreakBefore/>
        <w:spacing w:before="0"/>
      </w:pPr>
      <w:r>
        <w:t>1. Sumário Executivo</w:t>
      </w:r>
    </w:p>
    <w:p>
      <w:pPr>
        <w:jc w:val="both"/>
      </w:pPr>
      <w:r>
        <w:t>Este trabalho desenvolve um sistema de aprendizado de máquina que prevê, para Macau, a temperatura máxima e mínima do dia seguinte e a condição do tempo (céu limpo, parcialmente nublado, nublado ou chuva). O sistema erra a temperatura máxima em 1,22 °C, em média, e a mínima em 0,99 °C. Isso representa 19 % e 11 % menos erro do que a regra simples “amanhã será igual a hoje”, uma melhoria comprovada estatisticamente.</w:t>
      </w:r>
    </w:p>
    <w:p>
      <w:pPr>
        <w:jc w:val="both"/>
      </w:pPr>
      <w:r>
        <w:rPr>
          <w:b/>
        </w:rPr>
        <w:t>Por que isso importa.</w:t>
      </w:r>
      <w:r>
        <w:t xml:space="preserve"> Previsões de curtíssimo prazo orientam decisões cotidianas de escolas, empresas de energia, serviços de saúde e organizadores de eventos. A temperatura de amanhã se parece muito com a de hoje, e por isso qualquer modelo precisa superar essa referência para ter valor real.</w:t>
      </w:r>
    </w:p>
    <w:p>
      <w:pPr>
        <w:jc w:val="both"/>
      </w:pPr>
      <w:r>
        <w:rPr>
          <w:b/>
        </w:rPr>
        <w:t>Dados.</w:t>
      </w:r>
      <w:r>
        <w:t xml:space="preserve"> Os dados fornecidos pela orientação do projeto (Visual Crossing) cobriam apenas 15 dias, e eram a previsão dos dias seguintes, não o histórico; por isso não puderam ser usados. Em seu lugar foram usados 12 anos de dados diários de Macau (2014–2025, 4383 dias) da base pública Open‑Meteo, convertidos para o mesmo formato. Os modelos aprenderam com 2014–2021, foram escolhidos com 2022–2023 e avaliados uma única vez em 2024–2025.</w:t>
      </w:r>
    </w:p>
    <w:p>
      <w:pPr>
        <w:jc w:val="both"/>
      </w:pPr>
      <w:r>
        <w:rPr>
          <w:b/>
        </w:rPr>
        <w:t>Principais resultados.</w:t>
      </w:r>
    </w:p>
    <w:p>
      <w:pPr>
        <w:pStyle w:val="ListBullet"/>
        <w:spacing w:after="60"/>
      </w:pPr>
      <w:r>
        <w:t>Temperatura máxima: erro médio de 1,22 °C contra 1,51 °C da regra “amanhã = hoje”. O ganho se concentra no inverno, quando frentes frias derrubam a temperatura de um dia para o outro (erro de 1,91 para 1,43 °C).</w:t>
      </w:r>
    </w:p>
    <w:p>
      <w:pPr>
        <w:pStyle w:val="ListBullet"/>
        <w:spacing w:after="60"/>
      </w:pPr>
      <w:r>
        <w:t>Temperatura mínima: erro médio de 0,99 °C contra 1,11 °C.</w:t>
      </w:r>
    </w:p>
    <w:p>
      <w:pPr>
        <w:pStyle w:val="ListBullet"/>
        <w:spacing w:after="60"/>
      </w:pPr>
      <w:r>
        <w:t>Condição do tempo: o sistema acerta 4 em cada 5 dias na pergunta “vai chover amanhã?” e fornece uma probabilidade de chuva 37 % mais precisa do que a média histórica. Na classificação em quatro categorias, porém, o ganho sobre a regra simples é pequeno e não comprovado.</w:t>
      </w:r>
    </w:p>
    <w:p>
      <w:pPr>
        <w:jc w:val="both"/>
      </w:pPr>
      <w:r>
        <w:rPr>
          <w:b/>
        </w:rPr>
        <w:t>Limitações e conclusão.</w:t>
      </w:r>
      <w:r>
        <w:t xml:space="preserve"> O sistema observa um único ponto do mapa e por isso não “vê” tufões ou frentes que se aproximam; ele também suaviza valores extremos. Ele é útil como apoio ao planejamento, mas não substitui os avisos oficiais dos Serviços Meteorológicos e Geofísicos de Macau (SMG). A principal lição é que, em séries temporais, o ganho veio de representar bem a memória e a sazonalidade do clima, mais do que de algoritmos complexos.</w:t>
      </w:r>
    </w:p>
    <w:p>
      <w:pPr>
        <w:pStyle w:val="Heading1"/>
        <w:pageBreakBefore w:val="0"/>
        <w:spacing w:before="280"/>
      </w:pPr>
      <w:r>
        <w:t>2. Definição do Problema e Dataset</w:t>
      </w:r>
    </w:p>
    <w:p>
      <w:pPr>
        <w:pStyle w:val="Heading2"/>
      </w:pPr>
      <w:r>
        <w:t>2.1 Descrição do problema</w:t>
      </w:r>
    </w:p>
    <w:p>
      <w:pPr>
        <w:jc w:val="both"/>
      </w:pPr>
      <w:r>
        <w:t>O projeto aborda duas tarefas de previsão com horizonte de um dia (t+1). Em ambas, só pode ser usada informação disponível até o fim do dia t, exatamente como aconteceria numa previsão real.</w:t>
      </w:r>
    </w:p>
    <w:tbl>
      <w:tblPr>
        <w:tblStyle w:val="TableGrid"/>
        <w:tblW w:type="auto" w:w="0"/>
        <w:jc w:val="center"/>
        <w:tblLayout w:type="fixed"/>
        <w:tblLook w:firstColumn="1" w:firstRow="1" w:lastColumn="0" w:lastRow="0" w:noHBand="0" w:noVBand="1" w:val="04A0"/>
      </w:tblPr>
      <w:tblGrid>
        <w:gridCol w:w="838"/>
        <w:gridCol w:w="1816"/>
        <w:gridCol w:w="4657"/>
        <w:gridCol w:w="1759"/>
      </w:tblGrid>
      <w:tr>
        <w:trPr>
          <w:tblHeader w:val="true"/>
        </w:trPr>
        <w:tc>
          <w:tcPr>
            <w:tcW w:type="dxa" w:w="838"/>
            <w:shd w:val="clear" w:color="auto" w:fill="DCE6F2"/>
          </w:tcPr>
          <w:p>
            <w:pPr>
              <w:spacing w:after="0" w:line="240" w:lineRule="auto"/>
            </w:pPr>
            <w:r>
              <w:rPr>
                <w:b/>
                <w:sz w:val="19"/>
              </w:rPr>
              <w:t>Tarefa</w:t>
            </w:r>
          </w:p>
        </w:tc>
        <w:tc>
          <w:tcPr>
            <w:tcW w:type="dxa" w:w="1816"/>
            <w:shd w:val="clear" w:color="auto" w:fill="DCE6F2"/>
          </w:tcPr>
          <w:p>
            <w:pPr>
              <w:spacing w:after="0" w:line="240" w:lineRule="auto"/>
            </w:pPr>
            <w:r>
              <w:rPr>
                <w:b/>
                <w:sz w:val="19"/>
              </w:rPr>
              <w:t>Tipo</w:t>
            </w:r>
          </w:p>
        </w:tc>
        <w:tc>
          <w:tcPr>
            <w:tcW w:type="dxa" w:w="4657"/>
            <w:shd w:val="clear" w:color="auto" w:fill="DCE6F2"/>
          </w:tcPr>
          <w:p>
            <w:pPr>
              <w:spacing w:after="0" w:line="240" w:lineRule="auto"/>
            </w:pPr>
            <w:r>
              <w:rPr>
                <w:b/>
                <w:sz w:val="19"/>
              </w:rPr>
              <w:t>Alvo</w:t>
            </w:r>
          </w:p>
        </w:tc>
        <w:tc>
          <w:tcPr>
            <w:tcW w:type="dxa" w:w="1759"/>
            <w:shd w:val="clear" w:color="auto" w:fill="DCE6F2"/>
          </w:tcPr>
          <w:p>
            <w:pPr>
              <w:spacing w:after="0" w:line="240" w:lineRule="auto"/>
            </w:pPr>
            <w:r>
              <w:rPr>
                <w:b/>
                <w:sz w:val="19"/>
              </w:rPr>
              <w:t>Métrica principal</w:t>
            </w:r>
          </w:p>
        </w:tc>
      </w:tr>
      <w:tr>
        <w:tc>
          <w:tcPr>
            <w:tcW w:type="dxa" w:w="838"/>
          </w:tcPr>
          <w:p>
            <w:pPr>
              <w:spacing w:after="0" w:line="240" w:lineRule="auto"/>
            </w:pPr>
            <w:r>
              <w:rPr>
                <w:sz w:val="19"/>
              </w:rPr>
              <w:t>1</w:t>
            </w:r>
          </w:p>
        </w:tc>
        <w:tc>
          <w:tcPr>
            <w:tcW w:type="dxa" w:w="1816"/>
          </w:tcPr>
          <w:p>
            <w:pPr>
              <w:spacing w:after="0" w:line="240" w:lineRule="auto"/>
            </w:pPr>
            <w:r>
              <w:rPr>
                <w:sz w:val="19"/>
              </w:rPr>
              <w:t>Regressão</w:t>
            </w:r>
          </w:p>
        </w:tc>
        <w:tc>
          <w:tcPr>
            <w:tcW w:type="dxa" w:w="4657"/>
          </w:tcPr>
          <w:p>
            <w:pPr>
              <w:spacing w:after="0" w:line="240" w:lineRule="auto"/>
            </w:pPr>
            <w:r>
              <w:rPr>
                <w:sz w:val="19"/>
              </w:rPr>
              <w:t>Temperatura máxima e mínima de amanhã (°C), um modelo para cada</w:t>
            </w:r>
          </w:p>
        </w:tc>
        <w:tc>
          <w:tcPr>
            <w:tcW w:type="dxa" w:w="1759"/>
          </w:tcPr>
          <w:p>
            <w:pPr>
              <w:spacing w:after="0" w:line="240" w:lineRule="auto"/>
            </w:pPr>
            <w:r>
              <w:rPr>
                <w:sz w:val="19"/>
              </w:rPr>
              <w:t>MAE</w:t>
            </w:r>
          </w:p>
        </w:tc>
      </w:tr>
      <w:tr>
        <w:tc>
          <w:tcPr>
            <w:tcW w:type="dxa" w:w="838"/>
          </w:tcPr>
          <w:p>
            <w:pPr>
              <w:spacing w:after="0" w:line="240" w:lineRule="auto"/>
            </w:pPr>
            <w:r>
              <w:rPr>
                <w:sz w:val="19"/>
              </w:rPr>
              <w:t>2</w:t>
            </w:r>
          </w:p>
        </w:tc>
        <w:tc>
          <w:tcPr>
            <w:tcW w:type="dxa" w:w="1816"/>
          </w:tcPr>
          <w:p>
            <w:pPr>
              <w:spacing w:after="0" w:line="240" w:lineRule="auto"/>
            </w:pPr>
            <w:r>
              <w:rPr>
                <w:sz w:val="19"/>
              </w:rPr>
              <w:t>Classificação</w:t>
            </w:r>
          </w:p>
        </w:tc>
        <w:tc>
          <w:tcPr>
            <w:tcW w:type="dxa" w:w="4657"/>
          </w:tcPr>
          <w:p>
            <w:pPr>
              <w:spacing w:after="0" w:line="240" w:lineRule="auto"/>
            </w:pPr>
            <w:r>
              <w:rPr>
                <w:sz w:val="19"/>
              </w:rPr>
              <w:t>Condição de amanhã: Clear, Partly Cloudy, Cloudy ou Rain</w:t>
            </w:r>
          </w:p>
        </w:tc>
        <w:tc>
          <w:tcPr>
            <w:tcW w:type="dxa" w:w="1759"/>
          </w:tcPr>
          <w:p>
            <w:pPr>
              <w:spacing w:after="0" w:line="240" w:lineRule="auto"/>
            </w:pPr>
            <w:r>
              <w:rPr>
                <w:sz w:val="19"/>
              </w:rPr>
              <w:t>F1‑macro</w:t>
            </w:r>
          </w:p>
        </w:tc>
      </w:tr>
    </w:tbl>
    <w:p>
      <w:pPr>
        <w:spacing w:after="40"/>
      </w:pPr>
    </w:p>
    <w:p>
      <w:pPr>
        <w:jc w:val="both"/>
      </w:pPr>
      <w:r>
        <w:t>O problema é interessante do ponto de vista de aprendizado de máquina porque o tempo combina duas estruturas que modelos tabulares não captam sozinhos: memória (o estado de hoje condiciona o de amanhã) e ciclos (as estações do ano). O desafio é, portanto, traduzir uma série temporal em variáveis que um modelo supervisionado consiga usar sem acesso ao futuro.</w:t>
      </w:r>
    </w:p>
    <w:p>
      <w:pPr>
        <w:jc w:val="both"/>
      </w:pPr>
      <w:r>
        <w:t>Foram definidos quatro objetivos: (1) superar a persistência (“amanhã = hoje”) nas duas tarefas; (2) usar validação estritamente cronológica, sem vazamento de informação; (3) verificar se as diferenças observadas são estatisticamente significativas e praticamente relevantes; (4) entregar um código reprodutível, executável do início ao fim sem intervenção manual.</w:t>
      </w:r>
    </w:p>
    <w:p>
      <w:pPr>
        <w:pStyle w:val="Heading2"/>
      </w:pPr>
      <w:r>
        <w:t>2.2 Dataset</w:t>
      </w:r>
    </w:p>
    <w:p>
      <w:pPr>
        <w:jc w:val="both"/>
      </w:pPr>
      <w:r>
        <w:rPr>
          <w:b/>
        </w:rPr>
        <w:t>Dados da orientação: análise prévia.</w:t>
      </w:r>
      <w:r>
        <w:t xml:space="preserve"> A especificação recomenda o Visual Crossing Weather Query Builder. O arquivo obtido (</w:t>
      </w:r>
      <w:r>
        <w:rPr>
          <w:rFonts w:ascii="Consolas" w:hAnsi="Consolas" w:eastAsia="Consolas"/>
          <w:color w:val="8B1E3F"/>
        </w:rPr>
        <w:t>macao_teacher_data.csv</w:t>
      </w:r>
      <w:r>
        <w:t>) foi auditado antes de qualquer modelagem: continha 15 registros, de 11/10/2026 a 25/10/2026, todos com datas futuras e em unidades americanas. Trata‑se da previsão padrão exibida pelo serviço, não de dados históricos. Como o projeto exige ao menos 3000 dias de histórico, o arquivo foi descartado para modelagem e mantido apenas como referência de formato.</w:t>
      </w:r>
    </w:p>
    <w:p>
      <w:pPr>
        <w:jc w:val="both"/>
      </w:pPr>
      <w:r>
        <w:rPr>
          <w:b/>
        </w:rPr>
        <w:t>Fonte adotada.</w:t>
      </w:r>
      <w:r>
        <w:t xml:space="preserve"> Usou‑se a Open‑Meteo Historical Weather API, que disponibiliza gratuitamente a reanálise ERA5 do ECMWF (Hersbach et al., 2020). Uma reanálise combina observações de estações, satélites e radiossondas num modelo físico, produzindo uma estimativa contínua e sem lacunas do estado da atmosfera. Os dados brutos foram salvos sem alteração em </w:t>
      </w:r>
      <w:r>
        <w:rPr>
          <w:rFonts w:ascii="Consolas" w:hAnsi="Consolas" w:eastAsia="Consolas"/>
          <w:color w:val="8B1E3F"/>
        </w:rPr>
        <w:t>data/macao_openmeteo.csv</w:t>
      </w:r>
      <w:r>
        <w:t xml:space="preserve"> e depois convertidos para o esquema de colunas do Visual Crossing, o que torna o código independente da fonte.</w:t>
      </w:r>
    </w:p>
    <w:tbl>
      <w:tblPr>
        <w:tblStyle w:val="TableGrid"/>
        <w:tblW w:type="auto" w:w="0"/>
        <w:jc w:val="center"/>
        <w:tblLayout w:type="fixed"/>
        <w:tblLook w:firstColumn="1" w:firstRow="1" w:lastColumn="0" w:lastRow="0" w:noHBand="0" w:noVBand="1" w:val="04A0"/>
      </w:tblPr>
      <w:tblGrid>
        <w:gridCol w:w="3155"/>
        <w:gridCol w:w="5916"/>
      </w:tblGrid>
      <w:tr>
        <w:trPr>
          <w:tblHeader w:val="true"/>
        </w:trPr>
        <w:tc>
          <w:tcPr>
            <w:tcW w:type="dxa" w:w="3155"/>
            <w:shd w:val="clear" w:color="auto" w:fill="DCE6F2"/>
          </w:tcPr>
          <w:p>
            <w:pPr>
              <w:spacing w:after="0" w:line="240" w:lineRule="auto"/>
            </w:pPr>
            <w:r>
              <w:rPr>
                <w:b/>
                <w:sz w:val="19"/>
              </w:rPr>
              <w:t>Item</w:t>
            </w:r>
          </w:p>
        </w:tc>
        <w:tc>
          <w:tcPr>
            <w:tcW w:type="dxa" w:w="5916"/>
            <w:shd w:val="clear" w:color="auto" w:fill="DCE6F2"/>
          </w:tcPr>
          <w:p>
            <w:pPr>
              <w:spacing w:after="0" w:line="240" w:lineRule="auto"/>
            </w:pPr>
            <w:r>
              <w:rPr>
                <w:b/>
                <w:sz w:val="19"/>
              </w:rPr>
              <w:t>Valor</w:t>
            </w:r>
          </w:p>
        </w:tc>
      </w:tr>
      <w:tr>
        <w:tc>
          <w:tcPr>
            <w:tcW w:type="dxa" w:w="3155"/>
          </w:tcPr>
          <w:p>
            <w:pPr>
              <w:spacing w:after="0" w:line="240" w:lineRule="auto"/>
            </w:pPr>
            <w:r>
              <w:rPr>
                <w:sz w:val="19"/>
              </w:rPr>
              <w:t>Local</w:t>
            </w:r>
          </w:p>
        </w:tc>
        <w:tc>
          <w:tcPr>
            <w:tcW w:type="dxa" w:w="5916"/>
          </w:tcPr>
          <w:p>
            <w:pPr>
              <w:spacing w:after="0" w:line="240" w:lineRule="auto"/>
            </w:pPr>
            <w:r>
              <w:rPr>
                <w:sz w:val="19"/>
              </w:rPr>
              <w:t>Macau (lat 22,20; lon 113,54), fuso Asia/Macau</w:t>
            </w:r>
          </w:p>
        </w:tc>
      </w:tr>
      <w:tr>
        <w:tc>
          <w:tcPr>
            <w:tcW w:type="dxa" w:w="3155"/>
          </w:tcPr>
          <w:p>
            <w:pPr>
              <w:spacing w:after="0" w:line="240" w:lineRule="auto"/>
            </w:pPr>
            <w:r>
              <w:rPr>
                <w:sz w:val="19"/>
              </w:rPr>
              <w:t>Período</w:t>
            </w:r>
          </w:p>
        </w:tc>
        <w:tc>
          <w:tcPr>
            <w:tcW w:type="dxa" w:w="5916"/>
          </w:tcPr>
          <w:p>
            <w:pPr>
              <w:spacing w:after="0" w:line="240" w:lineRule="auto"/>
            </w:pPr>
            <w:r>
              <w:rPr>
                <w:sz w:val="19"/>
              </w:rPr>
              <w:t>01/01/2014 a 31/12/2025, diário e contínuo</w:t>
            </w:r>
          </w:p>
        </w:tc>
      </w:tr>
      <w:tr>
        <w:tc>
          <w:tcPr>
            <w:tcW w:type="dxa" w:w="3155"/>
          </w:tcPr>
          <w:p>
            <w:pPr>
              <w:spacing w:after="0" w:line="240" w:lineRule="auto"/>
            </w:pPr>
            <w:r>
              <w:rPr>
                <w:sz w:val="19"/>
              </w:rPr>
              <w:t>Registros</w:t>
            </w:r>
          </w:p>
        </w:tc>
        <w:tc>
          <w:tcPr>
            <w:tcW w:type="dxa" w:w="5916"/>
          </w:tcPr>
          <w:p>
            <w:pPr>
              <w:spacing w:after="0" w:line="240" w:lineRule="auto"/>
            </w:pPr>
            <w:r>
              <w:rPr>
                <w:sz w:val="19"/>
              </w:rPr>
              <w:t>4383 dias (mínimo exigido: 3000)</w:t>
            </w:r>
          </w:p>
        </w:tc>
      </w:tr>
      <w:tr>
        <w:tc>
          <w:tcPr>
            <w:tcW w:type="dxa" w:w="3155"/>
          </w:tcPr>
          <w:p>
            <w:pPr>
              <w:spacing w:after="0" w:line="240" w:lineRule="auto"/>
            </w:pPr>
            <w:r>
              <w:rPr>
                <w:sz w:val="19"/>
              </w:rPr>
              <w:t>Variáveis brutas</w:t>
            </w:r>
          </w:p>
        </w:tc>
        <w:tc>
          <w:tcPr>
            <w:tcW w:type="dxa" w:w="5916"/>
          </w:tcPr>
          <w:p>
            <w:pPr>
              <w:spacing w:after="0" w:line="240" w:lineRule="auto"/>
            </w:pPr>
            <w:r>
              <w:rPr>
                <w:sz w:val="19"/>
              </w:rPr>
              <w:t>15 numéricas + 1 rótulo textual (</w:t>
            </w:r>
            <w:r>
              <w:rPr>
                <w:rFonts w:ascii="Consolas" w:hAnsi="Consolas" w:eastAsia="Consolas"/>
                <w:color w:val="8B1E3F"/>
                <w:sz w:val="19"/>
              </w:rPr>
              <w:t>conditions</w:t>
            </w:r>
            <w:r>
              <w:rPr>
                <w:sz w:val="19"/>
              </w:rPr>
              <w:t>)</w:t>
            </w:r>
          </w:p>
        </w:tc>
      </w:tr>
      <w:tr>
        <w:tc>
          <w:tcPr>
            <w:tcW w:type="dxa" w:w="3155"/>
          </w:tcPr>
          <w:p>
            <w:pPr>
              <w:spacing w:after="0" w:line="240" w:lineRule="auto"/>
            </w:pPr>
            <w:r>
              <w:rPr>
                <w:sz w:val="19"/>
              </w:rPr>
              <w:t>Features após engenharia</w:t>
            </w:r>
          </w:p>
        </w:tc>
        <w:tc>
          <w:tcPr>
            <w:tcW w:type="dxa" w:w="5916"/>
          </w:tcPr>
          <w:p>
            <w:pPr>
              <w:spacing w:after="0" w:line="240" w:lineRule="auto"/>
            </w:pPr>
            <w:r>
              <w:rPr>
                <w:sz w:val="19"/>
              </w:rPr>
              <w:t>76</w:t>
            </w:r>
          </w:p>
        </w:tc>
      </w:tr>
      <w:tr>
        <w:tc>
          <w:tcPr>
            <w:tcW w:type="dxa" w:w="3155"/>
          </w:tcPr>
          <w:p>
            <w:pPr>
              <w:spacing w:after="0" w:line="240" w:lineRule="auto"/>
            </w:pPr>
            <w:r>
              <w:rPr>
                <w:sz w:val="19"/>
              </w:rPr>
              <w:t>Alvos</w:t>
            </w:r>
          </w:p>
        </w:tc>
        <w:tc>
          <w:tcPr>
            <w:tcW w:type="dxa" w:w="5916"/>
          </w:tcPr>
          <w:p>
            <w:pPr>
              <w:spacing w:after="0" w:line="240" w:lineRule="auto"/>
            </w:pPr>
            <w:r>
              <w:rPr>
                <w:rFonts w:ascii="Consolas" w:hAnsi="Consolas" w:eastAsia="Consolas"/>
                <w:color w:val="8B1E3F"/>
                <w:sz w:val="19"/>
              </w:rPr>
              <w:t>target_tmax</w:t>
            </w:r>
            <w:r>
              <w:rPr>
                <w:sz w:val="19"/>
              </w:rPr>
              <w:t xml:space="preserve">, </w:t>
            </w:r>
            <w:r>
              <w:rPr>
                <w:rFonts w:ascii="Consolas" w:hAnsi="Consolas" w:eastAsia="Consolas"/>
                <w:color w:val="8B1E3F"/>
                <w:sz w:val="19"/>
              </w:rPr>
              <w:t>target_tmin</w:t>
            </w:r>
            <w:r>
              <w:rPr>
                <w:sz w:val="19"/>
              </w:rPr>
              <w:t xml:space="preserve"> (°C) e </w:t>
            </w:r>
            <w:r>
              <w:rPr>
                <w:rFonts w:ascii="Consolas" w:hAnsi="Consolas" w:eastAsia="Consolas"/>
                <w:color w:val="8B1E3F"/>
                <w:sz w:val="19"/>
              </w:rPr>
              <w:t>target_cond</w:t>
            </w:r>
            <w:r>
              <w:rPr>
                <w:sz w:val="19"/>
              </w:rPr>
              <w:t xml:space="preserve"> (4 classes)</w:t>
            </w:r>
          </w:p>
        </w:tc>
      </w:tr>
    </w:tbl>
    <w:p>
      <w:pPr>
        <w:spacing w:after="40"/>
      </w:pPr>
    </w:p>
    <w:p>
      <w:pPr>
        <w:jc w:val="both"/>
      </w:pPr>
      <w:r>
        <w:t>As 15 variáveis numéricas são: temperatura máxima, mínima e média; sensação térmica máxima e mínima; ponto de orvalho; umidade relativa; precipitação; percentual do dia com chuva; vento máximo; rajada máxima; direção do vento; pressão ao nível do mar; cobertura de nuvens; e energia solar.</w:t>
      </w:r>
    </w:p>
    <w:p>
      <w:pPr>
        <w:jc w:val="both"/>
      </w:pPr>
      <w:r>
        <w:rPr>
          <w:b/>
        </w:rPr>
        <w:t>Definição das classes.</w:t>
      </w:r>
      <w:r>
        <w:t xml:space="preserve"> A especificação exige um mapeamento explícito dos rótulos originais para um conjunto pequeno de classes. Como o ERA5 não fornece um rótulo textual, ele foi construído com regras físicas e depois mapeado com prioridade para a precipitação, por ser a condição que mais afeta decisões práticas:</w:t>
      </w:r>
    </w:p>
    <w:tbl>
      <w:tblPr>
        <w:tblStyle w:val="TableGrid"/>
        <w:tblW w:type="auto" w:w="0"/>
        <w:jc w:val="center"/>
        <w:tblLayout w:type="fixed"/>
        <w:tblLook w:firstColumn="1" w:firstRow="1" w:lastColumn="0" w:lastRow="0" w:noHBand="0" w:noVBand="1" w:val="04A0"/>
      </w:tblPr>
      <w:tblGrid>
        <w:gridCol w:w="5360"/>
        <w:gridCol w:w="1549"/>
        <w:gridCol w:w="715"/>
        <w:gridCol w:w="1447"/>
      </w:tblGrid>
      <w:tr>
        <w:trPr>
          <w:tblHeader w:val="true"/>
        </w:trPr>
        <w:tc>
          <w:tcPr>
            <w:tcW w:type="dxa" w:w="5360"/>
            <w:shd w:val="clear" w:color="auto" w:fill="DCE6F2"/>
          </w:tcPr>
          <w:p>
            <w:pPr>
              <w:spacing w:after="0" w:line="240" w:lineRule="auto"/>
            </w:pPr>
            <w:r>
              <w:rPr>
                <w:b/>
                <w:sz w:val="19"/>
              </w:rPr>
              <w:t>Regra</w:t>
            </w:r>
          </w:p>
        </w:tc>
        <w:tc>
          <w:tcPr>
            <w:tcW w:type="dxa" w:w="1549"/>
            <w:shd w:val="clear" w:color="auto" w:fill="DCE6F2"/>
          </w:tcPr>
          <w:p>
            <w:pPr>
              <w:spacing w:after="0" w:line="240" w:lineRule="auto"/>
            </w:pPr>
            <w:r>
              <w:rPr>
                <w:b/>
                <w:sz w:val="19"/>
              </w:rPr>
              <w:t>Classe</w:t>
            </w:r>
          </w:p>
        </w:tc>
        <w:tc>
          <w:tcPr>
            <w:tcW w:type="dxa" w:w="715"/>
            <w:shd w:val="clear" w:color="auto" w:fill="DCE6F2"/>
          </w:tcPr>
          <w:p>
            <w:pPr>
              <w:spacing w:after="0" w:line="240" w:lineRule="auto"/>
            </w:pPr>
            <w:r>
              <w:rPr>
                <w:b/>
                <w:sz w:val="19"/>
              </w:rPr>
              <w:t>Dias</w:t>
            </w:r>
          </w:p>
        </w:tc>
        <w:tc>
          <w:tcPr>
            <w:tcW w:type="dxa" w:w="1447"/>
            <w:shd w:val="clear" w:color="auto" w:fill="DCE6F2"/>
          </w:tcPr>
          <w:p>
            <w:pPr>
              <w:spacing w:after="0" w:line="240" w:lineRule="auto"/>
            </w:pPr>
            <w:r>
              <w:rPr>
                <w:b/>
                <w:sz w:val="19"/>
              </w:rPr>
              <w:t>Proporção</w:t>
            </w:r>
          </w:p>
        </w:tc>
      </w:tr>
      <w:tr>
        <w:tc>
          <w:tcPr>
            <w:tcW w:type="dxa" w:w="5360"/>
          </w:tcPr>
          <w:p>
            <w:pPr>
              <w:spacing w:after="0" w:line="240" w:lineRule="auto"/>
            </w:pPr>
            <w:r>
              <w:rPr>
                <w:sz w:val="19"/>
              </w:rPr>
              <w:t>Precipitação ≥ 1 mm (convenção da OMM para “dia de chuva”)</w:t>
            </w:r>
          </w:p>
        </w:tc>
        <w:tc>
          <w:tcPr>
            <w:tcW w:type="dxa" w:w="1549"/>
          </w:tcPr>
          <w:p>
            <w:pPr>
              <w:spacing w:after="0" w:line="240" w:lineRule="auto"/>
            </w:pPr>
            <w:r>
              <w:rPr>
                <w:sz w:val="19"/>
              </w:rPr>
              <w:t>Rain</w:t>
            </w:r>
          </w:p>
        </w:tc>
        <w:tc>
          <w:tcPr>
            <w:tcW w:type="dxa" w:w="715"/>
          </w:tcPr>
          <w:p>
            <w:pPr>
              <w:spacing w:after="0" w:line="240" w:lineRule="auto"/>
            </w:pPr>
            <w:r>
              <w:rPr>
                <w:sz w:val="19"/>
              </w:rPr>
              <w:t>2104</w:t>
            </w:r>
          </w:p>
        </w:tc>
        <w:tc>
          <w:tcPr>
            <w:tcW w:type="dxa" w:w="1447"/>
          </w:tcPr>
          <w:p>
            <w:pPr>
              <w:spacing w:after="0" w:line="240" w:lineRule="auto"/>
            </w:pPr>
            <w:r>
              <w:rPr>
                <w:sz w:val="19"/>
              </w:rPr>
              <w:t>48 %</w:t>
            </w:r>
          </w:p>
        </w:tc>
      </w:tr>
      <w:tr>
        <w:tc>
          <w:tcPr>
            <w:tcW w:type="dxa" w:w="5360"/>
          </w:tcPr>
          <w:p>
            <w:pPr>
              <w:spacing w:after="0" w:line="240" w:lineRule="auto"/>
            </w:pPr>
            <w:r>
              <w:rPr>
                <w:sz w:val="19"/>
              </w:rPr>
              <w:t>Sem chuva; nuvens entre 30 % e 70 %</w:t>
            </w:r>
          </w:p>
        </w:tc>
        <w:tc>
          <w:tcPr>
            <w:tcW w:type="dxa" w:w="1549"/>
          </w:tcPr>
          <w:p>
            <w:pPr>
              <w:spacing w:after="0" w:line="240" w:lineRule="auto"/>
            </w:pPr>
            <w:r>
              <w:rPr>
                <w:sz w:val="19"/>
              </w:rPr>
              <w:t>Partly Cloudy</w:t>
            </w:r>
          </w:p>
        </w:tc>
        <w:tc>
          <w:tcPr>
            <w:tcW w:type="dxa" w:w="715"/>
          </w:tcPr>
          <w:p>
            <w:pPr>
              <w:spacing w:after="0" w:line="240" w:lineRule="auto"/>
            </w:pPr>
            <w:r>
              <w:rPr>
                <w:sz w:val="19"/>
              </w:rPr>
              <w:t>909</w:t>
            </w:r>
          </w:p>
        </w:tc>
        <w:tc>
          <w:tcPr>
            <w:tcW w:type="dxa" w:w="1447"/>
          </w:tcPr>
          <w:p>
            <w:pPr>
              <w:spacing w:after="0" w:line="240" w:lineRule="auto"/>
            </w:pPr>
            <w:r>
              <w:rPr>
                <w:sz w:val="19"/>
              </w:rPr>
              <w:t>21 %</w:t>
            </w:r>
          </w:p>
        </w:tc>
      </w:tr>
      <w:tr>
        <w:tc>
          <w:tcPr>
            <w:tcW w:type="dxa" w:w="5360"/>
          </w:tcPr>
          <w:p>
            <w:pPr>
              <w:spacing w:after="0" w:line="240" w:lineRule="auto"/>
            </w:pPr>
            <w:r>
              <w:rPr>
                <w:sz w:val="19"/>
              </w:rPr>
              <w:t>Sem chuva; nuvens ≥ 70 %</w:t>
            </w:r>
          </w:p>
        </w:tc>
        <w:tc>
          <w:tcPr>
            <w:tcW w:type="dxa" w:w="1549"/>
          </w:tcPr>
          <w:p>
            <w:pPr>
              <w:spacing w:after="0" w:line="240" w:lineRule="auto"/>
            </w:pPr>
            <w:r>
              <w:rPr>
                <w:sz w:val="19"/>
              </w:rPr>
              <w:t>Cloudy</w:t>
            </w:r>
          </w:p>
        </w:tc>
        <w:tc>
          <w:tcPr>
            <w:tcW w:type="dxa" w:w="715"/>
          </w:tcPr>
          <w:p>
            <w:pPr>
              <w:spacing w:after="0" w:line="240" w:lineRule="auto"/>
            </w:pPr>
            <w:r>
              <w:rPr>
                <w:sz w:val="19"/>
              </w:rPr>
              <w:t>687</w:t>
            </w:r>
          </w:p>
        </w:tc>
        <w:tc>
          <w:tcPr>
            <w:tcW w:type="dxa" w:w="1447"/>
          </w:tcPr>
          <w:p>
            <w:pPr>
              <w:spacing w:after="0" w:line="240" w:lineRule="auto"/>
            </w:pPr>
            <w:r>
              <w:rPr>
                <w:sz w:val="19"/>
              </w:rPr>
              <w:t>16 %</w:t>
            </w:r>
          </w:p>
        </w:tc>
      </w:tr>
      <w:tr>
        <w:tc>
          <w:tcPr>
            <w:tcW w:type="dxa" w:w="5360"/>
          </w:tcPr>
          <w:p>
            <w:pPr>
              <w:spacing w:after="0" w:line="240" w:lineRule="auto"/>
            </w:pPr>
            <w:r>
              <w:rPr>
                <w:sz w:val="19"/>
              </w:rPr>
              <w:t>Sem chuva; nuvens &lt; 30 %</w:t>
            </w:r>
          </w:p>
        </w:tc>
        <w:tc>
          <w:tcPr>
            <w:tcW w:type="dxa" w:w="1549"/>
          </w:tcPr>
          <w:p>
            <w:pPr>
              <w:spacing w:after="0" w:line="240" w:lineRule="auto"/>
            </w:pPr>
            <w:r>
              <w:rPr>
                <w:sz w:val="19"/>
              </w:rPr>
              <w:t>Clear</w:t>
            </w:r>
          </w:p>
        </w:tc>
        <w:tc>
          <w:tcPr>
            <w:tcW w:type="dxa" w:w="715"/>
          </w:tcPr>
          <w:p>
            <w:pPr>
              <w:spacing w:after="0" w:line="240" w:lineRule="auto"/>
            </w:pPr>
            <w:r>
              <w:rPr>
                <w:sz w:val="19"/>
              </w:rPr>
              <w:t>683</w:t>
            </w:r>
          </w:p>
        </w:tc>
        <w:tc>
          <w:tcPr>
            <w:tcW w:type="dxa" w:w="1447"/>
          </w:tcPr>
          <w:p>
            <w:pPr>
              <w:spacing w:after="0" w:line="240" w:lineRule="auto"/>
            </w:pPr>
            <w:r>
              <w:rPr>
                <w:sz w:val="19"/>
              </w:rPr>
              <w:t>16 %</w:t>
            </w:r>
          </w:p>
        </w:tc>
      </w:tr>
    </w:tbl>
    <w:p>
      <w:pPr>
        <w:spacing w:after="40"/>
      </w:pPr>
    </w:p>
    <w:p>
      <w:pPr>
        <w:jc w:val="both"/>
      </w:pPr>
      <w:r>
        <w:t>O limiar de 1 mm evita que garoa desprezível conte como chuva; os limiares de nuvens aproximam a escala de oktas usada em observação meteorológica.</w:t>
      </w:r>
    </w:p>
    <w:p>
      <w:pPr>
        <w:pStyle w:val="Heading1"/>
        <w:pageBreakBefore w:val="0"/>
        <w:spacing w:before="280"/>
      </w:pPr>
      <w:r>
        <w:t>3. Preparação dos Dados, Engenharia de Features e EDA</w:t>
      </w:r>
    </w:p>
    <w:p>
      <w:pPr>
        <w:pStyle w:val="Heading2"/>
      </w:pPr>
      <w:r>
        <w:t>3.1 Qualidade dos dados</w:t>
      </w:r>
    </w:p>
    <w:p>
      <w:pPr>
        <w:jc w:val="both"/>
      </w:pPr>
      <w:r>
        <w:t>Antes de modelar, os dados foram auditados com regras físicas definidas por tipo de variável, em vez de limites escritos manualmente para cada coluna. Essa abordagem é mais geral e mais fácil de justificar: quantidades como chuva, vento, nuvens e pressão não podem ser negativas; percentuais não passam de 100 %; a direção do vento não passa de 360°; e a temperatura média precisa estar entre a mínima e a máxima. Também foram verificadas datas duplicadas, datas faltantes e valores ausentes.</w:t>
      </w:r>
    </w:p>
    <w:p>
      <w:pPr>
        <w:jc w:val="both"/>
      </w:pPr>
      <w:r>
        <w:t>A auditoria encontrou zero ocorrências em todas as regras. Por isso não foi implementada uma etapa de limpeza: uma função que não remove nada apenas complicaria o código. Em seu lugar, uma asserção interrompe a execução caso um problema surja no futuro (por exemplo, com outra fonte de dados).</w:t>
      </w:r>
    </w:p>
    <w:p>
      <w:pPr>
        <w:jc w:val="both"/>
      </w:pPr>
      <w:r>
        <w:rPr>
          <w:b/>
        </w:rPr>
        <w:t>Outliers.</w:t>
      </w:r>
      <w:r>
        <w:t xml:space="preserve"> Pelo critério de 3×IQR, foram identificados 324 valores extremos de precipitação e 23 de rajada de vento; nenhum em temperatura ou pressão. Em meteorologia, extremos costumam ser reais, então eles foram investigados em vez de removidos. Os cinco dias de rajada mais forte coincidem com tufões que atingiram Macau: Mangkhut (16/09/2018, 173 km/h), Hato (23/08/2017), Ragasa (24/09/2025), Saola (02/09/2023) e Wipha (20/07/2025), todos com pressão em queda e chuva acima de 60 mm. Esses registros foram mantidos: são eventos legítimos, os modelos de árvores são robustos a eles e, nos modelos lineares, a padronização e a regularização reduzem sua influência.</w:t>
      </w:r>
    </w:p>
    <w:p>
      <w:pPr>
        <w:pStyle w:val="Heading2"/>
      </w:pPr>
      <w:r>
        <w:t>3.2 Engenharia de features</w:t>
      </w:r>
    </w:p>
    <w:p>
      <w:pPr>
        <w:jc w:val="both"/>
      </w:pPr>
      <w:r>
        <w:t>O princípio que guiou toda a engenharia de features foi a ausência de vazamento: para prever o dia t+1, cada feature usa apenas os dias t, t−1, t−2 e anteriores, e os alvos são deslocados para o futuro. Um teste automático confirma que o alvo de cada linha é igual à temperatura do dia seguinte em 100 % dos casos e que nenhuma feature reproduz o alvo (maior correlação absoluta: 0,939).</w:t>
      </w:r>
    </w:p>
    <w:tbl>
      <w:tblPr>
        <w:tblStyle w:val="TableGrid"/>
        <w:tblW w:type="auto" w:w="0"/>
        <w:jc w:val="center"/>
        <w:tblLayout w:type="fixed"/>
        <w:tblLook w:firstColumn="1" w:firstRow="1" w:lastColumn="0" w:lastRow="0" w:noHBand="0" w:noVBand="1" w:val="04A0"/>
      </w:tblPr>
      <w:tblGrid>
        <w:gridCol w:w="1997"/>
        <w:gridCol w:w="3329"/>
        <w:gridCol w:w="3745"/>
      </w:tblGrid>
      <w:tr>
        <w:trPr>
          <w:tblHeader w:val="true"/>
        </w:trPr>
        <w:tc>
          <w:tcPr>
            <w:tcW w:type="dxa" w:w="1997"/>
            <w:shd w:val="clear" w:color="auto" w:fill="DCE6F2"/>
          </w:tcPr>
          <w:p>
            <w:pPr>
              <w:spacing w:after="0" w:line="240" w:lineRule="auto"/>
            </w:pPr>
            <w:r>
              <w:rPr>
                <w:b/>
                <w:sz w:val="19"/>
              </w:rPr>
              <w:t>Grupo</w:t>
            </w:r>
          </w:p>
        </w:tc>
        <w:tc>
          <w:tcPr>
            <w:tcW w:type="dxa" w:w="3329"/>
            <w:shd w:val="clear" w:color="auto" w:fill="DCE6F2"/>
          </w:tcPr>
          <w:p>
            <w:pPr>
              <w:spacing w:after="0" w:line="240" w:lineRule="auto"/>
            </w:pPr>
            <w:r>
              <w:rPr>
                <w:b/>
                <w:sz w:val="19"/>
              </w:rPr>
              <w:t>Exemplos</w:t>
            </w:r>
          </w:p>
        </w:tc>
        <w:tc>
          <w:tcPr>
            <w:tcW w:type="dxa" w:w="3745"/>
            <w:shd w:val="clear" w:color="auto" w:fill="DCE6F2"/>
          </w:tcPr>
          <w:p>
            <w:pPr>
              <w:spacing w:after="0" w:line="240" w:lineRule="auto"/>
            </w:pPr>
            <w:r>
              <w:rPr>
                <w:b/>
                <w:sz w:val="19"/>
              </w:rPr>
              <w:t>Por que foi criado</w:t>
            </w:r>
          </w:p>
        </w:tc>
      </w:tr>
      <w:tr>
        <w:tc>
          <w:tcPr>
            <w:tcW w:type="dxa" w:w="1997"/>
          </w:tcPr>
          <w:p>
            <w:pPr>
              <w:spacing w:after="0" w:line="240" w:lineRule="auto"/>
            </w:pPr>
            <w:r>
              <w:rPr>
                <w:sz w:val="19"/>
              </w:rPr>
              <w:t>Valores de hoje (14)</w:t>
            </w:r>
          </w:p>
        </w:tc>
        <w:tc>
          <w:tcPr>
            <w:tcW w:type="dxa" w:w="3329"/>
          </w:tcPr>
          <w:p>
            <w:pPr>
              <w:spacing w:after="0" w:line="240" w:lineRule="auto"/>
            </w:pPr>
            <w:r>
              <w:rPr>
                <w:sz w:val="19"/>
              </w:rPr>
              <w:t>tempmax, humidity, cloudcover</w:t>
            </w:r>
          </w:p>
        </w:tc>
        <w:tc>
          <w:tcPr>
            <w:tcW w:type="dxa" w:w="3745"/>
          </w:tcPr>
          <w:p>
            <w:pPr>
              <w:spacing w:after="0" w:line="240" w:lineRule="auto"/>
            </w:pPr>
            <w:r>
              <w:rPr>
                <w:sz w:val="19"/>
              </w:rPr>
              <w:t>o estado atual é o melhor preditor do estado de amanhã</w:t>
            </w:r>
          </w:p>
        </w:tc>
      </w:tr>
      <w:tr>
        <w:tc>
          <w:tcPr>
            <w:tcW w:type="dxa" w:w="1997"/>
          </w:tcPr>
          <w:p>
            <w:pPr>
              <w:spacing w:after="0" w:line="240" w:lineRule="auto"/>
            </w:pPr>
            <w:r>
              <w:rPr>
                <w:sz w:val="19"/>
              </w:rPr>
              <w:t>Lags (20)</w:t>
            </w:r>
          </w:p>
        </w:tc>
        <w:tc>
          <w:tcPr>
            <w:tcW w:type="dxa" w:w="3329"/>
          </w:tcPr>
          <w:p>
            <w:pPr>
              <w:spacing w:after="0" w:line="240" w:lineRule="auto"/>
            </w:pPr>
            <w:r>
              <w:rPr>
                <w:sz w:val="19"/>
              </w:rPr>
              <w:t>tempmax_lag1, humidity_lag2</w:t>
            </w:r>
          </w:p>
        </w:tc>
        <w:tc>
          <w:tcPr>
            <w:tcW w:type="dxa" w:w="3745"/>
          </w:tcPr>
          <w:p>
            <w:pPr>
              <w:spacing w:after="0" w:line="240" w:lineRule="auto"/>
            </w:pPr>
            <w:r>
              <w:rPr>
                <w:sz w:val="19"/>
              </w:rPr>
              <w:t>capturam a dinâmica: está esquentando? a umidade está subindo?</w:t>
            </w:r>
          </w:p>
        </w:tc>
      </w:tr>
      <w:tr>
        <w:tc>
          <w:tcPr>
            <w:tcW w:type="dxa" w:w="1997"/>
          </w:tcPr>
          <w:p>
            <w:pPr>
              <w:spacing w:after="0" w:line="240" w:lineRule="auto"/>
            </w:pPr>
            <w:r>
              <w:rPr>
                <w:sz w:val="19"/>
              </w:rPr>
              <w:t>Diferenças (5)</w:t>
            </w:r>
          </w:p>
        </w:tc>
        <w:tc>
          <w:tcPr>
            <w:tcW w:type="dxa" w:w="3329"/>
          </w:tcPr>
          <w:p>
            <w:pPr>
              <w:spacing w:after="0" w:line="240" w:lineRule="auto"/>
            </w:pPr>
            <w:r>
              <w:rPr>
                <w:sz w:val="19"/>
              </w:rPr>
              <w:t>tempmax_diff1, pressure_diff3</w:t>
            </w:r>
          </w:p>
        </w:tc>
        <w:tc>
          <w:tcPr>
            <w:tcW w:type="dxa" w:w="3745"/>
          </w:tcPr>
          <w:p>
            <w:pPr>
              <w:spacing w:after="0" w:line="240" w:lineRule="auto"/>
            </w:pPr>
            <w:r>
              <w:rPr>
                <w:sz w:val="19"/>
              </w:rPr>
              <w:t>tendência de curto prazo; mudanças de pressão sinalizam frentes e sistemas de chuva</w:t>
            </w:r>
          </w:p>
        </w:tc>
      </w:tr>
      <w:tr>
        <w:tc>
          <w:tcPr>
            <w:tcW w:type="dxa" w:w="1997"/>
          </w:tcPr>
          <w:p>
            <w:pPr>
              <w:spacing w:after="0" w:line="240" w:lineRule="auto"/>
            </w:pPr>
            <w:r>
              <w:rPr>
                <w:sz w:val="19"/>
              </w:rPr>
              <w:t>Estatísticas móveis (24)</w:t>
            </w:r>
          </w:p>
        </w:tc>
        <w:tc>
          <w:tcPr>
            <w:tcW w:type="dxa" w:w="3329"/>
          </w:tcPr>
          <w:p>
            <w:pPr>
              <w:spacing w:after="0" w:line="240" w:lineRule="auto"/>
            </w:pPr>
            <w:r>
              <w:rPr>
                <w:sz w:val="19"/>
              </w:rPr>
              <w:t>tempmax_roll7, temp_std7, rain_days7</w:t>
            </w:r>
          </w:p>
        </w:tc>
        <w:tc>
          <w:tcPr>
            <w:tcW w:type="dxa" w:w="3745"/>
          </w:tcPr>
          <w:p>
            <w:pPr>
              <w:spacing w:after="0" w:line="240" w:lineRule="auto"/>
            </w:pPr>
            <w:r>
              <w:rPr>
                <w:sz w:val="19"/>
              </w:rPr>
              <w:t>suavizam o ruído diário e representam o regime recente</w:t>
            </w:r>
          </w:p>
        </w:tc>
      </w:tr>
      <w:tr>
        <w:tc>
          <w:tcPr>
            <w:tcW w:type="dxa" w:w="1997"/>
          </w:tcPr>
          <w:p>
            <w:pPr>
              <w:spacing w:after="0" w:line="240" w:lineRule="auto"/>
            </w:pPr>
            <w:r>
              <w:rPr>
                <w:sz w:val="19"/>
              </w:rPr>
              <w:t>Físicas (3)</w:t>
            </w:r>
          </w:p>
        </w:tc>
        <w:tc>
          <w:tcPr>
            <w:tcW w:type="dxa" w:w="3329"/>
          </w:tcPr>
          <w:p>
            <w:pPr>
              <w:spacing w:after="0" w:line="240" w:lineRule="auto"/>
            </w:pPr>
            <w:r>
              <w:rPr>
                <w:sz w:val="19"/>
              </w:rPr>
              <w:t>temp_range, dewpoint_dep, temp_anomaly30</w:t>
            </w:r>
          </w:p>
        </w:tc>
        <w:tc>
          <w:tcPr>
            <w:tcW w:type="dxa" w:w="3745"/>
          </w:tcPr>
          <w:p>
            <w:pPr>
              <w:spacing w:after="0" w:line="240" w:lineRule="auto"/>
            </w:pPr>
            <w:r>
              <w:rPr>
                <w:sz w:val="19"/>
              </w:rPr>
              <w:t>temperatura próxima do ponto de orvalho indica ar saturado; anomalia indica massa de ar fora do normal</w:t>
            </w:r>
          </w:p>
        </w:tc>
      </w:tr>
      <w:tr>
        <w:tc>
          <w:tcPr>
            <w:tcW w:type="dxa" w:w="1997"/>
          </w:tcPr>
          <w:p>
            <w:pPr>
              <w:spacing w:after="0" w:line="240" w:lineRule="auto"/>
            </w:pPr>
            <w:r>
              <w:rPr>
                <w:sz w:val="19"/>
              </w:rPr>
              <w:t>Sazonalidade (4)</w:t>
            </w:r>
          </w:p>
        </w:tc>
        <w:tc>
          <w:tcPr>
            <w:tcW w:type="dxa" w:w="3329"/>
          </w:tcPr>
          <w:p>
            <w:pPr>
              <w:spacing w:after="0" w:line="240" w:lineRule="auto"/>
            </w:pPr>
            <w:r>
              <w:rPr>
                <w:sz w:val="19"/>
              </w:rPr>
              <w:t>doy_sin, doy_cos, month_sin, month_cos</w:t>
            </w:r>
          </w:p>
        </w:tc>
        <w:tc>
          <w:tcPr>
            <w:tcW w:type="dxa" w:w="3745"/>
          </w:tcPr>
          <w:p>
            <w:pPr>
              <w:spacing w:after="0" w:line="240" w:lineRule="auto"/>
            </w:pPr>
            <w:r>
              <w:rPr>
                <w:sz w:val="19"/>
              </w:rPr>
              <w:t>codificação cíclica: 31/dez e 1/jan ficam vizinhos</w:t>
            </w:r>
          </w:p>
        </w:tc>
      </w:tr>
      <w:tr>
        <w:tc>
          <w:tcPr>
            <w:tcW w:type="dxa" w:w="1997"/>
          </w:tcPr>
          <w:p>
            <w:pPr>
              <w:spacing w:after="0" w:line="240" w:lineRule="auto"/>
            </w:pPr>
            <w:r>
              <w:rPr>
                <w:sz w:val="19"/>
              </w:rPr>
              <w:t>Vento circular (2)</w:t>
            </w:r>
          </w:p>
        </w:tc>
        <w:tc>
          <w:tcPr>
            <w:tcW w:type="dxa" w:w="3329"/>
          </w:tcPr>
          <w:p>
            <w:pPr>
              <w:spacing w:after="0" w:line="240" w:lineRule="auto"/>
            </w:pPr>
            <w:r>
              <w:rPr>
                <w:sz w:val="19"/>
              </w:rPr>
              <w:t>winddir_sin, winddir_cos</w:t>
            </w:r>
          </w:p>
        </w:tc>
        <w:tc>
          <w:tcPr>
            <w:tcW w:type="dxa" w:w="3745"/>
          </w:tcPr>
          <w:p>
            <w:pPr>
              <w:spacing w:after="0" w:line="240" w:lineRule="auto"/>
            </w:pPr>
            <w:r>
              <w:rPr>
                <w:sz w:val="19"/>
              </w:rPr>
              <w:t>359° e 1° representam quase a mesma direção</w:t>
            </w:r>
          </w:p>
        </w:tc>
      </w:tr>
      <w:tr>
        <w:tc>
          <w:tcPr>
            <w:tcW w:type="dxa" w:w="1997"/>
          </w:tcPr>
          <w:p>
            <w:pPr>
              <w:spacing w:after="0" w:line="240" w:lineRule="auto"/>
            </w:pPr>
            <w:r>
              <w:rPr>
                <w:sz w:val="19"/>
              </w:rPr>
              <w:t>Classe de hoje (4)</w:t>
            </w:r>
          </w:p>
        </w:tc>
        <w:tc>
          <w:tcPr>
            <w:tcW w:type="dxa" w:w="3329"/>
          </w:tcPr>
          <w:p>
            <w:pPr>
              <w:spacing w:after="0" w:line="240" w:lineRule="auto"/>
            </w:pPr>
            <w:r>
              <w:rPr>
                <w:sz w:val="19"/>
              </w:rPr>
              <w:t>today_Rain, today_Clear</w:t>
            </w:r>
          </w:p>
        </w:tc>
        <w:tc>
          <w:tcPr>
            <w:tcW w:type="dxa" w:w="3745"/>
          </w:tcPr>
          <w:p>
            <w:pPr>
              <w:spacing w:after="0" w:line="240" w:lineRule="auto"/>
            </w:pPr>
            <w:r>
              <w:rPr>
                <w:sz w:val="19"/>
              </w:rPr>
              <w:t>persistência do tipo de tempo, em one‑hot para não impor ordem entre classes</w:t>
            </w:r>
          </w:p>
        </w:tc>
      </w:tr>
    </w:tbl>
    <w:p>
      <w:pPr>
        <w:spacing w:after="40"/>
      </w:pPr>
    </w:p>
    <w:p>
      <w:pPr>
        <w:jc w:val="both"/>
      </w:pPr>
      <w:r>
        <w:rPr>
          <w:b/>
        </w:rPr>
        <w:t>Escala.</w:t>
      </w:r>
      <w:r>
        <w:t xml:space="preserve"> Modelos sensíveis à escala (lineares, KNN e SVM) recebem um </w:t>
      </w:r>
      <w:r>
        <w:rPr>
          <w:rFonts w:ascii="Consolas" w:hAnsi="Consolas" w:eastAsia="Consolas"/>
          <w:color w:val="8B1E3F"/>
        </w:rPr>
        <w:t>StandardScaler</w:t>
      </w:r>
      <w:r>
        <w:t xml:space="preserve"> dentro de um pipeline, ajustado apenas nos dados de treino de cada etapa. Modelos de árvores dispensam escala.</w:t>
      </w:r>
    </w:p>
    <w:p>
      <w:pPr>
        <w:jc w:val="both"/>
      </w:pPr>
      <w:r>
        <w:rPr>
          <w:b/>
        </w:rPr>
        <w:t>Features descartadas.</w:t>
      </w:r>
      <w:r>
        <w:t xml:space="preserve"> O dia da semana foi analisado e descartado: a temperatura máxima média varia menos de 0,2 °C entre os dias, o que é puro ruído e tem explicação física óbvia. A hora do dia não se aplica a dados diários.</w:t>
      </w:r>
    </w:p>
    <w:p>
      <w:pPr>
        <w:pStyle w:val="Heading2"/>
      </w:pPr>
      <w:r>
        <w:t>3.3 Análise exploratória</w:t>
      </w:r>
    </w:p>
    <w:p>
      <w:pPr>
        <w:jc w:val="both"/>
      </w:pPr>
      <w:r>
        <w:t>Quatro achados da análise exploratória orientaram diretamente a modelagem.</w:t>
      </w:r>
    </w:p>
    <w:p>
      <w:pPr>
        <w:jc w:val="both"/>
      </w:pPr>
      <w:r>
        <w:rPr>
          <w:b/>
        </w:rPr>
        <w:t>Sazonalidade forte.</w:t>
      </w:r>
      <w:r>
        <w:t xml:space="preserve"> A temperatura máxima mediana vai de cerca de 20 °C em janeiro a 31 °C em julho, e a chuva domina de maio a setembro, com mais de 69 % dos dias chuvosos (Figura 1). No inverno predominam Clear e Partly Cloudy. Isso justifica as features cíclicas de dia do ano e mês.</w:t>
      </w:r>
    </w:p>
    <w:p>
      <w:pPr>
        <w:keepNext/>
        <w:jc w:val="center"/>
      </w:pPr>
      <w:r>
        <w:drawing>
          <wp:inline xmlns:a="http://schemas.openxmlformats.org/drawingml/2006/main" xmlns:pic="http://schemas.openxmlformats.org/drawingml/2006/picture">
            <wp:extent cx="5760000" cy="1398580"/>
            <wp:docPr id="1" name="Picture 1"/>
            <wp:cNvGraphicFramePr>
              <a:graphicFrameLocks noChangeAspect="1"/>
            </wp:cNvGraphicFramePr>
            <a:graphic>
              <a:graphicData uri="http://schemas.openxmlformats.org/drawingml/2006/picture">
                <pic:pic>
                  <pic:nvPicPr>
                    <pic:cNvPr id="0" name="eda_seasonality.png"/>
                    <pic:cNvPicPr/>
                  </pic:nvPicPr>
                  <pic:blipFill>
                    <a:blip r:embed="rId10"/>
                    <a:stretch>
                      <a:fillRect/>
                    </a:stretch>
                  </pic:blipFill>
                  <pic:spPr>
                    <a:xfrm>
                      <a:off x="0" y="0"/>
                      <a:ext cx="5760000" cy="1398580"/>
                    </a:xfrm>
                    <a:prstGeom prst="rect"/>
                  </pic:spPr>
                </pic:pic>
              </a:graphicData>
            </a:graphic>
          </wp:inline>
        </w:drawing>
      </w:r>
    </w:p>
    <w:p>
      <w:pPr>
        <w:jc w:val="center"/>
      </w:pPr>
      <w:r>
        <w:rPr>
          <w:i/>
          <w:color w:val="555555"/>
          <w:sz w:val="19"/>
        </w:rPr>
        <w:t>Figura 1 – Temperatura máxima por mês, precipitação média diária e proporção das classes por mês (2014–2025).</w:t>
      </w:r>
    </w:p>
    <w:p>
      <w:pPr>
        <w:jc w:val="both"/>
      </w:pPr>
      <w:r>
        <w:rPr>
          <w:b/>
        </w:rPr>
        <w:t>Memória da temperatura.</w:t>
      </w:r>
      <w:r>
        <w:t xml:space="preserve"> A correlação entre a temperatura máxima de hoje e a de amanhã é 0,93 e decai lentamente com o lag (Figura 2). A persistência é, portanto, uma referência difícil de bater. A chuva tem autocorrelação bem menor, o que antecipa que a classificação será mais difícil do que a regressão.</w:t>
      </w:r>
    </w:p>
    <w:p>
      <w:pPr>
        <w:keepNext/>
        <w:jc w:val="center"/>
      </w:pPr>
      <w:r>
        <w:drawing>
          <wp:inline xmlns:a="http://schemas.openxmlformats.org/drawingml/2006/main" xmlns:pic="http://schemas.openxmlformats.org/drawingml/2006/picture">
            <wp:extent cx="5760000" cy="1565499"/>
            <wp:docPr id="2" name="Picture 2"/>
            <wp:cNvGraphicFramePr>
              <a:graphicFrameLocks noChangeAspect="1"/>
            </wp:cNvGraphicFramePr>
            <a:graphic>
              <a:graphicData uri="http://schemas.openxmlformats.org/drawingml/2006/picture">
                <pic:pic>
                  <pic:nvPicPr>
                    <pic:cNvPr id="0" name="eda_autocorrelation.png"/>
                    <pic:cNvPicPr/>
                  </pic:nvPicPr>
                  <pic:blipFill>
                    <a:blip r:embed="rId11"/>
                    <a:stretch>
                      <a:fillRect/>
                    </a:stretch>
                  </pic:blipFill>
                  <pic:spPr>
                    <a:xfrm>
                      <a:off x="0" y="0"/>
                      <a:ext cx="5760000" cy="1565499"/>
                    </a:xfrm>
                    <a:prstGeom prst="rect"/>
                  </pic:spPr>
                </pic:pic>
              </a:graphicData>
            </a:graphic>
          </wp:inline>
        </w:drawing>
      </w:r>
    </w:p>
    <w:p>
      <w:pPr>
        <w:jc w:val="center"/>
      </w:pPr>
      <w:r>
        <w:rPr>
          <w:i/>
          <w:color w:val="555555"/>
          <w:sz w:val="19"/>
        </w:rPr>
        <w:t>Figura 2 – Autocorrelação por lag (esquerda) e temperatura máxima de hoje contra a de amanhã (direita).</w:t>
      </w:r>
    </w:p>
    <w:p>
      <w:pPr>
        <w:jc w:val="both"/>
      </w:pPr>
      <w:r>
        <w:rPr>
          <w:b/>
        </w:rPr>
        <w:t>Desbalanceamento de classes.</w:t>
      </w:r>
      <w:r>
        <w:t xml:space="preserve"> Rain ocupa 48 % dos dias. Prever sempre “Rain” já resulta em cerca de 49 % de acurácia, o que mostra que a acurácia isolada é enganosa. Por isso a métrica principal da classificação é o F1‑macro, e os modelos que permitem usam </w:t>
      </w:r>
      <w:r>
        <w:rPr>
          <w:rFonts w:ascii="Consolas" w:hAnsi="Consolas" w:eastAsia="Consolas"/>
          <w:color w:val="8B1E3F"/>
        </w:rPr>
        <w:t>class_weight="balanced"</w:t>
      </w:r>
      <w:r>
        <w:t>.</w:t>
      </w:r>
    </w:p>
    <w:p>
      <w:pPr>
        <w:jc w:val="both"/>
      </w:pPr>
      <w:r>
        <w:rPr>
          <w:b/>
        </w:rPr>
        <w:t>Relações físicas.</w:t>
      </w:r>
      <w:r>
        <w:t xml:space="preserve"> A pressão de hoje se correlaciona negativamente com a temperatura de amanhã (r = −0,81 para a máxima), refletindo as massas de ar frio e seco do inverno. Dias que antecedem chuva têm umidade média de 85,5 % e pressão de 1009 hPa, contra 73 % e 1017 hPa antes de dias Clear. Temperaturas, sensação térmica e ponto de orvalho são fortemente correlacionados entre si, o que justifica regularização nos modelos lineares.</w:t>
      </w:r>
    </w:p>
    <w:p>
      <w:pPr>
        <w:pStyle w:val="Heading1"/>
        <w:pageBreakBefore w:val="0"/>
        <w:spacing w:before="280"/>
      </w:pPr>
      <w:r>
        <w:t>4. Desenvolvimento dos Modelos</w:t>
      </w:r>
    </w:p>
    <w:p>
      <w:pPr>
        <w:pStyle w:val="Heading2"/>
      </w:pPr>
      <w:r>
        <w:t>4.1 Protocolo e baselines</w:t>
      </w:r>
    </w:p>
    <w:p>
      <w:pPr>
        <w:jc w:val="both"/>
      </w:pPr>
      <w:r>
        <w:rPr>
          <w:b/>
        </w:rPr>
        <w:t>Divisão cronológica.</w:t>
      </w:r>
      <w:r>
        <w:t xml:space="preserve"> Divisões aleatórias são inadequadas para séries temporais, pois permitiriam treinar com o futuro e avaliar no passado, produzindo métricas otimistas. Os dados foram divididos em blocos cronológicos definidos pela data do alvo, o que garante que nenhum rótulo de um período posterior seja usado no treino de um anterior.</w:t>
      </w:r>
    </w:p>
    <w:tbl>
      <w:tblPr>
        <w:tblStyle w:val="TableGrid"/>
        <w:tblW w:type="auto" w:w="0"/>
        <w:jc w:val="center"/>
        <w:tblLayout w:type="fixed"/>
        <w:tblLook w:firstColumn="1" w:firstRow="1" w:lastColumn="0" w:lastRow="0" w:noHBand="0" w:noVBand="1" w:val="04A0"/>
      </w:tblPr>
      <w:tblGrid>
        <w:gridCol w:w="1391"/>
        <w:gridCol w:w="2633"/>
        <w:gridCol w:w="927"/>
        <w:gridCol w:w="4121"/>
      </w:tblGrid>
      <w:tr>
        <w:trPr>
          <w:tblHeader w:val="true"/>
        </w:trPr>
        <w:tc>
          <w:tcPr>
            <w:tcW w:type="dxa" w:w="1391"/>
            <w:shd w:val="clear" w:color="auto" w:fill="DCE6F2"/>
          </w:tcPr>
          <w:p>
            <w:pPr>
              <w:spacing w:after="0" w:line="240" w:lineRule="auto"/>
            </w:pPr>
            <w:r>
              <w:rPr>
                <w:b/>
                <w:sz w:val="19"/>
              </w:rPr>
              <w:t>Conjunto</w:t>
            </w:r>
          </w:p>
        </w:tc>
        <w:tc>
          <w:tcPr>
            <w:tcW w:type="dxa" w:w="2633"/>
            <w:shd w:val="clear" w:color="auto" w:fill="DCE6F2"/>
          </w:tcPr>
          <w:p>
            <w:pPr>
              <w:spacing w:after="0" w:line="240" w:lineRule="auto"/>
            </w:pPr>
            <w:r>
              <w:rPr>
                <w:b/>
                <w:sz w:val="19"/>
              </w:rPr>
              <w:t>Período do alvo</w:t>
            </w:r>
          </w:p>
        </w:tc>
        <w:tc>
          <w:tcPr>
            <w:tcW w:type="dxa" w:w="927"/>
            <w:shd w:val="clear" w:color="auto" w:fill="DCE6F2"/>
          </w:tcPr>
          <w:p>
            <w:pPr>
              <w:spacing w:after="0" w:line="240" w:lineRule="auto"/>
            </w:pPr>
            <w:r>
              <w:rPr>
                <w:b/>
                <w:sz w:val="19"/>
              </w:rPr>
              <w:t>Linhas</w:t>
            </w:r>
          </w:p>
        </w:tc>
        <w:tc>
          <w:tcPr>
            <w:tcW w:type="dxa" w:w="4121"/>
            <w:shd w:val="clear" w:color="auto" w:fill="DCE6F2"/>
          </w:tcPr>
          <w:p>
            <w:pPr>
              <w:spacing w:after="0" w:line="240" w:lineRule="auto"/>
            </w:pPr>
            <w:r>
              <w:rPr>
                <w:b/>
                <w:sz w:val="19"/>
              </w:rPr>
              <w:t>Uso</w:t>
            </w:r>
          </w:p>
        </w:tc>
      </w:tr>
      <w:tr>
        <w:tc>
          <w:tcPr>
            <w:tcW w:type="dxa" w:w="1391"/>
          </w:tcPr>
          <w:p>
            <w:pPr>
              <w:spacing w:after="0" w:line="240" w:lineRule="auto"/>
            </w:pPr>
            <w:r>
              <w:rPr>
                <w:sz w:val="19"/>
              </w:rPr>
              <w:t>Treino</w:t>
            </w:r>
          </w:p>
        </w:tc>
        <w:tc>
          <w:tcPr>
            <w:tcW w:type="dxa" w:w="2633"/>
          </w:tcPr>
          <w:p>
            <w:pPr>
              <w:spacing w:after="0" w:line="240" w:lineRule="auto"/>
            </w:pPr>
            <w:r>
              <w:rPr>
                <w:sz w:val="19"/>
              </w:rPr>
              <w:t>31/01/2014 a 31/12/2021</w:t>
            </w:r>
          </w:p>
        </w:tc>
        <w:tc>
          <w:tcPr>
            <w:tcW w:type="dxa" w:w="927"/>
          </w:tcPr>
          <w:p>
            <w:pPr>
              <w:spacing w:after="0" w:line="240" w:lineRule="auto"/>
            </w:pPr>
            <w:r>
              <w:rPr>
                <w:sz w:val="19"/>
              </w:rPr>
              <w:t>2892</w:t>
            </w:r>
          </w:p>
        </w:tc>
        <w:tc>
          <w:tcPr>
            <w:tcW w:type="dxa" w:w="4121"/>
          </w:tcPr>
          <w:p>
            <w:pPr>
              <w:spacing w:after="0" w:line="240" w:lineRule="auto"/>
            </w:pPr>
            <w:r>
              <w:rPr>
                <w:sz w:val="19"/>
              </w:rPr>
              <w:t>ajuste dos modelos e grid search</w:t>
            </w:r>
          </w:p>
        </w:tc>
      </w:tr>
      <w:tr>
        <w:tc>
          <w:tcPr>
            <w:tcW w:type="dxa" w:w="1391"/>
          </w:tcPr>
          <w:p>
            <w:pPr>
              <w:spacing w:after="0" w:line="240" w:lineRule="auto"/>
            </w:pPr>
            <w:r>
              <w:rPr>
                <w:sz w:val="19"/>
              </w:rPr>
              <w:t>Validação</w:t>
            </w:r>
          </w:p>
        </w:tc>
        <w:tc>
          <w:tcPr>
            <w:tcW w:type="dxa" w:w="2633"/>
          </w:tcPr>
          <w:p>
            <w:pPr>
              <w:spacing w:after="0" w:line="240" w:lineRule="auto"/>
            </w:pPr>
            <w:r>
              <w:rPr>
                <w:sz w:val="19"/>
              </w:rPr>
              <w:t>2022 a 2023</w:t>
            </w:r>
          </w:p>
        </w:tc>
        <w:tc>
          <w:tcPr>
            <w:tcW w:type="dxa" w:w="927"/>
          </w:tcPr>
          <w:p>
            <w:pPr>
              <w:spacing w:after="0" w:line="240" w:lineRule="auto"/>
            </w:pPr>
            <w:r>
              <w:rPr>
                <w:sz w:val="19"/>
              </w:rPr>
              <w:t>730</w:t>
            </w:r>
          </w:p>
        </w:tc>
        <w:tc>
          <w:tcPr>
            <w:tcW w:type="dxa" w:w="4121"/>
          </w:tcPr>
          <w:p>
            <w:pPr>
              <w:spacing w:after="0" w:line="240" w:lineRule="auto"/>
            </w:pPr>
            <w:r>
              <w:rPr>
                <w:sz w:val="19"/>
              </w:rPr>
              <w:t>comparação e escolha do modelo final</w:t>
            </w:r>
          </w:p>
        </w:tc>
      </w:tr>
      <w:tr>
        <w:tc>
          <w:tcPr>
            <w:tcW w:type="dxa" w:w="1391"/>
          </w:tcPr>
          <w:p>
            <w:pPr>
              <w:spacing w:after="0" w:line="240" w:lineRule="auto"/>
            </w:pPr>
            <w:r>
              <w:rPr>
                <w:sz w:val="19"/>
              </w:rPr>
              <w:t>Teste</w:t>
            </w:r>
          </w:p>
        </w:tc>
        <w:tc>
          <w:tcPr>
            <w:tcW w:type="dxa" w:w="2633"/>
          </w:tcPr>
          <w:p>
            <w:pPr>
              <w:spacing w:after="0" w:line="240" w:lineRule="auto"/>
            </w:pPr>
            <w:r>
              <w:rPr>
                <w:sz w:val="19"/>
              </w:rPr>
              <w:t>2024 a 2025</w:t>
            </w:r>
          </w:p>
        </w:tc>
        <w:tc>
          <w:tcPr>
            <w:tcW w:type="dxa" w:w="927"/>
          </w:tcPr>
          <w:p>
            <w:pPr>
              <w:spacing w:after="0" w:line="240" w:lineRule="auto"/>
            </w:pPr>
            <w:r>
              <w:rPr>
                <w:sz w:val="19"/>
              </w:rPr>
              <w:t>731</w:t>
            </w:r>
          </w:p>
        </w:tc>
        <w:tc>
          <w:tcPr>
            <w:tcW w:type="dxa" w:w="4121"/>
          </w:tcPr>
          <w:p>
            <w:pPr>
              <w:spacing w:after="0" w:line="240" w:lineRule="auto"/>
            </w:pPr>
            <w:r>
              <w:rPr>
                <w:sz w:val="19"/>
              </w:rPr>
              <w:t>avaliação única e final</w:t>
            </w:r>
          </w:p>
        </w:tc>
      </w:tr>
    </w:tbl>
    <w:p>
      <w:pPr>
        <w:spacing w:after="40"/>
      </w:pPr>
    </w:p>
    <w:p>
      <w:pPr>
        <w:jc w:val="both"/>
      </w:pPr>
      <w:r>
        <w:t>Validação e teste cobrem dois anos completos cada, incluindo todas as estações e duas temporadas de tufões. O treino começa em 31/01/2014 porque os primeiros 29 dias não têm histórico suficiente para a anomalia de 30 dias.</w:t>
      </w:r>
    </w:p>
    <w:p>
      <w:pPr>
        <w:jc w:val="both"/>
      </w:pPr>
      <w:r>
        <w:rPr>
          <w:b/>
        </w:rPr>
        <w:t>Baselines.</w:t>
      </w:r>
      <w:r>
        <w:t xml:space="preserve"> Na regressão, a persistência (“a temperatura de amanhã é igual à de hoje”) é o baseline oficial; a climatologia (média do treino para aquele dia do ano, suavizada em 15 dias) serve como referência adicional e mede quanto vale observar o estado atual além do calendário. Na classificação, o baseline oficial é a classe majoritária (sempre “Rain”), e a persistência da condição (“amanhã terá a mesma condição de hoje”) é uma referência bem mais exigente.</w:t>
      </w:r>
    </w:p>
    <w:p>
      <w:pPr>
        <w:pStyle w:val="Heading2"/>
      </w:pPr>
      <w:r>
        <w:t>4.2 Modelos de aprendizado de máquina</w:t>
      </w:r>
    </w:p>
    <w:p>
      <w:pPr>
        <w:jc w:val="both"/>
      </w:pPr>
      <w:r>
        <w:t>Como não é possível saber de antemão qual família de algoritmos funciona melhor nestes dados, foram comparados nove regressores e oito classificadores de famílias diferentes, todos com hiperparâmetros iniciais usuais:</w:t>
      </w:r>
    </w:p>
    <w:tbl>
      <w:tblPr>
        <w:tblStyle w:val="TableGrid"/>
        <w:tblW w:type="auto" w:w="0"/>
        <w:jc w:val="center"/>
        <w:tblLayout w:type="fixed"/>
        <w:tblLook w:firstColumn="1" w:firstRow="1" w:lastColumn="0" w:lastRow="0" w:noHBand="0" w:noVBand="1" w:val="04A0"/>
      </w:tblPr>
      <w:tblGrid>
        <w:gridCol w:w="1214"/>
        <w:gridCol w:w="2555"/>
        <w:gridCol w:w="2427"/>
        <w:gridCol w:w="2875"/>
      </w:tblGrid>
      <w:tr>
        <w:trPr>
          <w:tblHeader w:val="true"/>
        </w:trPr>
        <w:tc>
          <w:tcPr>
            <w:tcW w:type="dxa" w:w="1214"/>
            <w:shd w:val="clear" w:color="auto" w:fill="DCE6F2"/>
          </w:tcPr>
          <w:p>
            <w:pPr>
              <w:spacing w:after="0" w:line="240" w:lineRule="auto"/>
            </w:pPr>
            <w:r>
              <w:rPr>
                <w:b/>
                <w:sz w:val="19"/>
              </w:rPr>
              <w:t>Família</w:t>
            </w:r>
          </w:p>
        </w:tc>
        <w:tc>
          <w:tcPr>
            <w:tcW w:type="dxa" w:w="2555"/>
            <w:shd w:val="clear" w:color="auto" w:fill="DCE6F2"/>
          </w:tcPr>
          <w:p>
            <w:pPr>
              <w:spacing w:after="0" w:line="240" w:lineRule="auto"/>
            </w:pPr>
            <w:r>
              <w:rPr>
                <w:b/>
                <w:sz w:val="19"/>
              </w:rPr>
              <w:t>Regressão</w:t>
            </w:r>
          </w:p>
        </w:tc>
        <w:tc>
          <w:tcPr>
            <w:tcW w:type="dxa" w:w="2427"/>
            <w:shd w:val="clear" w:color="auto" w:fill="DCE6F2"/>
          </w:tcPr>
          <w:p>
            <w:pPr>
              <w:spacing w:after="0" w:line="240" w:lineRule="auto"/>
            </w:pPr>
            <w:r>
              <w:rPr>
                <w:b/>
                <w:sz w:val="19"/>
              </w:rPr>
              <w:t>Classificação</w:t>
            </w:r>
          </w:p>
        </w:tc>
        <w:tc>
          <w:tcPr>
            <w:tcW w:type="dxa" w:w="2875"/>
            <w:shd w:val="clear" w:color="auto" w:fill="DCE6F2"/>
          </w:tcPr>
          <w:p>
            <w:pPr>
              <w:spacing w:after="0" w:line="240" w:lineRule="auto"/>
            </w:pPr>
            <w:r>
              <w:rPr>
                <w:b/>
                <w:sz w:val="19"/>
              </w:rPr>
              <w:t>Por que foi incluída</w:t>
            </w:r>
          </w:p>
        </w:tc>
      </w:tr>
      <w:tr>
        <w:tc>
          <w:tcPr>
            <w:tcW w:type="dxa" w:w="1214"/>
          </w:tcPr>
          <w:p>
            <w:pPr>
              <w:spacing w:after="0" w:line="240" w:lineRule="auto"/>
            </w:pPr>
            <w:r>
              <w:rPr>
                <w:sz w:val="19"/>
              </w:rPr>
              <w:t>Lineares</w:t>
            </w:r>
          </w:p>
        </w:tc>
        <w:tc>
          <w:tcPr>
            <w:tcW w:type="dxa" w:w="2555"/>
          </w:tcPr>
          <w:p>
            <w:pPr>
              <w:spacing w:after="0" w:line="240" w:lineRule="auto"/>
            </w:pPr>
            <w:r>
              <w:rPr>
                <w:sz w:val="19"/>
              </w:rPr>
              <w:t>LinearRegression, Ridge (L2), Lasso (L1)</w:t>
            </w:r>
          </w:p>
        </w:tc>
        <w:tc>
          <w:tcPr>
            <w:tcW w:type="dxa" w:w="2427"/>
          </w:tcPr>
          <w:p>
            <w:pPr>
              <w:spacing w:after="0" w:line="240" w:lineRule="auto"/>
            </w:pPr>
            <w:r>
              <w:rPr>
                <w:sz w:val="19"/>
              </w:rPr>
              <w:t>Regressão Logística</w:t>
            </w:r>
          </w:p>
        </w:tc>
        <w:tc>
          <w:tcPr>
            <w:tcW w:type="dxa" w:w="2875"/>
          </w:tcPr>
          <w:p>
            <w:pPr>
              <w:spacing w:after="0" w:line="240" w:lineRule="auto"/>
            </w:pPr>
            <w:r>
              <w:rPr>
                <w:sz w:val="19"/>
              </w:rPr>
              <w:t>relação aproximadamente linear; a regularização lida com variáveis correlacionadas</w:t>
            </w:r>
          </w:p>
        </w:tc>
      </w:tr>
      <w:tr>
        <w:tc>
          <w:tcPr>
            <w:tcW w:type="dxa" w:w="1214"/>
          </w:tcPr>
          <w:p>
            <w:pPr>
              <w:spacing w:after="0" w:line="240" w:lineRule="auto"/>
            </w:pPr>
            <w:r>
              <w:rPr>
                <w:sz w:val="19"/>
              </w:rPr>
              <w:t>Vizinhança</w:t>
            </w:r>
          </w:p>
        </w:tc>
        <w:tc>
          <w:tcPr>
            <w:tcW w:type="dxa" w:w="2555"/>
          </w:tcPr>
          <w:p>
            <w:pPr>
              <w:spacing w:after="0" w:line="240" w:lineRule="auto"/>
            </w:pPr>
            <w:r>
              <w:rPr>
                <w:sz w:val="19"/>
              </w:rPr>
              <w:t>KNN</w:t>
            </w:r>
          </w:p>
        </w:tc>
        <w:tc>
          <w:tcPr>
            <w:tcW w:type="dxa" w:w="2427"/>
          </w:tcPr>
          <w:p>
            <w:pPr>
              <w:spacing w:after="0" w:line="240" w:lineRule="auto"/>
            </w:pPr>
            <w:r>
              <w:rPr>
                <w:sz w:val="19"/>
              </w:rPr>
              <w:t>KNN</w:t>
            </w:r>
          </w:p>
        </w:tc>
        <w:tc>
          <w:tcPr>
            <w:tcW w:type="dxa" w:w="2875"/>
          </w:tcPr>
          <w:p>
            <w:pPr>
              <w:spacing w:after="0" w:line="240" w:lineRule="auto"/>
            </w:pPr>
            <w:r>
              <w:rPr>
                <w:sz w:val="19"/>
              </w:rPr>
              <w:t>prevê a partir dos dias passados mais parecidos com hoje</w:t>
            </w:r>
          </w:p>
        </w:tc>
      </w:tr>
      <w:tr>
        <w:tc>
          <w:tcPr>
            <w:tcW w:type="dxa" w:w="1214"/>
          </w:tcPr>
          <w:p>
            <w:pPr>
              <w:spacing w:after="0" w:line="240" w:lineRule="auto"/>
            </w:pPr>
            <w:r>
              <w:rPr>
                <w:sz w:val="19"/>
              </w:rPr>
              <w:t>Kernel</w:t>
            </w:r>
          </w:p>
        </w:tc>
        <w:tc>
          <w:tcPr>
            <w:tcW w:type="dxa" w:w="2555"/>
          </w:tcPr>
          <w:p>
            <w:pPr>
              <w:spacing w:after="0" w:line="240" w:lineRule="auto"/>
            </w:pPr>
            <w:r>
              <w:rPr>
                <w:sz w:val="19"/>
              </w:rPr>
              <w:t>SVR (RBF)</w:t>
            </w:r>
          </w:p>
        </w:tc>
        <w:tc>
          <w:tcPr>
            <w:tcW w:type="dxa" w:w="2427"/>
          </w:tcPr>
          <w:p>
            <w:pPr>
              <w:spacing w:after="0" w:line="240" w:lineRule="auto"/>
            </w:pPr>
            <w:r>
              <w:rPr>
                <w:sz w:val="19"/>
              </w:rPr>
              <w:t>SVC (RBF)</w:t>
            </w:r>
          </w:p>
        </w:tc>
        <w:tc>
          <w:tcPr>
            <w:tcW w:type="dxa" w:w="2875"/>
          </w:tcPr>
          <w:p>
            <w:pPr>
              <w:spacing w:after="0" w:line="240" w:lineRule="auto"/>
            </w:pPr>
            <w:r>
              <w:rPr>
                <w:sz w:val="19"/>
              </w:rPr>
              <w:t>capta relações não lineares suaves</w:t>
            </w:r>
          </w:p>
        </w:tc>
      </w:tr>
      <w:tr>
        <w:tc>
          <w:tcPr>
            <w:tcW w:type="dxa" w:w="1214"/>
          </w:tcPr>
          <w:p>
            <w:pPr>
              <w:spacing w:after="0" w:line="240" w:lineRule="auto"/>
            </w:pPr>
            <w:r>
              <w:rPr>
                <w:sz w:val="19"/>
              </w:rPr>
              <w:t>Probabilístico</w:t>
            </w:r>
          </w:p>
        </w:tc>
        <w:tc>
          <w:tcPr>
            <w:tcW w:type="dxa" w:w="2555"/>
          </w:tcPr>
          <w:p>
            <w:pPr>
              <w:spacing w:after="0" w:line="240" w:lineRule="auto"/>
            </w:pPr>
            <w:r>
              <w:rPr>
                <w:sz w:val="19"/>
              </w:rPr>
              <w:t>–</w:t>
            </w:r>
          </w:p>
        </w:tc>
        <w:tc>
          <w:tcPr>
            <w:tcW w:type="dxa" w:w="2427"/>
          </w:tcPr>
          <w:p>
            <w:pPr>
              <w:spacing w:after="0" w:line="240" w:lineRule="auto"/>
            </w:pPr>
            <w:r>
              <w:rPr>
                <w:sz w:val="19"/>
              </w:rPr>
              <w:t>Naive Bayes</w:t>
            </w:r>
          </w:p>
        </w:tc>
        <w:tc>
          <w:tcPr>
            <w:tcW w:type="dxa" w:w="2875"/>
          </w:tcPr>
          <w:p>
            <w:pPr>
              <w:spacing w:after="0" w:line="240" w:lineRule="auto"/>
            </w:pPr>
            <w:r>
              <w:rPr>
                <w:sz w:val="19"/>
              </w:rPr>
              <w:t>referência simples que supõe independência entre features</w:t>
            </w:r>
          </w:p>
        </w:tc>
      </w:tr>
      <w:tr>
        <w:tc>
          <w:tcPr>
            <w:tcW w:type="dxa" w:w="1214"/>
          </w:tcPr>
          <w:p>
            <w:pPr>
              <w:spacing w:after="0" w:line="240" w:lineRule="auto"/>
            </w:pPr>
            <w:r>
              <w:rPr>
                <w:sz w:val="19"/>
              </w:rPr>
              <w:t>Árvores em paralelo</w:t>
            </w:r>
          </w:p>
        </w:tc>
        <w:tc>
          <w:tcPr>
            <w:tcW w:type="dxa" w:w="2555"/>
          </w:tcPr>
          <w:p>
            <w:pPr>
              <w:spacing w:after="0" w:line="240" w:lineRule="auto"/>
            </w:pPr>
            <w:r>
              <w:rPr>
                <w:sz w:val="19"/>
              </w:rPr>
              <w:t>Random Forest, Extra Trees</w:t>
            </w:r>
          </w:p>
        </w:tc>
        <w:tc>
          <w:tcPr>
            <w:tcW w:type="dxa" w:w="2427"/>
          </w:tcPr>
          <w:p>
            <w:pPr>
              <w:spacing w:after="0" w:line="240" w:lineRule="auto"/>
            </w:pPr>
            <w:r>
              <w:rPr>
                <w:sz w:val="19"/>
              </w:rPr>
              <w:t>Random Forest, Extra Trees</w:t>
            </w:r>
          </w:p>
        </w:tc>
        <w:tc>
          <w:tcPr>
            <w:tcW w:type="dxa" w:w="2875"/>
          </w:tcPr>
          <w:p>
            <w:pPr>
              <w:spacing w:after="0" w:line="240" w:lineRule="auto"/>
            </w:pPr>
            <w:r>
              <w:rPr>
                <w:sz w:val="19"/>
              </w:rPr>
              <w:t>capturam interações e não linearidades; robustas a outliers</w:t>
            </w:r>
          </w:p>
        </w:tc>
      </w:tr>
      <w:tr>
        <w:tc>
          <w:tcPr>
            <w:tcW w:type="dxa" w:w="1214"/>
          </w:tcPr>
          <w:p>
            <w:pPr>
              <w:spacing w:after="0" w:line="240" w:lineRule="auto"/>
            </w:pPr>
            <w:r>
              <w:rPr>
                <w:sz w:val="19"/>
              </w:rPr>
              <w:t>Boosting</w:t>
            </w:r>
          </w:p>
        </w:tc>
        <w:tc>
          <w:tcPr>
            <w:tcW w:type="dxa" w:w="2555"/>
          </w:tcPr>
          <w:p>
            <w:pPr>
              <w:spacing w:after="0" w:line="240" w:lineRule="auto"/>
            </w:pPr>
            <w:r>
              <w:rPr>
                <w:sz w:val="19"/>
              </w:rPr>
              <w:t>GradientBoosting, HistGradientBoosting</w:t>
            </w:r>
          </w:p>
        </w:tc>
        <w:tc>
          <w:tcPr>
            <w:tcW w:type="dxa" w:w="2427"/>
          </w:tcPr>
          <w:p>
            <w:pPr>
              <w:spacing w:after="0" w:line="240" w:lineRule="auto"/>
            </w:pPr>
            <w:r>
              <w:rPr>
                <w:sz w:val="19"/>
              </w:rPr>
              <w:t>GradientBoosting, HistGradientBoosting</w:t>
            </w:r>
          </w:p>
        </w:tc>
        <w:tc>
          <w:tcPr>
            <w:tcW w:type="dxa" w:w="2875"/>
          </w:tcPr>
          <w:p>
            <w:pPr>
              <w:spacing w:after="0" w:line="240" w:lineRule="auto"/>
            </w:pPr>
            <w:r>
              <w:rPr>
                <w:sz w:val="19"/>
              </w:rPr>
              <w:t>árvores em sequência que corrigem os erros anteriores; costumam liderar em dados tabulares</w:t>
            </w:r>
          </w:p>
        </w:tc>
      </w:tr>
    </w:tbl>
    <w:p>
      <w:pPr>
        <w:spacing w:after="40"/>
      </w:pPr>
    </w:p>
    <w:p>
      <w:pPr>
        <w:jc w:val="both"/>
      </w:pPr>
      <w:r>
        <w:t xml:space="preserve">Na regressão foi treinado um modelo por alvo, porque os mecanismos físicos diferem: a máxima depende mais da radiação solar e das nuvens do dia seguinte, enquanto a mínima depende mais da umidade e da massa de ar presente à noite. Na classificação, </w:t>
      </w:r>
      <w:r>
        <w:rPr>
          <w:rFonts w:ascii="Consolas" w:hAnsi="Consolas" w:eastAsia="Consolas"/>
          <w:color w:val="8B1E3F"/>
        </w:rPr>
        <w:t>class_weight</w:t>
      </w:r>
      <w:r>
        <w:t xml:space="preserve"> aumenta o peso dos erros nas classes raras sem criar dados sintéticos; KNN, Naive Bayes e GradientBoosting não oferecem essa opção.</w:t>
      </w:r>
    </w:p>
    <w:p>
      <w:pPr>
        <w:pStyle w:val="Heading2"/>
      </w:pPr>
      <w:r>
        <w:t>4.3 Ajuste de hiperparâmetros</w:t>
      </w:r>
    </w:p>
    <w:p>
      <w:pPr>
        <w:jc w:val="both"/>
      </w:pPr>
      <w:r>
        <w:t xml:space="preserve">O melhor modelo de cada tarefa na validação foi ajustado com </w:t>
      </w:r>
      <w:r>
        <w:rPr>
          <w:rFonts w:ascii="Consolas" w:hAnsi="Consolas" w:eastAsia="Consolas"/>
          <w:color w:val="8B1E3F"/>
        </w:rPr>
        <w:t>GridSearchCV</w:t>
      </w:r>
      <w:r>
        <w:t>, que avalia todas as combinações de uma grade, usando validação cruzada em cinco folds temporais (</w:t>
      </w:r>
      <w:r>
        <w:rPr>
          <w:rFonts w:ascii="Consolas" w:hAnsi="Consolas" w:eastAsia="Consolas"/>
          <w:color w:val="8B1E3F"/>
        </w:rPr>
        <w:t>TimeSeriesSplit</w:t>
      </w:r>
      <w:r>
        <w:t xml:space="preserve"> com intervalo de um dia), apenas sobre o treino. Em cada fold o modelo treina no passado e é avaliado no período imediatamente seguinte. Um KFold comum embaralharia os dias e usaria o futuro para prever o passado; o intervalo de um dia impede que o alvo do último dia de treino seja feature do primeiro dia de validação. As grades têm até 27 combinações, pequenas o bastante para serem avaliadas por completo. Otimizou‑se o MAE na regressão e o F1‑macro na classificação.</w:t>
      </w:r>
    </w:p>
    <w:tbl>
      <w:tblPr>
        <w:tblStyle w:val="TableGrid"/>
        <w:tblW w:type="auto" w:w="0"/>
        <w:jc w:val="center"/>
        <w:tblLayout w:type="fixed"/>
        <w:tblLook w:firstColumn="1" w:firstRow="1" w:lastColumn="0" w:lastRow="0" w:noHBand="0" w:noVBand="1" w:val="04A0"/>
      </w:tblPr>
      <w:tblGrid>
        <w:gridCol w:w="909"/>
        <w:gridCol w:w="2272"/>
        <w:gridCol w:w="3787"/>
        <w:gridCol w:w="2104"/>
      </w:tblGrid>
      <w:tr>
        <w:trPr>
          <w:tblHeader w:val="true"/>
        </w:trPr>
        <w:tc>
          <w:tcPr>
            <w:tcW w:type="dxa" w:w="909"/>
            <w:shd w:val="clear" w:color="auto" w:fill="DCE6F2"/>
          </w:tcPr>
          <w:p>
            <w:pPr>
              <w:spacing w:after="0" w:line="240" w:lineRule="auto"/>
            </w:pPr>
            <w:r>
              <w:rPr>
                <w:b/>
                <w:sz w:val="19"/>
              </w:rPr>
              <w:t>Alvo</w:t>
            </w:r>
          </w:p>
        </w:tc>
        <w:tc>
          <w:tcPr>
            <w:tcW w:type="dxa" w:w="2272"/>
            <w:shd w:val="clear" w:color="auto" w:fill="DCE6F2"/>
          </w:tcPr>
          <w:p>
            <w:pPr>
              <w:spacing w:after="0" w:line="240" w:lineRule="auto"/>
            </w:pPr>
            <w:r>
              <w:rPr>
                <w:b/>
                <w:sz w:val="19"/>
              </w:rPr>
              <w:t>Modelo ajustado</w:t>
            </w:r>
          </w:p>
        </w:tc>
        <w:tc>
          <w:tcPr>
            <w:tcW w:type="dxa" w:w="3787"/>
            <w:shd w:val="clear" w:color="auto" w:fill="DCE6F2"/>
          </w:tcPr>
          <w:p>
            <w:pPr>
              <w:spacing w:after="0" w:line="240" w:lineRule="auto"/>
            </w:pPr>
            <w:r>
              <w:rPr>
                <w:b/>
                <w:sz w:val="19"/>
              </w:rPr>
              <w:t>Configuração final</w:t>
            </w:r>
          </w:p>
        </w:tc>
        <w:tc>
          <w:tcPr>
            <w:tcW w:type="dxa" w:w="2104"/>
            <w:shd w:val="clear" w:color="auto" w:fill="DCE6F2"/>
          </w:tcPr>
          <w:p>
            <w:pPr>
              <w:spacing w:after="0" w:line="240" w:lineRule="auto"/>
            </w:pPr>
            <w:r>
              <w:rPr>
                <w:b/>
                <w:sz w:val="19"/>
              </w:rPr>
              <w:t>Validação: antes → depois</w:t>
            </w:r>
          </w:p>
        </w:tc>
      </w:tr>
      <w:tr>
        <w:tc>
          <w:tcPr>
            <w:tcW w:type="dxa" w:w="909"/>
          </w:tcPr>
          <w:p>
            <w:pPr>
              <w:spacing w:after="0" w:line="240" w:lineRule="auto"/>
            </w:pPr>
            <w:r>
              <w:rPr>
                <w:sz w:val="19"/>
              </w:rPr>
              <w:t>Tmax</w:t>
            </w:r>
          </w:p>
        </w:tc>
        <w:tc>
          <w:tcPr>
            <w:tcW w:type="dxa" w:w="2272"/>
          </w:tcPr>
          <w:p>
            <w:pPr>
              <w:spacing w:after="0" w:line="240" w:lineRule="auto"/>
            </w:pPr>
            <w:r>
              <w:rPr>
                <w:sz w:val="19"/>
              </w:rPr>
              <w:t>GradientBoosting</w:t>
            </w:r>
          </w:p>
        </w:tc>
        <w:tc>
          <w:tcPr>
            <w:tcW w:type="dxa" w:w="3787"/>
          </w:tcPr>
          <w:p>
            <w:pPr>
              <w:spacing w:after="0" w:line="240" w:lineRule="auto"/>
            </w:pPr>
            <w:r>
              <w:rPr>
                <w:sz w:val="19"/>
              </w:rPr>
              <w:t>200 árvores; learning_rate 0,05; max_depth 3</w:t>
            </w:r>
          </w:p>
        </w:tc>
        <w:tc>
          <w:tcPr>
            <w:tcW w:type="dxa" w:w="2104"/>
          </w:tcPr>
          <w:p>
            <w:pPr>
              <w:spacing w:after="0" w:line="240" w:lineRule="auto"/>
            </w:pPr>
            <w:r>
              <w:rPr>
                <w:sz w:val="19"/>
              </w:rPr>
              <w:t>MAE 1,032 → 1,035 °C</w:t>
            </w:r>
          </w:p>
        </w:tc>
      </w:tr>
      <w:tr>
        <w:tc>
          <w:tcPr>
            <w:tcW w:type="dxa" w:w="909"/>
          </w:tcPr>
          <w:p>
            <w:pPr>
              <w:spacing w:after="0" w:line="240" w:lineRule="auto"/>
            </w:pPr>
            <w:r>
              <w:rPr>
                <w:sz w:val="19"/>
              </w:rPr>
              <w:t>Tmin</w:t>
            </w:r>
          </w:p>
        </w:tc>
        <w:tc>
          <w:tcPr>
            <w:tcW w:type="dxa" w:w="2272"/>
          </w:tcPr>
          <w:p>
            <w:pPr>
              <w:spacing w:after="0" w:line="240" w:lineRule="auto"/>
            </w:pPr>
            <w:r>
              <w:rPr>
                <w:sz w:val="19"/>
              </w:rPr>
              <w:t>HistGradientBoosting</w:t>
            </w:r>
          </w:p>
        </w:tc>
        <w:tc>
          <w:tcPr>
            <w:tcW w:type="dxa" w:w="3787"/>
          </w:tcPr>
          <w:p>
            <w:pPr>
              <w:spacing w:after="0" w:line="240" w:lineRule="auto"/>
            </w:pPr>
            <w:r>
              <w:rPr>
                <w:sz w:val="19"/>
              </w:rPr>
              <w:t>learning_rate 0,02; 300 iterações; 15 folhas; min_samples_leaf 20</w:t>
            </w:r>
          </w:p>
        </w:tc>
        <w:tc>
          <w:tcPr>
            <w:tcW w:type="dxa" w:w="2104"/>
          </w:tcPr>
          <w:p>
            <w:pPr>
              <w:spacing w:after="0" w:line="240" w:lineRule="auto"/>
            </w:pPr>
            <w:r>
              <w:rPr>
                <w:sz w:val="19"/>
              </w:rPr>
              <w:t>MAE 0,993 → 0,991 °C</w:t>
            </w:r>
          </w:p>
        </w:tc>
      </w:tr>
      <w:tr>
        <w:tc>
          <w:tcPr>
            <w:tcW w:type="dxa" w:w="909"/>
          </w:tcPr>
          <w:p>
            <w:pPr>
              <w:spacing w:after="0" w:line="240" w:lineRule="auto"/>
            </w:pPr>
            <w:r>
              <w:rPr>
                <w:sz w:val="19"/>
              </w:rPr>
              <w:t>Condição</w:t>
            </w:r>
          </w:p>
        </w:tc>
        <w:tc>
          <w:tcPr>
            <w:tcW w:type="dxa" w:w="2272"/>
          </w:tcPr>
          <w:p>
            <w:pPr>
              <w:spacing w:after="0" w:line="240" w:lineRule="auto"/>
            </w:pPr>
            <w:r>
              <w:rPr>
                <w:sz w:val="19"/>
              </w:rPr>
              <w:t>Extra Trees</w:t>
            </w:r>
          </w:p>
        </w:tc>
        <w:tc>
          <w:tcPr>
            <w:tcW w:type="dxa" w:w="3787"/>
          </w:tcPr>
          <w:p>
            <w:pPr>
              <w:spacing w:after="0" w:line="240" w:lineRule="auto"/>
            </w:pPr>
            <w:r>
              <w:rPr>
                <w:sz w:val="19"/>
              </w:rPr>
              <w:t>400 árvores; max_depth 10; max_features sqrt; min_samples_leaf 10</w:t>
            </w:r>
          </w:p>
        </w:tc>
        <w:tc>
          <w:tcPr>
            <w:tcW w:type="dxa" w:w="2104"/>
          </w:tcPr>
          <w:p>
            <w:pPr>
              <w:spacing w:after="0" w:line="240" w:lineRule="auto"/>
            </w:pPr>
            <w:r>
              <w:rPr>
                <w:sz w:val="19"/>
              </w:rPr>
              <w:t>F1‑macro 0,532 → 0,514</w:t>
            </w:r>
          </w:p>
        </w:tc>
      </w:tr>
    </w:tbl>
    <w:p>
      <w:pPr>
        <w:spacing w:after="40"/>
      </w:pPr>
    </w:p>
    <w:p>
      <w:pPr>
        <w:jc w:val="both"/>
      </w:pPr>
      <w:r>
        <w:t>O ajuste não melhorou de forma relevante nenhum modelo e piorou o Extra Trees. Isso indica que os hiperparâmetros iniciais já eram adequados e que a configuração ótima nas dobras de 2014–2021 não se repete necessariamente em 2022–2023, um sinal de mudança de distribuição ao longo do tempo. Por isso o processo não confia cegamente no tuning e compara o modelo ajustado com um ensemble.</w:t>
      </w:r>
    </w:p>
    <w:p>
      <w:pPr>
        <w:pStyle w:val="Heading2"/>
      </w:pPr>
      <w:r>
        <w:t>4.4 Ensemble</w:t>
      </w:r>
    </w:p>
    <w:p>
      <w:pPr>
        <w:jc w:val="both"/>
      </w:pPr>
      <w:r>
        <w:t>Como extensão, foi testado um ensemble que combina o modelo ajustado com o segundo e o terceiro melhores da validação: média das previsões na regressão (</w:t>
      </w:r>
      <w:r>
        <w:rPr>
          <w:rFonts w:ascii="Consolas" w:hAnsi="Consolas" w:eastAsia="Consolas"/>
          <w:color w:val="8B1E3F"/>
        </w:rPr>
        <w:t>VotingRegressor</w:t>
      </w:r>
      <w:r>
        <w:t xml:space="preserve">) e média das probabilidades, ou </w:t>
      </w:r>
      <w:r>
        <w:rPr>
          <w:i/>
        </w:rPr>
        <w:t>soft voting</w:t>
      </w:r>
      <w:r>
        <w:t>, na classificação (</w:t>
      </w:r>
      <w:r>
        <w:rPr>
          <w:rFonts w:ascii="Consolas" w:hAnsi="Consolas" w:eastAsia="Consolas"/>
          <w:color w:val="8B1E3F"/>
        </w:rPr>
        <w:t>VotingClassifier</w:t>
      </w:r>
      <w:r>
        <w:t>). A ideia é que modelos de famílias diferentes cometem erros diferentes, e a média cancela parte deles. O modelo final de cada tarefa foi escolhido por um critério definido antes de olhar o teste: a melhor métrica na validação entre o modelo ajustado e o ensemble.</w:t>
      </w:r>
    </w:p>
    <w:tbl>
      <w:tblPr>
        <w:tblStyle w:val="TableGrid"/>
        <w:tblW w:type="auto" w:w="0"/>
        <w:jc w:val="center"/>
        <w:tblLayout w:type="fixed"/>
        <w:tblLook w:firstColumn="1" w:firstRow="1" w:lastColumn="0" w:lastRow="0" w:noHBand="0" w:noVBand="1" w:val="04A0"/>
      </w:tblPr>
      <w:tblGrid>
        <w:gridCol w:w="909"/>
        <w:gridCol w:w="3787"/>
        <w:gridCol w:w="1683"/>
        <w:gridCol w:w="1683"/>
        <w:gridCol w:w="1010"/>
      </w:tblGrid>
      <w:tr>
        <w:trPr>
          <w:tblHeader w:val="true"/>
        </w:trPr>
        <w:tc>
          <w:tcPr>
            <w:tcW w:type="dxa" w:w="909"/>
            <w:shd w:val="clear" w:color="auto" w:fill="DCE6F2"/>
          </w:tcPr>
          <w:p>
            <w:pPr>
              <w:spacing w:after="0" w:line="240" w:lineRule="auto"/>
            </w:pPr>
            <w:r>
              <w:rPr>
                <w:b/>
                <w:sz w:val="19"/>
              </w:rPr>
              <w:t>Alvo</w:t>
            </w:r>
          </w:p>
        </w:tc>
        <w:tc>
          <w:tcPr>
            <w:tcW w:type="dxa" w:w="3787"/>
            <w:shd w:val="clear" w:color="auto" w:fill="DCE6F2"/>
          </w:tcPr>
          <w:p>
            <w:pPr>
              <w:spacing w:after="0" w:line="240" w:lineRule="auto"/>
            </w:pPr>
            <w:r>
              <w:rPr>
                <w:b/>
                <w:sz w:val="19"/>
              </w:rPr>
              <w:t>Membros do ensemble</w:t>
            </w:r>
          </w:p>
        </w:tc>
        <w:tc>
          <w:tcPr>
            <w:tcW w:type="dxa" w:w="1683"/>
            <w:shd w:val="clear" w:color="auto" w:fill="DCE6F2"/>
          </w:tcPr>
          <w:p>
            <w:pPr>
              <w:spacing w:after="0" w:line="240" w:lineRule="auto"/>
            </w:pPr>
            <w:r>
              <w:rPr>
                <w:b/>
                <w:sz w:val="19"/>
              </w:rPr>
              <w:t>Ajustado (validação)</w:t>
            </w:r>
          </w:p>
        </w:tc>
        <w:tc>
          <w:tcPr>
            <w:tcW w:type="dxa" w:w="1683"/>
            <w:shd w:val="clear" w:color="auto" w:fill="DCE6F2"/>
          </w:tcPr>
          <w:p>
            <w:pPr>
              <w:spacing w:after="0" w:line="240" w:lineRule="auto"/>
            </w:pPr>
            <w:r>
              <w:rPr>
                <w:b/>
                <w:sz w:val="19"/>
              </w:rPr>
              <w:t>Ensemble (validação)</w:t>
            </w:r>
          </w:p>
        </w:tc>
        <w:tc>
          <w:tcPr>
            <w:tcW w:type="dxa" w:w="1010"/>
            <w:shd w:val="clear" w:color="auto" w:fill="DCE6F2"/>
          </w:tcPr>
          <w:p>
            <w:pPr>
              <w:spacing w:after="0" w:line="240" w:lineRule="auto"/>
            </w:pPr>
            <w:r>
              <w:rPr>
                <w:b/>
                <w:sz w:val="19"/>
              </w:rPr>
              <w:t>Modelo final</w:t>
            </w:r>
          </w:p>
        </w:tc>
      </w:tr>
      <w:tr>
        <w:tc>
          <w:tcPr>
            <w:tcW w:type="dxa" w:w="909"/>
          </w:tcPr>
          <w:p>
            <w:pPr>
              <w:spacing w:after="0" w:line="240" w:lineRule="auto"/>
            </w:pPr>
            <w:r>
              <w:rPr>
                <w:sz w:val="19"/>
              </w:rPr>
              <w:t>Tmax</w:t>
            </w:r>
          </w:p>
        </w:tc>
        <w:tc>
          <w:tcPr>
            <w:tcW w:type="dxa" w:w="3787"/>
          </w:tcPr>
          <w:p>
            <w:pPr>
              <w:spacing w:after="0" w:line="240" w:lineRule="auto"/>
            </w:pPr>
            <w:r>
              <w:rPr>
                <w:sz w:val="19"/>
              </w:rPr>
              <w:t>GradientBoosting ajustado, Ridge, LinearRegression</w:t>
            </w:r>
          </w:p>
        </w:tc>
        <w:tc>
          <w:tcPr>
            <w:tcW w:type="dxa" w:w="1683"/>
          </w:tcPr>
          <w:p>
            <w:pPr>
              <w:spacing w:after="0" w:line="240" w:lineRule="auto"/>
            </w:pPr>
            <w:r>
              <w:rPr>
                <w:sz w:val="19"/>
              </w:rPr>
              <w:t>1,035 °C</w:t>
            </w:r>
          </w:p>
        </w:tc>
        <w:tc>
          <w:tcPr>
            <w:tcW w:type="dxa" w:w="1683"/>
          </w:tcPr>
          <w:p>
            <w:pPr>
              <w:spacing w:after="0" w:line="240" w:lineRule="auto"/>
            </w:pPr>
            <w:r>
              <w:rPr>
                <w:sz w:val="19"/>
              </w:rPr>
              <w:t>1,011 °C</w:t>
            </w:r>
          </w:p>
        </w:tc>
        <w:tc>
          <w:tcPr>
            <w:tcW w:type="dxa" w:w="1010"/>
          </w:tcPr>
          <w:p>
            <w:pPr>
              <w:spacing w:after="0" w:line="240" w:lineRule="auto"/>
            </w:pPr>
            <w:r>
              <w:rPr>
                <w:sz w:val="19"/>
              </w:rPr>
              <w:t>Ensemble</w:t>
            </w:r>
          </w:p>
        </w:tc>
      </w:tr>
      <w:tr>
        <w:tc>
          <w:tcPr>
            <w:tcW w:type="dxa" w:w="909"/>
          </w:tcPr>
          <w:p>
            <w:pPr>
              <w:spacing w:after="0" w:line="240" w:lineRule="auto"/>
            </w:pPr>
            <w:r>
              <w:rPr>
                <w:sz w:val="19"/>
              </w:rPr>
              <w:t>Tmin</w:t>
            </w:r>
          </w:p>
        </w:tc>
        <w:tc>
          <w:tcPr>
            <w:tcW w:type="dxa" w:w="3787"/>
          </w:tcPr>
          <w:p>
            <w:pPr>
              <w:spacing w:after="0" w:line="240" w:lineRule="auto"/>
            </w:pPr>
            <w:r>
              <w:rPr>
                <w:sz w:val="19"/>
              </w:rPr>
              <w:t>HistGradBoost ajustado, Random Forest, Extra Trees</w:t>
            </w:r>
          </w:p>
        </w:tc>
        <w:tc>
          <w:tcPr>
            <w:tcW w:type="dxa" w:w="1683"/>
          </w:tcPr>
          <w:p>
            <w:pPr>
              <w:spacing w:after="0" w:line="240" w:lineRule="auto"/>
            </w:pPr>
            <w:r>
              <w:rPr>
                <w:sz w:val="19"/>
              </w:rPr>
              <w:t>0,991 °C</w:t>
            </w:r>
          </w:p>
        </w:tc>
        <w:tc>
          <w:tcPr>
            <w:tcW w:type="dxa" w:w="1683"/>
          </w:tcPr>
          <w:p>
            <w:pPr>
              <w:spacing w:after="0" w:line="240" w:lineRule="auto"/>
            </w:pPr>
            <w:r>
              <w:rPr>
                <w:sz w:val="19"/>
              </w:rPr>
              <w:t>0,988 °C</w:t>
            </w:r>
          </w:p>
        </w:tc>
        <w:tc>
          <w:tcPr>
            <w:tcW w:type="dxa" w:w="1010"/>
          </w:tcPr>
          <w:p>
            <w:pPr>
              <w:spacing w:after="0" w:line="240" w:lineRule="auto"/>
            </w:pPr>
            <w:r>
              <w:rPr>
                <w:sz w:val="19"/>
              </w:rPr>
              <w:t>Ensemble</w:t>
            </w:r>
          </w:p>
        </w:tc>
      </w:tr>
      <w:tr>
        <w:tc>
          <w:tcPr>
            <w:tcW w:type="dxa" w:w="909"/>
          </w:tcPr>
          <w:p>
            <w:pPr>
              <w:spacing w:after="0" w:line="240" w:lineRule="auto"/>
            </w:pPr>
            <w:r>
              <w:rPr>
                <w:sz w:val="19"/>
              </w:rPr>
              <w:t>Condição</w:t>
            </w:r>
          </w:p>
        </w:tc>
        <w:tc>
          <w:tcPr>
            <w:tcW w:type="dxa" w:w="3787"/>
          </w:tcPr>
          <w:p>
            <w:pPr>
              <w:spacing w:after="0" w:line="240" w:lineRule="auto"/>
            </w:pPr>
            <w:r>
              <w:rPr>
                <w:sz w:val="19"/>
              </w:rPr>
              <w:t>Extra Trees ajustado, Random Forest, Regressão Logística</w:t>
            </w:r>
          </w:p>
        </w:tc>
        <w:tc>
          <w:tcPr>
            <w:tcW w:type="dxa" w:w="1683"/>
          </w:tcPr>
          <w:p>
            <w:pPr>
              <w:spacing w:after="0" w:line="240" w:lineRule="auto"/>
            </w:pPr>
            <w:r>
              <w:rPr>
                <w:sz w:val="19"/>
              </w:rPr>
              <w:t>0,514</w:t>
            </w:r>
          </w:p>
        </w:tc>
        <w:tc>
          <w:tcPr>
            <w:tcW w:type="dxa" w:w="1683"/>
          </w:tcPr>
          <w:p>
            <w:pPr>
              <w:spacing w:after="0" w:line="240" w:lineRule="auto"/>
            </w:pPr>
            <w:r>
              <w:rPr>
                <w:sz w:val="19"/>
              </w:rPr>
              <w:t>0,539</w:t>
            </w:r>
          </w:p>
        </w:tc>
        <w:tc>
          <w:tcPr>
            <w:tcW w:type="dxa" w:w="1010"/>
          </w:tcPr>
          <w:p>
            <w:pPr>
              <w:spacing w:after="0" w:line="240" w:lineRule="auto"/>
            </w:pPr>
            <w:r>
              <w:rPr>
                <w:sz w:val="19"/>
              </w:rPr>
              <w:t>Ensemble</w:t>
            </w:r>
          </w:p>
        </w:tc>
      </w:tr>
    </w:tbl>
    <w:p>
      <w:pPr>
        <w:spacing w:after="40"/>
      </w:pPr>
    </w:p>
    <w:p>
      <w:pPr>
        <w:jc w:val="both"/>
      </w:pPr>
      <w:r>
        <w:t>O modelo final foi então retreinado com treino e validação juntos e avaliado uma única vez no teste.</w:t>
      </w:r>
    </w:p>
    <w:p>
      <w:pPr>
        <w:pStyle w:val="Heading1"/>
        <w:pageBreakBefore w:val="0"/>
        <w:spacing w:before="280"/>
      </w:pPr>
      <w:r>
        <w:t>5. Resultados e Avaliação</w:t>
      </w:r>
    </w:p>
    <w:p>
      <w:pPr>
        <w:jc w:val="both"/>
      </w:pPr>
      <w:r>
        <w:t>No teste (2024–2025), o modelo final reduziu o erro em relação à persistência em 19 % para a temperatura máxima e 11 % para a mínima, ambos com significância estatística; na condição do tempo, o ganho existe, mas não é significativo.</w:t>
      </w:r>
    </w:p>
    <w:p>
      <w:pPr>
        <w:pStyle w:val="Heading2"/>
      </w:pPr>
      <w:r>
        <w:t>5.1 Métricas e teste de significância</w:t>
      </w:r>
    </w:p>
    <w:tbl>
      <w:tblPr>
        <w:tblStyle w:val="TableGrid"/>
        <w:tblW w:type="auto" w:w="0"/>
        <w:jc w:val="center"/>
        <w:tblLayout w:type="fixed"/>
        <w:tblLook w:firstColumn="1" w:firstRow="1" w:lastColumn="0" w:lastRow="0" w:noHBand="0" w:noVBand="1" w:val="04A0"/>
      </w:tblPr>
      <w:tblGrid>
        <w:gridCol w:w="3371"/>
        <w:gridCol w:w="1599"/>
        <w:gridCol w:w="4100"/>
      </w:tblGrid>
      <w:tr>
        <w:trPr>
          <w:tblHeader w:val="true"/>
        </w:trPr>
        <w:tc>
          <w:tcPr>
            <w:tcW w:type="dxa" w:w="3371"/>
            <w:shd w:val="clear" w:color="auto" w:fill="DCE6F2"/>
          </w:tcPr>
          <w:p>
            <w:pPr>
              <w:spacing w:after="0" w:line="240" w:lineRule="auto"/>
            </w:pPr>
            <w:r>
              <w:rPr>
                <w:b/>
                <w:sz w:val="19"/>
              </w:rPr>
              <w:t>Métrica</w:t>
            </w:r>
          </w:p>
        </w:tc>
        <w:tc>
          <w:tcPr>
            <w:tcW w:type="dxa" w:w="1599"/>
            <w:shd w:val="clear" w:color="auto" w:fill="DCE6F2"/>
          </w:tcPr>
          <w:p>
            <w:pPr>
              <w:spacing w:after="0" w:line="240" w:lineRule="auto"/>
            </w:pPr>
            <w:r>
              <w:rPr>
                <w:b/>
                <w:sz w:val="19"/>
              </w:rPr>
              <w:t>Tarefa</w:t>
            </w:r>
          </w:p>
        </w:tc>
        <w:tc>
          <w:tcPr>
            <w:tcW w:type="dxa" w:w="4100"/>
            <w:shd w:val="clear" w:color="auto" w:fill="DCE6F2"/>
          </w:tcPr>
          <w:p>
            <w:pPr>
              <w:spacing w:after="0" w:line="240" w:lineRule="auto"/>
            </w:pPr>
            <w:r>
              <w:rPr>
                <w:b/>
                <w:sz w:val="19"/>
              </w:rPr>
              <w:t>Justificativa</w:t>
            </w:r>
          </w:p>
        </w:tc>
      </w:tr>
      <w:tr>
        <w:tc>
          <w:tcPr>
            <w:tcW w:type="dxa" w:w="3371"/>
          </w:tcPr>
          <w:p>
            <w:pPr>
              <w:spacing w:after="0" w:line="240" w:lineRule="auto"/>
            </w:pPr>
            <w:r>
              <w:rPr>
                <w:sz w:val="19"/>
              </w:rPr>
              <w:t>MAE (principal)</w:t>
            </w:r>
          </w:p>
        </w:tc>
        <w:tc>
          <w:tcPr>
            <w:tcW w:type="dxa" w:w="1599"/>
          </w:tcPr>
          <w:p>
            <w:pPr>
              <w:spacing w:after="0" w:line="240" w:lineRule="auto"/>
            </w:pPr>
            <w:r>
              <w:rPr>
                <w:sz w:val="19"/>
              </w:rPr>
              <w:t>Regressão</w:t>
            </w:r>
          </w:p>
        </w:tc>
        <w:tc>
          <w:tcPr>
            <w:tcW w:type="dxa" w:w="4100"/>
          </w:tcPr>
          <w:p>
            <w:pPr>
              <w:spacing w:after="0" w:line="240" w:lineRule="auto"/>
            </w:pPr>
            <w:r>
              <w:rPr>
                <w:sz w:val="19"/>
              </w:rPr>
              <w:t>erro médio em °C, interpretável e robusto a outliers</w:t>
            </w:r>
          </w:p>
        </w:tc>
      </w:tr>
      <w:tr>
        <w:tc>
          <w:tcPr>
            <w:tcW w:type="dxa" w:w="3371"/>
          </w:tcPr>
          <w:p>
            <w:pPr>
              <w:spacing w:after="0" w:line="240" w:lineRule="auto"/>
            </w:pPr>
            <w:r>
              <w:rPr>
                <w:sz w:val="19"/>
              </w:rPr>
              <w:t>RMSE</w:t>
            </w:r>
          </w:p>
        </w:tc>
        <w:tc>
          <w:tcPr>
            <w:tcW w:type="dxa" w:w="1599"/>
          </w:tcPr>
          <w:p>
            <w:pPr>
              <w:spacing w:after="0" w:line="240" w:lineRule="auto"/>
            </w:pPr>
            <w:r>
              <w:rPr>
                <w:sz w:val="19"/>
              </w:rPr>
              <w:t>Regressão</w:t>
            </w:r>
          </w:p>
        </w:tc>
        <w:tc>
          <w:tcPr>
            <w:tcW w:type="dxa" w:w="4100"/>
          </w:tcPr>
          <w:p>
            <w:pPr>
              <w:spacing w:after="0" w:line="240" w:lineRule="auto"/>
            </w:pPr>
            <w:r>
              <w:rPr>
                <w:sz w:val="19"/>
              </w:rPr>
              <w:t>penaliza mais os erros grandes, como frentes frias não previstas</w:t>
            </w:r>
          </w:p>
        </w:tc>
      </w:tr>
      <w:tr>
        <w:tc>
          <w:tcPr>
            <w:tcW w:type="dxa" w:w="3371"/>
          </w:tcPr>
          <w:p>
            <w:pPr>
              <w:spacing w:after="0" w:line="240" w:lineRule="auto"/>
            </w:pPr>
            <w:r>
              <w:rPr>
                <w:sz w:val="19"/>
              </w:rPr>
              <w:t>R² e r de Pearson</w:t>
            </w:r>
          </w:p>
        </w:tc>
        <w:tc>
          <w:tcPr>
            <w:tcW w:type="dxa" w:w="1599"/>
          </w:tcPr>
          <w:p>
            <w:pPr>
              <w:spacing w:after="0" w:line="240" w:lineRule="auto"/>
            </w:pPr>
            <w:r>
              <w:rPr>
                <w:sz w:val="19"/>
              </w:rPr>
              <w:t>Regressão</w:t>
            </w:r>
          </w:p>
        </w:tc>
        <w:tc>
          <w:tcPr>
            <w:tcW w:type="dxa" w:w="4100"/>
          </w:tcPr>
          <w:p>
            <w:pPr>
              <w:spacing w:after="0" w:line="240" w:lineRule="auto"/>
            </w:pPr>
            <w:r>
              <w:rPr>
                <w:sz w:val="19"/>
              </w:rPr>
              <w:t>variância explicada e capacidade de acompanhar subidas e descidas</w:t>
            </w:r>
          </w:p>
        </w:tc>
      </w:tr>
      <w:tr>
        <w:tc>
          <w:tcPr>
            <w:tcW w:type="dxa" w:w="3371"/>
          </w:tcPr>
          <w:p>
            <w:pPr>
              <w:spacing w:after="0" w:line="240" w:lineRule="auto"/>
            </w:pPr>
            <w:r>
              <w:rPr>
                <w:sz w:val="19"/>
              </w:rPr>
              <w:t>F1‑macro (principal)</w:t>
            </w:r>
          </w:p>
        </w:tc>
        <w:tc>
          <w:tcPr>
            <w:tcW w:type="dxa" w:w="1599"/>
          </w:tcPr>
          <w:p>
            <w:pPr>
              <w:spacing w:after="0" w:line="240" w:lineRule="auto"/>
            </w:pPr>
            <w:r>
              <w:rPr>
                <w:sz w:val="19"/>
              </w:rPr>
              <w:t>Classificação</w:t>
            </w:r>
          </w:p>
        </w:tc>
        <w:tc>
          <w:tcPr>
            <w:tcW w:type="dxa" w:w="4100"/>
          </w:tcPr>
          <w:p>
            <w:pPr>
              <w:spacing w:after="0" w:line="240" w:lineRule="auto"/>
            </w:pPr>
            <w:r>
              <w:rPr>
                <w:sz w:val="19"/>
              </w:rPr>
              <w:t>peso igual às quatro classes; não é inflado pela classe majoritária</w:t>
            </w:r>
          </w:p>
        </w:tc>
      </w:tr>
      <w:tr>
        <w:tc>
          <w:tcPr>
            <w:tcW w:type="dxa" w:w="3371"/>
          </w:tcPr>
          <w:p>
            <w:pPr>
              <w:spacing w:after="0" w:line="240" w:lineRule="auto"/>
            </w:pPr>
            <w:r>
              <w:rPr>
                <w:sz w:val="19"/>
              </w:rPr>
              <w:t>Acurácia e acurácia balanceada</w:t>
            </w:r>
          </w:p>
        </w:tc>
        <w:tc>
          <w:tcPr>
            <w:tcW w:type="dxa" w:w="1599"/>
          </w:tcPr>
          <w:p>
            <w:pPr>
              <w:spacing w:after="0" w:line="240" w:lineRule="auto"/>
            </w:pPr>
            <w:r>
              <w:rPr>
                <w:sz w:val="19"/>
              </w:rPr>
              <w:t>Classificação</w:t>
            </w:r>
          </w:p>
        </w:tc>
        <w:tc>
          <w:tcPr>
            <w:tcW w:type="dxa" w:w="4100"/>
          </w:tcPr>
          <w:p>
            <w:pPr>
              <w:spacing w:after="0" w:line="240" w:lineRule="auto"/>
            </w:pPr>
            <w:r>
              <w:rPr>
                <w:sz w:val="19"/>
              </w:rPr>
              <w:t>intuitivas; a balanceada é a média do recall por classe</w:t>
            </w:r>
          </w:p>
        </w:tc>
      </w:tr>
      <w:tr>
        <w:tc>
          <w:tcPr>
            <w:tcW w:type="dxa" w:w="3371"/>
          </w:tcPr>
          <w:p>
            <w:pPr>
              <w:spacing w:after="0" w:line="240" w:lineRule="auto"/>
            </w:pPr>
            <w:r>
              <w:rPr>
                <w:sz w:val="19"/>
              </w:rPr>
              <w:t>Precisão, recall e matriz de confusão</w:t>
            </w:r>
          </w:p>
        </w:tc>
        <w:tc>
          <w:tcPr>
            <w:tcW w:type="dxa" w:w="1599"/>
          </w:tcPr>
          <w:p>
            <w:pPr>
              <w:spacing w:after="0" w:line="240" w:lineRule="auto"/>
            </w:pPr>
            <w:r>
              <w:rPr>
                <w:sz w:val="19"/>
              </w:rPr>
              <w:t>Classificação</w:t>
            </w:r>
          </w:p>
        </w:tc>
        <w:tc>
          <w:tcPr>
            <w:tcW w:type="dxa" w:w="4100"/>
          </w:tcPr>
          <w:p>
            <w:pPr>
              <w:spacing w:after="0" w:line="240" w:lineRule="auto"/>
            </w:pPr>
            <w:r>
              <w:rPr>
                <w:sz w:val="19"/>
              </w:rPr>
              <w:t>mostram quais classes se confundem</w:t>
            </w:r>
          </w:p>
        </w:tc>
      </w:tr>
      <w:tr>
        <w:tc>
          <w:tcPr>
            <w:tcW w:type="dxa" w:w="3371"/>
          </w:tcPr>
          <w:p>
            <w:pPr>
              <w:spacing w:after="0" w:line="240" w:lineRule="auto"/>
            </w:pPr>
            <w:r>
              <w:rPr>
                <w:sz w:val="19"/>
              </w:rPr>
              <w:t>ROC‑AUC e Brier score</w:t>
            </w:r>
          </w:p>
        </w:tc>
        <w:tc>
          <w:tcPr>
            <w:tcW w:type="dxa" w:w="1599"/>
          </w:tcPr>
          <w:p>
            <w:pPr>
              <w:spacing w:after="0" w:line="240" w:lineRule="auto"/>
            </w:pPr>
            <w:r>
              <w:rPr>
                <w:sz w:val="19"/>
              </w:rPr>
              <w:t>Chuva sim/não</w:t>
            </w:r>
          </w:p>
        </w:tc>
        <w:tc>
          <w:tcPr>
            <w:tcW w:type="dxa" w:w="4100"/>
          </w:tcPr>
          <w:p>
            <w:pPr>
              <w:spacing w:after="0" w:line="240" w:lineRule="auto"/>
            </w:pPr>
            <w:r>
              <w:rPr>
                <w:sz w:val="19"/>
              </w:rPr>
              <w:t>avaliam a qualidade da probabilidade de chuva</w:t>
            </w:r>
          </w:p>
        </w:tc>
      </w:tr>
    </w:tbl>
    <w:p>
      <w:pPr>
        <w:spacing w:after="40"/>
      </w:pPr>
    </w:p>
    <w:p>
      <w:pPr>
        <w:jc w:val="both"/>
      </w:pPr>
      <w:r>
        <w:t xml:space="preserve">Para verificar se as diferenças são reais, usou‑se um </w:t>
      </w:r>
      <w:r>
        <w:rPr>
          <w:i/>
        </w:rPr>
        <w:t>bootstrap</w:t>
      </w:r>
      <w:r>
        <w:t xml:space="preserve"> em blocos de 7 dias com 2000 reamostragens (Künsch, 1989). Reamostrar blocos, e não dias isolados, preserva a autocorrelação dos erros, que um bootstrap comum ignoraria. Se o intervalo de confiança de 95 % da diferença não contém zero, a diferença é considerada significativa.</w:t>
      </w:r>
    </w:p>
    <w:p>
      <w:pPr>
        <w:pStyle w:val="Heading2"/>
      </w:pPr>
      <w:r>
        <w:t>5.2 Regressão: comparação na validação</w:t>
      </w:r>
    </w:p>
    <w:p>
      <w:pPr>
        <w:keepNext/>
        <w:jc w:val="center"/>
      </w:pPr>
      <w:r>
        <w:drawing>
          <wp:inline xmlns:a="http://schemas.openxmlformats.org/drawingml/2006/main" xmlns:pic="http://schemas.openxmlformats.org/drawingml/2006/picture">
            <wp:extent cx="5760000" cy="1871676"/>
            <wp:docPr id="3" name="Picture 3"/>
            <wp:cNvGraphicFramePr>
              <a:graphicFrameLocks noChangeAspect="1"/>
            </wp:cNvGraphicFramePr>
            <a:graphic>
              <a:graphicData uri="http://schemas.openxmlformats.org/drawingml/2006/picture">
                <pic:pic>
                  <pic:nvPicPr>
                    <pic:cNvPr id="0" name="reg_val_comparison.png"/>
                    <pic:cNvPicPr/>
                  </pic:nvPicPr>
                  <pic:blipFill>
                    <a:blip r:embed="rId12"/>
                    <a:stretch>
                      <a:fillRect/>
                    </a:stretch>
                  </pic:blipFill>
                  <pic:spPr>
                    <a:xfrm>
                      <a:off x="0" y="0"/>
                      <a:ext cx="5760000" cy="1871676"/>
                    </a:xfrm>
                    <a:prstGeom prst="rect"/>
                  </pic:spPr>
                </pic:pic>
              </a:graphicData>
            </a:graphic>
          </wp:inline>
        </w:drawing>
      </w:r>
    </w:p>
    <w:p>
      <w:pPr>
        <w:jc w:val="center"/>
      </w:pPr>
      <w:r>
        <w:rPr>
          <w:i/>
          <w:color w:val="555555"/>
          <w:sz w:val="19"/>
        </w:rPr>
        <w:t>Figura 3 – MAE na validação (2022–2023) de todos os modelos de regressão; em cinza, as referências.</w:t>
      </w:r>
    </w:p>
    <w:p>
      <w:pPr>
        <w:jc w:val="both"/>
      </w:pPr>
      <w:r>
        <w:t>Quase todos os modelos superam a persistência; a exceção é o KNN na mínima (Figura 3). A climatologia erra cerca de 1,8 °C, o que mostra que conhecer só a data não basta. Os melhores modelos ficam separados por centésimos: na máxima, GradientBoosting (1,032 °C), Ridge (1,033 °C) e LinearRegression (1,034 °C) praticamente empatam, embora o Ridge treine em milésimos de segundo e o GradientBoosting em cerca de 6 segundos. Isso indica que a relação entre o estado atual e a temperatura de amanhã é predominantemente linear quando as features são bem construídas. KNN e SVR ficam para trás: com 76 dimensões, a noção de “dias parecidos” por distância perde poder.</w:t>
      </w:r>
    </w:p>
    <w:p>
      <w:pPr>
        <w:pStyle w:val="Heading2"/>
      </w:pPr>
      <w:r>
        <w:t>5.3 Regressão: avaliação final no teste</w:t>
      </w:r>
    </w:p>
    <w:tbl>
      <w:tblPr>
        <w:tblStyle w:val="TableGrid"/>
        <w:tblW w:type="auto" w:w="0"/>
        <w:jc w:val="center"/>
        <w:tblLayout w:type="fixed"/>
        <w:tblLook w:firstColumn="1" w:firstRow="1" w:lastColumn="0" w:lastRow="0" w:noHBand="0" w:noVBand="1" w:val="04A0"/>
      </w:tblPr>
      <w:tblGrid>
        <w:gridCol w:w="1033"/>
        <w:gridCol w:w="2788"/>
        <w:gridCol w:w="1377"/>
        <w:gridCol w:w="1549"/>
        <w:gridCol w:w="1162"/>
        <w:gridCol w:w="1162"/>
      </w:tblGrid>
      <w:tr>
        <w:trPr>
          <w:tblHeader w:val="true"/>
        </w:trPr>
        <w:tc>
          <w:tcPr>
            <w:tcW w:type="dxa" w:w="1033"/>
            <w:shd w:val="clear" w:color="auto" w:fill="DCE6F2"/>
          </w:tcPr>
          <w:p>
            <w:pPr>
              <w:spacing w:after="0" w:line="240" w:lineRule="auto"/>
            </w:pPr>
            <w:r>
              <w:rPr>
                <w:b/>
                <w:sz w:val="19"/>
              </w:rPr>
              <w:t>Alvo</w:t>
            </w:r>
          </w:p>
        </w:tc>
        <w:tc>
          <w:tcPr>
            <w:tcW w:type="dxa" w:w="2788"/>
            <w:shd w:val="clear" w:color="auto" w:fill="DCE6F2"/>
          </w:tcPr>
          <w:p>
            <w:pPr>
              <w:spacing w:after="0" w:line="240" w:lineRule="auto"/>
            </w:pPr>
            <w:r>
              <w:rPr>
                <w:b/>
                <w:sz w:val="19"/>
              </w:rPr>
              <w:t>Modelo</w:t>
            </w:r>
          </w:p>
        </w:tc>
        <w:tc>
          <w:tcPr>
            <w:tcW w:type="dxa" w:w="1377"/>
            <w:shd w:val="clear" w:color="auto" w:fill="DCE6F2"/>
          </w:tcPr>
          <w:p>
            <w:pPr>
              <w:spacing w:after="0" w:line="240" w:lineRule="auto"/>
            </w:pPr>
            <w:r>
              <w:rPr>
                <w:b/>
                <w:sz w:val="19"/>
              </w:rPr>
              <w:t>MAE (°C)</w:t>
            </w:r>
          </w:p>
        </w:tc>
        <w:tc>
          <w:tcPr>
            <w:tcW w:type="dxa" w:w="1549"/>
            <w:shd w:val="clear" w:color="auto" w:fill="DCE6F2"/>
          </w:tcPr>
          <w:p>
            <w:pPr>
              <w:spacing w:after="0" w:line="240" w:lineRule="auto"/>
            </w:pPr>
            <w:r>
              <w:rPr>
                <w:b/>
                <w:sz w:val="19"/>
              </w:rPr>
              <w:t>RMSE (°C)</w:t>
            </w:r>
          </w:p>
        </w:tc>
        <w:tc>
          <w:tcPr>
            <w:tcW w:type="dxa" w:w="1162"/>
            <w:shd w:val="clear" w:color="auto" w:fill="DCE6F2"/>
          </w:tcPr>
          <w:p>
            <w:pPr>
              <w:spacing w:after="0" w:line="240" w:lineRule="auto"/>
            </w:pPr>
            <w:r>
              <w:rPr>
                <w:b/>
                <w:sz w:val="19"/>
              </w:rPr>
              <w:t>R²</w:t>
            </w:r>
          </w:p>
        </w:tc>
        <w:tc>
          <w:tcPr>
            <w:tcW w:type="dxa" w:w="1162"/>
            <w:shd w:val="clear" w:color="auto" w:fill="DCE6F2"/>
          </w:tcPr>
          <w:p>
            <w:pPr>
              <w:spacing w:after="0" w:line="240" w:lineRule="auto"/>
            </w:pPr>
            <w:r>
              <w:rPr>
                <w:b/>
                <w:sz w:val="19"/>
              </w:rPr>
              <w:t>r</w:t>
            </w:r>
          </w:p>
        </w:tc>
      </w:tr>
      <w:tr>
        <w:tc>
          <w:tcPr>
            <w:tcW w:type="dxa" w:w="1033"/>
          </w:tcPr>
          <w:p>
            <w:pPr>
              <w:spacing w:after="0" w:line="240" w:lineRule="auto"/>
            </w:pPr>
            <w:r>
              <w:rPr>
                <w:sz w:val="19"/>
              </w:rPr>
              <w:t>Tmax</w:t>
            </w:r>
          </w:p>
        </w:tc>
        <w:tc>
          <w:tcPr>
            <w:tcW w:type="dxa" w:w="2788"/>
          </w:tcPr>
          <w:p>
            <w:pPr>
              <w:spacing w:after="0" w:line="240" w:lineRule="auto"/>
            </w:pPr>
            <w:r>
              <w:rPr>
                <w:sz w:val="19"/>
              </w:rPr>
              <w:t>Persistência</w:t>
            </w:r>
          </w:p>
        </w:tc>
        <w:tc>
          <w:tcPr>
            <w:tcW w:type="dxa" w:w="1377"/>
          </w:tcPr>
          <w:p>
            <w:pPr>
              <w:spacing w:after="0" w:line="240" w:lineRule="auto"/>
            </w:pPr>
            <w:r>
              <w:rPr>
                <w:sz w:val="19"/>
              </w:rPr>
              <w:t>1,510</w:t>
            </w:r>
          </w:p>
        </w:tc>
        <w:tc>
          <w:tcPr>
            <w:tcW w:type="dxa" w:w="1549"/>
          </w:tcPr>
          <w:p>
            <w:pPr>
              <w:spacing w:after="0" w:line="240" w:lineRule="auto"/>
            </w:pPr>
            <w:r>
              <w:rPr>
                <w:sz w:val="19"/>
              </w:rPr>
              <w:t>2,060</w:t>
            </w:r>
          </w:p>
        </w:tc>
        <w:tc>
          <w:tcPr>
            <w:tcW w:type="dxa" w:w="1162"/>
          </w:tcPr>
          <w:p>
            <w:pPr>
              <w:spacing w:after="0" w:line="240" w:lineRule="auto"/>
            </w:pPr>
            <w:r>
              <w:rPr>
                <w:sz w:val="19"/>
              </w:rPr>
              <w:t>0,808</w:t>
            </w:r>
          </w:p>
        </w:tc>
        <w:tc>
          <w:tcPr>
            <w:tcW w:type="dxa" w:w="1162"/>
          </w:tcPr>
          <w:p>
            <w:pPr>
              <w:spacing w:after="0" w:line="240" w:lineRule="auto"/>
            </w:pPr>
            <w:r>
              <w:rPr>
                <w:sz w:val="19"/>
              </w:rPr>
              <w:t>0,904</w:t>
            </w:r>
          </w:p>
        </w:tc>
      </w:tr>
      <w:tr>
        <w:tc>
          <w:tcPr>
            <w:tcW w:type="dxa" w:w="1033"/>
          </w:tcPr>
          <w:p>
            <w:pPr>
              <w:spacing w:after="0" w:line="240" w:lineRule="auto"/>
            </w:pPr>
            <w:r>
              <w:rPr>
                <w:sz w:val="19"/>
              </w:rPr>
              <w:t>Tmax</w:t>
            </w:r>
          </w:p>
        </w:tc>
        <w:tc>
          <w:tcPr>
            <w:tcW w:type="dxa" w:w="2788"/>
          </w:tcPr>
          <w:p>
            <w:pPr>
              <w:spacing w:after="0" w:line="240" w:lineRule="auto"/>
            </w:pPr>
            <w:r>
              <w:rPr>
                <w:sz w:val="19"/>
              </w:rPr>
              <w:t>Climatologia</w:t>
            </w:r>
          </w:p>
        </w:tc>
        <w:tc>
          <w:tcPr>
            <w:tcW w:type="dxa" w:w="1377"/>
          </w:tcPr>
          <w:p>
            <w:pPr>
              <w:spacing w:after="0" w:line="240" w:lineRule="auto"/>
            </w:pPr>
            <w:r>
              <w:rPr>
                <w:sz w:val="19"/>
              </w:rPr>
              <w:t>2,139</w:t>
            </w:r>
          </w:p>
        </w:tc>
        <w:tc>
          <w:tcPr>
            <w:tcW w:type="dxa" w:w="1549"/>
          </w:tcPr>
          <w:p>
            <w:pPr>
              <w:spacing w:after="0" w:line="240" w:lineRule="auto"/>
            </w:pPr>
            <w:r>
              <w:rPr>
                <w:sz w:val="19"/>
              </w:rPr>
              <w:t>2,676</w:t>
            </w:r>
          </w:p>
        </w:tc>
        <w:tc>
          <w:tcPr>
            <w:tcW w:type="dxa" w:w="1162"/>
          </w:tcPr>
          <w:p>
            <w:pPr>
              <w:spacing w:after="0" w:line="240" w:lineRule="auto"/>
            </w:pPr>
            <w:r>
              <w:rPr>
                <w:sz w:val="19"/>
              </w:rPr>
              <w:t>0,677</w:t>
            </w:r>
          </w:p>
        </w:tc>
        <w:tc>
          <w:tcPr>
            <w:tcW w:type="dxa" w:w="1162"/>
          </w:tcPr>
          <w:p>
            <w:pPr>
              <w:spacing w:after="0" w:line="240" w:lineRule="auto"/>
            </w:pPr>
            <w:r>
              <w:rPr>
                <w:sz w:val="19"/>
              </w:rPr>
              <w:t>0,853</w:t>
            </w:r>
          </w:p>
        </w:tc>
      </w:tr>
      <w:tr>
        <w:tc>
          <w:tcPr>
            <w:tcW w:type="dxa" w:w="1033"/>
          </w:tcPr>
          <w:p>
            <w:pPr>
              <w:spacing w:after="0" w:line="240" w:lineRule="auto"/>
            </w:pPr>
            <w:r>
              <w:rPr>
                <w:sz w:val="19"/>
              </w:rPr>
              <w:t>Tmax</w:t>
            </w:r>
          </w:p>
        </w:tc>
        <w:tc>
          <w:tcPr>
            <w:tcW w:type="dxa" w:w="2788"/>
          </w:tcPr>
          <w:p>
            <w:pPr>
              <w:spacing w:after="0" w:line="240" w:lineRule="auto"/>
            </w:pPr>
            <w:r>
              <w:rPr>
                <w:b/>
                <w:sz w:val="19"/>
              </w:rPr>
              <w:t>Ensemble (final)</w:t>
            </w:r>
          </w:p>
        </w:tc>
        <w:tc>
          <w:tcPr>
            <w:tcW w:type="dxa" w:w="1377"/>
          </w:tcPr>
          <w:p>
            <w:pPr>
              <w:spacing w:after="0" w:line="240" w:lineRule="auto"/>
            </w:pPr>
            <w:r>
              <w:rPr>
                <w:b/>
                <w:sz w:val="19"/>
              </w:rPr>
              <w:t>1,220</w:t>
            </w:r>
          </w:p>
        </w:tc>
        <w:tc>
          <w:tcPr>
            <w:tcW w:type="dxa" w:w="1549"/>
          </w:tcPr>
          <w:p>
            <w:pPr>
              <w:spacing w:after="0" w:line="240" w:lineRule="auto"/>
            </w:pPr>
            <w:r>
              <w:rPr>
                <w:b/>
                <w:sz w:val="19"/>
              </w:rPr>
              <w:t>1,605</w:t>
            </w:r>
          </w:p>
        </w:tc>
        <w:tc>
          <w:tcPr>
            <w:tcW w:type="dxa" w:w="1162"/>
          </w:tcPr>
          <w:p>
            <w:pPr>
              <w:spacing w:after="0" w:line="240" w:lineRule="auto"/>
            </w:pPr>
            <w:r>
              <w:rPr>
                <w:b/>
                <w:sz w:val="19"/>
              </w:rPr>
              <w:t>0,884</w:t>
            </w:r>
          </w:p>
        </w:tc>
        <w:tc>
          <w:tcPr>
            <w:tcW w:type="dxa" w:w="1162"/>
          </w:tcPr>
          <w:p>
            <w:pPr>
              <w:spacing w:after="0" w:line="240" w:lineRule="auto"/>
            </w:pPr>
            <w:r>
              <w:rPr>
                <w:b/>
                <w:sz w:val="19"/>
              </w:rPr>
              <w:t>0,942</w:t>
            </w:r>
          </w:p>
        </w:tc>
      </w:tr>
      <w:tr>
        <w:tc>
          <w:tcPr>
            <w:tcW w:type="dxa" w:w="1033"/>
          </w:tcPr>
          <w:p>
            <w:pPr>
              <w:spacing w:after="0" w:line="240" w:lineRule="auto"/>
            </w:pPr>
            <w:r>
              <w:rPr>
                <w:sz w:val="19"/>
              </w:rPr>
              <w:t>Tmin</w:t>
            </w:r>
          </w:p>
        </w:tc>
        <w:tc>
          <w:tcPr>
            <w:tcW w:type="dxa" w:w="2788"/>
          </w:tcPr>
          <w:p>
            <w:pPr>
              <w:spacing w:after="0" w:line="240" w:lineRule="auto"/>
            </w:pPr>
            <w:r>
              <w:rPr>
                <w:sz w:val="19"/>
              </w:rPr>
              <w:t>Persistência</w:t>
            </w:r>
          </w:p>
        </w:tc>
        <w:tc>
          <w:tcPr>
            <w:tcW w:type="dxa" w:w="1377"/>
          </w:tcPr>
          <w:p>
            <w:pPr>
              <w:spacing w:after="0" w:line="240" w:lineRule="auto"/>
            </w:pPr>
            <w:r>
              <w:rPr>
                <w:sz w:val="19"/>
              </w:rPr>
              <w:t>1,107</w:t>
            </w:r>
          </w:p>
        </w:tc>
        <w:tc>
          <w:tcPr>
            <w:tcW w:type="dxa" w:w="1549"/>
          </w:tcPr>
          <w:p>
            <w:pPr>
              <w:spacing w:after="0" w:line="240" w:lineRule="auto"/>
            </w:pPr>
            <w:r>
              <w:rPr>
                <w:sz w:val="19"/>
              </w:rPr>
              <w:t>1,582</w:t>
            </w:r>
          </w:p>
        </w:tc>
        <w:tc>
          <w:tcPr>
            <w:tcW w:type="dxa" w:w="1162"/>
          </w:tcPr>
          <w:p>
            <w:pPr>
              <w:spacing w:after="0" w:line="240" w:lineRule="auto"/>
            </w:pPr>
            <w:r>
              <w:rPr>
                <w:sz w:val="19"/>
              </w:rPr>
              <w:t>0,912</w:t>
            </w:r>
          </w:p>
        </w:tc>
        <w:tc>
          <w:tcPr>
            <w:tcW w:type="dxa" w:w="1162"/>
          </w:tcPr>
          <w:p>
            <w:pPr>
              <w:spacing w:after="0" w:line="240" w:lineRule="auto"/>
            </w:pPr>
            <w:r>
              <w:rPr>
                <w:sz w:val="19"/>
              </w:rPr>
              <w:t>0,956</w:t>
            </w:r>
          </w:p>
        </w:tc>
      </w:tr>
      <w:tr>
        <w:tc>
          <w:tcPr>
            <w:tcW w:type="dxa" w:w="1033"/>
          </w:tcPr>
          <w:p>
            <w:pPr>
              <w:spacing w:after="0" w:line="240" w:lineRule="auto"/>
            </w:pPr>
            <w:r>
              <w:rPr>
                <w:sz w:val="19"/>
              </w:rPr>
              <w:t>Tmin</w:t>
            </w:r>
          </w:p>
        </w:tc>
        <w:tc>
          <w:tcPr>
            <w:tcW w:type="dxa" w:w="2788"/>
          </w:tcPr>
          <w:p>
            <w:pPr>
              <w:spacing w:after="0" w:line="240" w:lineRule="auto"/>
            </w:pPr>
            <w:r>
              <w:rPr>
                <w:sz w:val="19"/>
              </w:rPr>
              <w:t>Climatologia</w:t>
            </w:r>
          </w:p>
        </w:tc>
        <w:tc>
          <w:tcPr>
            <w:tcW w:type="dxa" w:w="1377"/>
          </w:tcPr>
          <w:p>
            <w:pPr>
              <w:spacing w:after="0" w:line="240" w:lineRule="auto"/>
            </w:pPr>
            <w:r>
              <w:rPr>
                <w:sz w:val="19"/>
              </w:rPr>
              <w:t>1,790</w:t>
            </w:r>
          </w:p>
        </w:tc>
        <w:tc>
          <w:tcPr>
            <w:tcW w:type="dxa" w:w="1549"/>
          </w:tcPr>
          <w:p>
            <w:pPr>
              <w:spacing w:after="0" w:line="240" w:lineRule="auto"/>
            </w:pPr>
            <w:r>
              <w:rPr>
                <w:sz w:val="19"/>
              </w:rPr>
              <w:t>2,380</w:t>
            </w:r>
          </w:p>
        </w:tc>
        <w:tc>
          <w:tcPr>
            <w:tcW w:type="dxa" w:w="1162"/>
          </w:tcPr>
          <w:p>
            <w:pPr>
              <w:spacing w:after="0" w:line="240" w:lineRule="auto"/>
            </w:pPr>
            <w:r>
              <w:rPr>
                <w:sz w:val="19"/>
              </w:rPr>
              <w:t>0,800</w:t>
            </w:r>
          </w:p>
        </w:tc>
        <w:tc>
          <w:tcPr>
            <w:tcW w:type="dxa" w:w="1162"/>
          </w:tcPr>
          <w:p>
            <w:pPr>
              <w:spacing w:after="0" w:line="240" w:lineRule="auto"/>
            </w:pPr>
            <w:r>
              <w:rPr>
                <w:sz w:val="19"/>
              </w:rPr>
              <w:t>0,895</w:t>
            </w:r>
          </w:p>
        </w:tc>
      </w:tr>
      <w:tr>
        <w:tc>
          <w:tcPr>
            <w:tcW w:type="dxa" w:w="1033"/>
          </w:tcPr>
          <w:p>
            <w:pPr>
              <w:spacing w:after="0" w:line="240" w:lineRule="auto"/>
            </w:pPr>
            <w:r>
              <w:rPr>
                <w:sz w:val="19"/>
              </w:rPr>
              <w:t>Tmin</w:t>
            </w:r>
          </w:p>
        </w:tc>
        <w:tc>
          <w:tcPr>
            <w:tcW w:type="dxa" w:w="2788"/>
          </w:tcPr>
          <w:p>
            <w:pPr>
              <w:spacing w:after="0" w:line="240" w:lineRule="auto"/>
            </w:pPr>
            <w:r>
              <w:rPr>
                <w:b/>
                <w:sz w:val="19"/>
              </w:rPr>
              <w:t>Ensemble (final)</w:t>
            </w:r>
          </w:p>
        </w:tc>
        <w:tc>
          <w:tcPr>
            <w:tcW w:type="dxa" w:w="1377"/>
          </w:tcPr>
          <w:p>
            <w:pPr>
              <w:spacing w:after="0" w:line="240" w:lineRule="auto"/>
            </w:pPr>
            <w:r>
              <w:rPr>
                <w:b/>
                <w:sz w:val="19"/>
              </w:rPr>
              <w:t>0,987</w:t>
            </w:r>
          </w:p>
        </w:tc>
        <w:tc>
          <w:tcPr>
            <w:tcW w:type="dxa" w:w="1549"/>
          </w:tcPr>
          <w:p>
            <w:pPr>
              <w:spacing w:after="0" w:line="240" w:lineRule="auto"/>
            </w:pPr>
            <w:r>
              <w:rPr>
                <w:b/>
                <w:sz w:val="19"/>
              </w:rPr>
              <w:t>1,382</w:t>
            </w:r>
          </w:p>
        </w:tc>
        <w:tc>
          <w:tcPr>
            <w:tcW w:type="dxa" w:w="1162"/>
          </w:tcPr>
          <w:p>
            <w:pPr>
              <w:spacing w:after="0" w:line="240" w:lineRule="auto"/>
            </w:pPr>
            <w:r>
              <w:rPr>
                <w:b/>
                <w:sz w:val="19"/>
              </w:rPr>
              <w:t>0,933</w:t>
            </w:r>
          </w:p>
        </w:tc>
        <w:tc>
          <w:tcPr>
            <w:tcW w:type="dxa" w:w="1162"/>
          </w:tcPr>
          <w:p>
            <w:pPr>
              <w:spacing w:after="0" w:line="240" w:lineRule="auto"/>
            </w:pPr>
            <w:r>
              <w:rPr>
                <w:b/>
                <w:sz w:val="19"/>
              </w:rPr>
              <w:t>0,967</w:t>
            </w:r>
          </w:p>
        </w:tc>
      </w:tr>
    </w:tbl>
    <w:p>
      <w:pPr>
        <w:spacing w:after="40"/>
      </w:pPr>
    </w:p>
    <w:p>
      <w:pPr>
        <w:jc w:val="both"/>
      </w:pPr>
      <w:r>
        <w:t>A redução do MAE frente à persistência tem intervalo de confiança de 95 % de [0,21; 0,36] °C para a máxima e [0,07; 0,17] °C para a mínima: ambas significativas. O desempenho no teste é coerente com o observado na validação (0,988 °C para a mínima), o que indica ausência de sobreajuste na seleção de modelos.</w:t>
      </w:r>
    </w:p>
    <w:p>
      <w:pPr>
        <w:keepNext/>
        <w:jc w:val="center"/>
      </w:pPr>
      <w:r>
        <w:drawing>
          <wp:inline xmlns:a="http://schemas.openxmlformats.org/drawingml/2006/main" xmlns:pic="http://schemas.openxmlformats.org/drawingml/2006/picture">
            <wp:extent cx="5760000" cy="2543694"/>
            <wp:docPr id="4" name="Picture 4"/>
            <wp:cNvGraphicFramePr>
              <a:graphicFrameLocks noChangeAspect="1"/>
            </wp:cNvGraphicFramePr>
            <a:graphic>
              <a:graphicData uri="http://schemas.openxmlformats.org/drawingml/2006/picture">
                <pic:pic>
                  <pic:nvPicPr>
                    <pic:cNvPr id="0" name="reg_test_results.png"/>
                    <pic:cNvPicPr/>
                  </pic:nvPicPr>
                  <pic:blipFill>
                    <a:blip r:embed="rId13"/>
                    <a:stretch>
                      <a:fillRect/>
                    </a:stretch>
                  </pic:blipFill>
                  <pic:spPr>
                    <a:xfrm>
                      <a:off x="0" y="0"/>
                      <a:ext cx="5760000" cy="2543694"/>
                    </a:xfrm>
                    <a:prstGeom prst="rect"/>
                  </pic:spPr>
                </pic:pic>
              </a:graphicData>
            </a:graphic>
          </wp:inline>
        </w:drawing>
      </w:r>
    </w:p>
    <w:p>
      <w:pPr>
        <w:jc w:val="center"/>
      </w:pPr>
      <w:r>
        <w:rPr>
          <w:i/>
          <w:color w:val="555555"/>
          <w:sz w:val="19"/>
        </w:rPr>
        <w:t>Figura 4 – Teste: série prevista contra a real no inverno 2024/25, dispersão previsto × real e MAE por mês.</w:t>
      </w:r>
    </w:p>
    <w:p>
      <w:pPr>
        <w:jc w:val="both"/>
      </w:pPr>
      <w:r>
        <w:t>A Figura 4 mostra onde está o ganho. No inverno (novembro a março), quando frentes frias provocam quedas bruscas, o erro da máxima cai de 1,91 para 1,43 °C, e o da mínima de 1,50 para 1,31 °C. No verão, quando o tempo é estável, a persistência já é boa e o ganho é menor (máxima de 1,10 para 0,97 °C). Na série do inverno, a persistência aparece como a curva real atrasada em um dia; o modelo antecipa parte das mudanças, mas ainda suaviza picos e vales, uma limitação típica de modelos que minimizam o erro médio.</w:t>
      </w:r>
    </w:p>
    <w:p>
      <w:pPr>
        <w:pStyle w:val="Heading2"/>
      </w:pPr>
      <w:r>
        <w:t>5.4 Classificação: validação e teste</w:t>
      </w:r>
    </w:p>
    <w:tbl>
      <w:tblPr>
        <w:tblStyle w:val="TableGrid"/>
        <w:tblW w:type="auto" w:w="0"/>
        <w:jc w:val="center"/>
        <w:tblLayout w:type="fixed"/>
        <w:tblLook w:firstColumn="1" w:firstRow="1" w:lastColumn="0" w:lastRow="0" w:noHBand="0" w:noVBand="1" w:val="04A0"/>
      </w:tblPr>
      <w:tblGrid>
        <w:gridCol w:w="2449"/>
        <w:gridCol w:w="1814"/>
        <w:gridCol w:w="1451"/>
        <w:gridCol w:w="1451"/>
        <w:gridCol w:w="1905"/>
      </w:tblGrid>
      <w:tr>
        <w:trPr>
          <w:tblHeader w:val="true"/>
        </w:trPr>
        <w:tc>
          <w:tcPr>
            <w:tcW w:type="dxa" w:w="2449"/>
            <w:shd w:val="clear" w:color="auto" w:fill="DCE6F2"/>
          </w:tcPr>
          <w:p>
            <w:pPr>
              <w:spacing w:after="0" w:line="240" w:lineRule="auto"/>
            </w:pPr>
            <w:r>
              <w:rPr>
                <w:b/>
                <w:sz w:val="19"/>
              </w:rPr>
              <w:t>Modelo</w:t>
            </w:r>
          </w:p>
        </w:tc>
        <w:tc>
          <w:tcPr>
            <w:tcW w:type="dxa" w:w="1814"/>
            <w:shd w:val="clear" w:color="auto" w:fill="DCE6F2"/>
          </w:tcPr>
          <w:p>
            <w:pPr>
              <w:spacing w:after="0" w:line="240" w:lineRule="auto"/>
            </w:pPr>
            <w:r>
              <w:rPr>
                <w:b/>
                <w:sz w:val="19"/>
              </w:rPr>
              <w:t>F1‑macro (validação)</w:t>
            </w:r>
          </w:p>
        </w:tc>
        <w:tc>
          <w:tcPr>
            <w:tcW w:type="dxa" w:w="1451"/>
            <w:shd w:val="clear" w:color="auto" w:fill="DCE6F2"/>
          </w:tcPr>
          <w:p>
            <w:pPr>
              <w:spacing w:after="0" w:line="240" w:lineRule="auto"/>
            </w:pPr>
            <w:r>
              <w:rPr>
                <w:b/>
                <w:sz w:val="19"/>
              </w:rPr>
              <w:t>F1‑macro (teste)</w:t>
            </w:r>
          </w:p>
        </w:tc>
        <w:tc>
          <w:tcPr>
            <w:tcW w:type="dxa" w:w="1451"/>
            <w:shd w:val="clear" w:color="auto" w:fill="DCE6F2"/>
          </w:tcPr>
          <w:p>
            <w:pPr>
              <w:spacing w:after="0" w:line="240" w:lineRule="auto"/>
            </w:pPr>
            <w:r>
              <w:rPr>
                <w:b/>
                <w:sz w:val="19"/>
              </w:rPr>
              <w:t>Acurácia (teste)</w:t>
            </w:r>
          </w:p>
        </w:tc>
        <w:tc>
          <w:tcPr>
            <w:tcW w:type="dxa" w:w="1905"/>
            <w:shd w:val="clear" w:color="auto" w:fill="DCE6F2"/>
          </w:tcPr>
          <w:p>
            <w:pPr>
              <w:spacing w:after="0" w:line="240" w:lineRule="auto"/>
            </w:pPr>
            <w:r>
              <w:rPr>
                <w:b/>
                <w:sz w:val="19"/>
              </w:rPr>
              <w:t>Acurácia bal. (teste)</w:t>
            </w:r>
          </w:p>
        </w:tc>
      </w:tr>
      <w:tr>
        <w:tc>
          <w:tcPr>
            <w:tcW w:type="dxa" w:w="2449"/>
          </w:tcPr>
          <w:p>
            <w:pPr>
              <w:spacing w:after="0" w:line="240" w:lineRule="auto"/>
            </w:pPr>
            <w:r>
              <w:rPr>
                <w:b/>
                <w:sz w:val="19"/>
              </w:rPr>
              <w:t>Ensemble (final)</w:t>
            </w:r>
          </w:p>
        </w:tc>
        <w:tc>
          <w:tcPr>
            <w:tcW w:type="dxa" w:w="1814"/>
          </w:tcPr>
          <w:p>
            <w:pPr>
              <w:spacing w:after="0" w:line="240" w:lineRule="auto"/>
            </w:pPr>
            <w:r>
              <w:rPr>
                <w:b/>
                <w:sz w:val="19"/>
              </w:rPr>
              <w:t>0,539</w:t>
            </w:r>
          </w:p>
        </w:tc>
        <w:tc>
          <w:tcPr>
            <w:tcW w:type="dxa" w:w="1451"/>
          </w:tcPr>
          <w:p>
            <w:pPr>
              <w:spacing w:after="0" w:line="240" w:lineRule="auto"/>
            </w:pPr>
            <w:r>
              <w:rPr>
                <w:b/>
                <w:sz w:val="19"/>
              </w:rPr>
              <w:t>0,501</w:t>
            </w:r>
          </w:p>
        </w:tc>
        <w:tc>
          <w:tcPr>
            <w:tcW w:type="dxa" w:w="1451"/>
          </w:tcPr>
          <w:p>
            <w:pPr>
              <w:spacing w:after="0" w:line="240" w:lineRule="auto"/>
            </w:pPr>
            <w:r>
              <w:rPr>
                <w:b/>
                <w:sz w:val="19"/>
              </w:rPr>
              <w:t>0,606</w:t>
            </w:r>
          </w:p>
        </w:tc>
        <w:tc>
          <w:tcPr>
            <w:tcW w:type="dxa" w:w="1905"/>
          </w:tcPr>
          <w:p>
            <w:pPr>
              <w:spacing w:after="0" w:line="240" w:lineRule="auto"/>
            </w:pPr>
            <w:r>
              <w:rPr>
                <w:b/>
                <w:sz w:val="19"/>
              </w:rPr>
              <w:t>0,515</w:t>
            </w:r>
          </w:p>
        </w:tc>
      </w:tr>
      <w:tr>
        <w:tc>
          <w:tcPr>
            <w:tcW w:type="dxa" w:w="2449"/>
          </w:tcPr>
          <w:p>
            <w:pPr>
              <w:spacing w:after="0" w:line="240" w:lineRule="auto"/>
            </w:pPr>
            <w:r>
              <w:rPr>
                <w:sz w:val="19"/>
              </w:rPr>
              <w:t>Extra Trees</w:t>
            </w:r>
          </w:p>
        </w:tc>
        <w:tc>
          <w:tcPr>
            <w:tcW w:type="dxa" w:w="1814"/>
          </w:tcPr>
          <w:p>
            <w:pPr>
              <w:spacing w:after="0" w:line="240" w:lineRule="auto"/>
            </w:pPr>
            <w:r>
              <w:rPr>
                <w:sz w:val="19"/>
              </w:rPr>
              <w:t>0,532</w:t>
            </w:r>
          </w:p>
        </w:tc>
        <w:tc>
          <w:tcPr>
            <w:tcW w:type="dxa" w:w="1451"/>
          </w:tcPr>
          <w:p>
            <w:pPr>
              <w:spacing w:after="0" w:line="240" w:lineRule="auto"/>
            </w:pPr>
            <w:r>
              <w:rPr>
                <w:sz w:val="19"/>
              </w:rPr>
              <w:t>–</w:t>
            </w:r>
          </w:p>
        </w:tc>
        <w:tc>
          <w:tcPr>
            <w:tcW w:type="dxa" w:w="1451"/>
          </w:tcPr>
          <w:p>
            <w:pPr>
              <w:spacing w:after="0" w:line="240" w:lineRule="auto"/>
            </w:pPr>
            <w:r>
              <w:rPr>
                <w:sz w:val="19"/>
              </w:rPr>
              <w:t>–</w:t>
            </w:r>
          </w:p>
        </w:tc>
        <w:tc>
          <w:tcPr>
            <w:tcW w:type="dxa" w:w="1905"/>
          </w:tcPr>
          <w:p>
            <w:pPr>
              <w:spacing w:after="0" w:line="240" w:lineRule="auto"/>
            </w:pPr>
            <w:r>
              <w:rPr>
                <w:sz w:val="19"/>
              </w:rPr>
              <w:t>–</w:t>
            </w:r>
          </w:p>
        </w:tc>
      </w:tr>
      <w:tr>
        <w:tc>
          <w:tcPr>
            <w:tcW w:type="dxa" w:w="2449"/>
          </w:tcPr>
          <w:p>
            <w:pPr>
              <w:spacing w:after="0" w:line="240" w:lineRule="auto"/>
            </w:pPr>
            <w:r>
              <w:rPr>
                <w:sz w:val="19"/>
              </w:rPr>
              <w:t>Random Forest</w:t>
            </w:r>
          </w:p>
        </w:tc>
        <w:tc>
          <w:tcPr>
            <w:tcW w:type="dxa" w:w="1814"/>
          </w:tcPr>
          <w:p>
            <w:pPr>
              <w:spacing w:after="0" w:line="240" w:lineRule="auto"/>
            </w:pPr>
            <w:r>
              <w:rPr>
                <w:sz w:val="19"/>
              </w:rPr>
              <w:t>0,530</w:t>
            </w:r>
          </w:p>
        </w:tc>
        <w:tc>
          <w:tcPr>
            <w:tcW w:type="dxa" w:w="1451"/>
          </w:tcPr>
          <w:p>
            <w:pPr>
              <w:spacing w:after="0" w:line="240" w:lineRule="auto"/>
            </w:pPr>
            <w:r>
              <w:rPr>
                <w:sz w:val="19"/>
              </w:rPr>
              <w:t>–</w:t>
            </w:r>
          </w:p>
        </w:tc>
        <w:tc>
          <w:tcPr>
            <w:tcW w:type="dxa" w:w="1451"/>
          </w:tcPr>
          <w:p>
            <w:pPr>
              <w:spacing w:after="0" w:line="240" w:lineRule="auto"/>
            </w:pPr>
            <w:r>
              <w:rPr>
                <w:sz w:val="19"/>
              </w:rPr>
              <w:t>–</w:t>
            </w:r>
          </w:p>
        </w:tc>
        <w:tc>
          <w:tcPr>
            <w:tcW w:type="dxa" w:w="1905"/>
          </w:tcPr>
          <w:p>
            <w:pPr>
              <w:spacing w:after="0" w:line="240" w:lineRule="auto"/>
            </w:pPr>
            <w:r>
              <w:rPr>
                <w:sz w:val="19"/>
              </w:rPr>
              <w:t>–</w:t>
            </w:r>
          </w:p>
        </w:tc>
      </w:tr>
      <w:tr>
        <w:tc>
          <w:tcPr>
            <w:tcW w:type="dxa" w:w="2449"/>
          </w:tcPr>
          <w:p>
            <w:pPr>
              <w:spacing w:after="0" w:line="240" w:lineRule="auto"/>
            </w:pPr>
            <w:r>
              <w:rPr>
                <w:sz w:val="19"/>
              </w:rPr>
              <w:t>Regressão Logística</w:t>
            </w:r>
          </w:p>
        </w:tc>
        <w:tc>
          <w:tcPr>
            <w:tcW w:type="dxa" w:w="1814"/>
          </w:tcPr>
          <w:p>
            <w:pPr>
              <w:spacing w:after="0" w:line="240" w:lineRule="auto"/>
            </w:pPr>
            <w:r>
              <w:rPr>
                <w:sz w:val="19"/>
              </w:rPr>
              <w:t>0,524</w:t>
            </w:r>
          </w:p>
        </w:tc>
        <w:tc>
          <w:tcPr>
            <w:tcW w:type="dxa" w:w="1451"/>
          </w:tcPr>
          <w:p>
            <w:pPr>
              <w:spacing w:after="0" w:line="240" w:lineRule="auto"/>
            </w:pPr>
            <w:r>
              <w:rPr>
                <w:sz w:val="19"/>
              </w:rPr>
              <w:t>–</w:t>
            </w:r>
          </w:p>
        </w:tc>
        <w:tc>
          <w:tcPr>
            <w:tcW w:type="dxa" w:w="1451"/>
          </w:tcPr>
          <w:p>
            <w:pPr>
              <w:spacing w:after="0" w:line="240" w:lineRule="auto"/>
            </w:pPr>
            <w:r>
              <w:rPr>
                <w:sz w:val="19"/>
              </w:rPr>
              <w:t>–</w:t>
            </w:r>
          </w:p>
        </w:tc>
        <w:tc>
          <w:tcPr>
            <w:tcW w:type="dxa" w:w="1905"/>
          </w:tcPr>
          <w:p>
            <w:pPr>
              <w:spacing w:after="0" w:line="240" w:lineRule="auto"/>
            </w:pPr>
            <w:r>
              <w:rPr>
                <w:sz w:val="19"/>
              </w:rPr>
              <w:t>–</w:t>
            </w:r>
          </w:p>
        </w:tc>
      </w:tr>
      <w:tr>
        <w:tc>
          <w:tcPr>
            <w:tcW w:type="dxa" w:w="2449"/>
          </w:tcPr>
          <w:p>
            <w:pPr>
              <w:spacing w:after="0" w:line="240" w:lineRule="auto"/>
            </w:pPr>
            <w:r>
              <w:rPr>
                <w:sz w:val="19"/>
              </w:rPr>
              <w:t>Persistência</w:t>
            </w:r>
          </w:p>
        </w:tc>
        <w:tc>
          <w:tcPr>
            <w:tcW w:type="dxa" w:w="1814"/>
          </w:tcPr>
          <w:p>
            <w:pPr>
              <w:spacing w:after="0" w:line="240" w:lineRule="auto"/>
            </w:pPr>
            <w:r>
              <w:rPr>
                <w:sz w:val="19"/>
              </w:rPr>
              <w:t>0,523</w:t>
            </w:r>
          </w:p>
        </w:tc>
        <w:tc>
          <w:tcPr>
            <w:tcW w:type="dxa" w:w="1451"/>
          </w:tcPr>
          <w:p>
            <w:pPr>
              <w:spacing w:after="0" w:line="240" w:lineRule="auto"/>
            </w:pPr>
            <w:r>
              <w:rPr>
                <w:sz w:val="19"/>
              </w:rPr>
              <w:t>0,489</w:t>
            </w:r>
          </w:p>
        </w:tc>
        <w:tc>
          <w:tcPr>
            <w:tcW w:type="dxa" w:w="1451"/>
          </w:tcPr>
          <w:p>
            <w:pPr>
              <w:spacing w:after="0" w:line="240" w:lineRule="auto"/>
            </w:pPr>
            <w:r>
              <w:rPr>
                <w:sz w:val="19"/>
              </w:rPr>
              <w:t>0,596</w:t>
            </w:r>
          </w:p>
        </w:tc>
        <w:tc>
          <w:tcPr>
            <w:tcW w:type="dxa" w:w="1905"/>
          </w:tcPr>
          <w:p>
            <w:pPr>
              <w:spacing w:after="0" w:line="240" w:lineRule="auto"/>
            </w:pPr>
            <w:r>
              <w:rPr>
                <w:sz w:val="19"/>
              </w:rPr>
              <w:t>0,490</w:t>
            </w:r>
          </w:p>
        </w:tc>
      </w:tr>
      <w:tr>
        <w:tc>
          <w:tcPr>
            <w:tcW w:type="dxa" w:w="2449"/>
          </w:tcPr>
          <w:p>
            <w:pPr>
              <w:spacing w:after="0" w:line="240" w:lineRule="auto"/>
            </w:pPr>
            <w:r>
              <w:rPr>
                <w:sz w:val="19"/>
              </w:rPr>
              <w:t>SVC</w:t>
            </w:r>
          </w:p>
        </w:tc>
        <w:tc>
          <w:tcPr>
            <w:tcW w:type="dxa" w:w="1814"/>
          </w:tcPr>
          <w:p>
            <w:pPr>
              <w:spacing w:after="0" w:line="240" w:lineRule="auto"/>
            </w:pPr>
            <w:r>
              <w:rPr>
                <w:sz w:val="19"/>
              </w:rPr>
              <w:t>0,522</w:t>
            </w:r>
          </w:p>
        </w:tc>
        <w:tc>
          <w:tcPr>
            <w:tcW w:type="dxa" w:w="1451"/>
          </w:tcPr>
          <w:p>
            <w:pPr>
              <w:spacing w:after="0" w:line="240" w:lineRule="auto"/>
            </w:pPr>
            <w:r>
              <w:rPr>
                <w:sz w:val="19"/>
              </w:rPr>
              <w:t>–</w:t>
            </w:r>
          </w:p>
        </w:tc>
        <w:tc>
          <w:tcPr>
            <w:tcW w:type="dxa" w:w="1451"/>
          </w:tcPr>
          <w:p>
            <w:pPr>
              <w:spacing w:after="0" w:line="240" w:lineRule="auto"/>
            </w:pPr>
            <w:r>
              <w:rPr>
                <w:sz w:val="19"/>
              </w:rPr>
              <w:t>–</w:t>
            </w:r>
          </w:p>
        </w:tc>
        <w:tc>
          <w:tcPr>
            <w:tcW w:type="dxa" w:w="1905"/>
          </w:tcPr>
          <w:p>
            <w:pPr>
              <w:spacing w:after="0" w:line="240" w:lineRule="auto"/>
            </w:pPr>
            <w:r>
              <w:rPr>
                <w:sz w:val="19"/>
              </w:rPr>
              <w:t>–</w:t>
            </w:r>
          </w:p>
        </w:tc>
      </w:tr>
      <w:tr>
        <w:tc>
          <w:tcPr>
            <w:tcW w:type="dxa" w:w="2449"/>
          </w:tcPr>
          <w:p>
            <w:pPr>
              <w:spacing w:after="0" w:line="240" w:lineRule="auto"/>
            </w:pPr>
            <w:r>
              <w:rPr>
                <w:sz w:val="19"/>
              </w:rPr>
              <w:t>KNN</w:t>
            </w:r>
          </w:p>
        </w:tc>
        <w:tc>
          <w:tcPr>
            <w:tcW w:type="dxa" w:w="1814"/>
          </w:tcPr>
          <w:p>
            <w:pPr>
              <w:spacing w:after="0" w:line="240" w:lineRule="auto"/>
            </w:pPr>
            <w:r>
              <w:rPr>
                <w:sz w:val="19"/>
              </w:rPr>
              <w:t>0,510</w:t>
            </w:r>
          </w:p>
        </w:tc>
        <w:tc>
          <w:tcPr>
            <w:tcW w:type="dxa" w:w="1451"/>
          </w:tcPr>
          <w:p>
            <w:pPr>
              <w:spacing w:after="0" w:line="240" w:lineRule="auto"/>
            </w:pPr>
            <w:r>
              <w:rPr>
                <w:sz w:val="19"/>
              </w:rPr>
              <w:t>–</w:t>
            </w:r>
          </w:p>
        </w:tc>
        <w:tc>
          <w:tcPr>
            <w:tcW w:type="dxa" w:w="1451"/>
          </w:tcPr>
          <w:p>
            <w:pPr>
              <w:spacing w:after="0" w:line="240" w:lineRule="auto"/>
            </w:pPr>
            <w:r>
              <w:rPr>
                <w:sz w:val="19"/>
              </w:rPr>
              <w:t>–</w:t>
            </w:r>
          </w:p>
        </w:tc>
        <w:tc>
          <w:tcPr>
            <w:tcW w:type="dxa" w:w="1905"/>
          </w:tcPr>
          <w:p>
            <w:pPr>
              <w:spacing w:after="0" w:line="240" w:lineRule="auto"/>
            </w:pPr>
            <w:r>
              <w:rPr>
                <w:sz w:val="19"/>
              </w:rPr>
              <w:t>–</w:t>
            </w:r>
          </w:p>
        </w:tc>
      </w:tr>
      <w:tr>
        <w:tc>
          <w:tcPr>
            <w:tcW w:type="dxa" w:w="2449"/>
          </w:tcPr>
          <w:p>
            <w:pPr>
              <w:spacing w:after="0" w:line="240" w:lineRule="auto"/>
            </w:pPr>
            <w:r>
              <w:rPr>
                <w:sz w:val="19"/>
              </w:rPr>
              <w:t>GradientBoosting</w:t>
            </w:r>
          </w:p>
        </w:tc>
        <w:tc>
          <w:tcPr>
            <w:tcW w:type="dxa" w:w="1814"/>
          </w:tcPr>
          <w:p>
            <w:pPr>
              <w:spacing w:after="0" w:line="240" w:lineRule="auto"/>
            </w:pPr>
            <w:r>
              <w:rPr>
                <w:sz w:val="19"/>
              </w:rPr>
              <w:t>0,510</w:t>
            </w:r>
          </w:p>
        </w:tc>
        <w:tc>
          <w:tcPr>
            <w:tcW w:type="dxa" w:w="1451"/>
          </w:tcPr>
          <w:p>
            <w:pPr>
              <w:spacing w:after="0" w:line="240" w:lineRule="auto"/>
            </w:pPr>
            <w:r>
              <w:rPr>
                <w:sz w:val="19"/>
              </w:rPr>
              <w:t>–</w:t>
            </w:r>
          </w:p>
        </w:tc>
        <w:tc>
          <w:tcPr>
            <w:tcW w:type="dxa" w:w="1451"/>
          </w:tcPr>
          <w:p>
            <w:pPr>
              <w:spacing w:after="0" w:line="240" w:lineRule="auto"/>
            </w:pPr>
            <w:r>
              <w:rPr>
                <w:sz w:val="19"/>
              </w:rPr>
              <w:t>–</w:t>
            </w:r>
          </w:p>
        </w:tc>
        <w:tc>
          <w:tcPr>
            <w:tcW w:type="dxa" w:w="1905"/>
          </w:tcPr>
          <w:p>
            <w:pPr>
              <w:spacing w:after="0" w:line="240" w:lineRule="auto"/>
            </w:pPr>
            <w:r>
              <w:rPr>
                <w:sz w:val="19"/>
              </w:rPr>
              <w:t>–</w:t>
            </w:r>
          </w:p>
        </w:tc>
      </w:tr>
      <w:tr>
        <w:tc>
          <w:tcPr>
            <w:tcW w:type="dxa" w:w="2449"/>
          </w:tcPr>
          <w:p>
            <w:pPr>
              <w:spacing w:after="0" w:line="240" w:lineRule="auto"/>
            </w:pPr>
            <w:r>
              <w:rPr>
                <w:sz w:val="19"/>
              </w:rPr>
              <w:t>HistGradientBoosting</w:t>
            </w:r>
          </w:p>
        </w:tc>
        <w:tc>
          <w:tcPr>
            <w:tcW w:type="dxa" w:w="1814"/>
          </w:tcPr>
          <w:p>
            <w:pPr>
              <w:spacing w:after="0" w:line="240" w:lineRule="auto"/>
            </w:pPr>
            <w:r>
              <w:rPr>
                <w:sz w:val="19"/>
              </w:rPr>
              <w:t>0,498</w:t>
            </w:r>
          </w:p>
        </w:tc>
        <w:tc>
          <w:tcPr>
            <w:tcW w:type="dxa" w:w="1451"/>
          </w:tcPr>
          <w:p>
            <w:pPr>
              <w:spacing w:after="0" w:line="240" w:lineRule="auto"/>
            </w:pPr>
            <w:r>
              <w:rPr>
                <w:sz w:val="19"/>
              </w:rPr>
              <w:t>–</w:t>
            </w:r>
          </w:p>
        </w:tc>
        <w:tc>
          <w:tcPr>
            <w:tcW w:type="dxa" w:w="1451"/>
          </w:tcPr>
          <w:p>
            <w:pPr>
              <w:spacing w:after="0" w:line="240" w:lineRule="auto"/>
            </w:pPr>
            <w:r>
              <w:rPr>
                <w:sz w:val="19"/>
              </w:rPr>
              <w:t>–</w:t>
            </w:r>
          </w:p>
        </w:tc>
        <w:tc>
          <w:tcPr>
            <w:tcW w:type="dxa" w:w="1905"/>
          </w:tcPr>
          <w:p>
            <w:pPr>
              <w:spacing w:after="0" w:line="240" w:lineRule="auto"/>
            </w:pPr>
            <w:r>
              <w:rPr>
                <w:sz w:val="19"/>
              </w:rPr>
              <w:t>–</w:t>
            </w:r>
          </w:p>
        </w:tc>
      </w:tr>
      <w:tr>
        <w:tc>
          <w:tcPr>
            <w:tcW w:type="dxa" w:w="2449"/>
          </w:tcPr>
          <w:p>
            <w:pPr>
              <w:spacing w:after="0" w:line="240" w:lineRule="auto"/>
            </w:pPr>
            <w:r>
              <w:rPr>
                <w:sz w:val="19"/>
              </w:rPr>
              <w:t>Naive Bayes</w:t>
            </w:r>
          </w:p>
        </w:tc>
        <w:tc>
          <w:tcPr>
            <w:tcW w:type="dxa" w:w="1814"/>
          </w:tcPr>
          <w:p>
            <w:pPr>
              <w:spacing w:after="0" w:line="240" w:lineRule="auto"/>
            </w:pPr>
            <w:r>
              <w:rPr>
                <w:sz w:val="19"/>
              </w:rPr>
              <w:t>0,448</w:t>
            </w:r>
          </w:p>
        </w:tc>
        <w:tc>
          <w:tcPr>
            <w:tcW w:type="dxa" w:w="1451"/>
          </w:tcPr>
          <w:p>
            <w:pPr>
              <w:spacing w:after="0" w:line="240" w:lineRule="auto"/>
            </w:pPr>
            <w:r>
              <w:rPr>
                <w:sz w:val="19"/>
              </w:rPr>
              <w:t>–</w:t>
            </w:r>
          </w:p>
        </w:tc>
        <w:tc>
          <w:tcPr>
            <w:tcW w:type="dxa" w:w="1451"/>
          </w:tcPr>
          <w:p>
            <w:pPr>
              <w:spacing w:after="0" w:line="240" w:lineRule="auto"/>
            </w:pPr>
            <w:r>
              <w:rPr>
                <w:sz w:val="19"/>
              </w:rPr>
              <w:t>–</w:t>
            </w:r>
          </w:p>
        </w:tc>
        <w:tc>
          <w:tcPr>
            <w:tcW w:type="dxa" w:w="1905"/>
          </w:tcPr>
          <w:p>
            <w:pPr>
              <w:spacing w:after="0" w:line="240" w:lineRule="auto"/>
            </w:pPr>
            <w:r>
              <w:rPr>
                <w:sz w:val="19"/>
              </w:rPr>
              <w:t>–</w:t>
            </w:r>
          </w:p>
        </w:tc>
      </w:tr>
      <w:tr>
        <w:tc>
          <w:tcPr>
            <w:tcW w:type="dxa" w:w="2449"/>
          </w:tcPr>
          <w:p>
            <w:pPr>
              <w:spacing w:after="0" w:line="240" w:lineRule="auto"/>
            </w:pPr>
            <w:r>
              <w:rPr>
                <w:sz w:val="19"/>
              </w:rPr>
              <w:t>Classe majoritária</w:t>
            </w:r>
          </w:p>
        </w:tc>
        <w:tc>
          <w:tcPr>
            <w:tcW w:type="dxa" w:w="1814"/>
          </w:tcPr>
          <w:p>
            <w:pPr>
              <w:spacing w:after="0" w:line="240" w:lineRule="auto"/>
            </w:pPr>
            <w:r>
              <w:rPr>
                <w:sz w:val="19"/>
              </w:rPr>
              <w:t>0,164</w:t>
            </w:r>
          </w:p>
        </w:tc>
        <w:tc>
          <w:tcPr>
            <w:tcW w:type="dxa" w:w="1451"/>
          </w:tcPr>
          <w:p>
            <w:pPr>
              <w:spacing w:after="0" w:line="240" w:lineRule="auto"/>
            </w:pPr>
            <w:r>
              <w:rPr>
                <w:sz w:val="19"/>
              </w:rPr>
              <w:t>0,172</w:t>
            </w:r>
          </w:p>
        </w:tc>
        <w:tc>
          <w:tcPr>
            <w:tcW w:type="dxa" w:w="1451"/>
          </w:tcPr>
          <w:p>
            <w:pPr>
              <w:spacing w:after="0" w:line="240" w:lineRule="auto"/>
            </w:pPr>
            <w:r>
              <w:rPr>
                <w:sz w:val="19"/>
              </w:rPr>
              <w:t>0,524</w:t>
            </w:r>
          </w:p>
        </w:tc>
        <w:tc>
          <w:tcPr>
            <w:tcW w:type="dxa" w:w="1905"/>
          </w:tcPr>
          <w:p>
            <w:pPr>
              <w:spacing w:after="0" w:line="240" w:lineRule="auto"/>
            </w:pPr>
            <w:r>
              <w:rPr>
                <w:sz w:val="19"/>
              </w:rPr>
              <w:t>0,250</w:t>
            </w:r>
          </w:p>
        </w:tc>
      </w:tr>
    </w:tbl>
    <w:p>
      <w:pPr>
        <w:spacing w:after="40"/>
      </w:pPr>
    </w:p>
    <w:p>
      <w:pPr>
        <w:jc w:val="both"/>
      </w:pPr>
      <w:r>
        <w:t>Somente o modelo final e os baselines foram avaliados no teste. Na validação, apenas três modelos superam a persistência em F1‑macro, e por margens pequenas. O Naive Bayes é o pior, pois sua hipótese de independência entre features é claramente falsa aqui. A classe majoritária confirma o problema da acurácia: acerta metade dos dias, com F1‑macro de apenas 0,16. No teste, o ensemble supera a persistência (0,501 contra 0,489), mas o intervalo de confiança da diferença, [−0,022; 0,045], contém zero: o ganho não é estatisticamente comprovado.</w:t>
      </w:r>
    </w:p>
    <w:tbl>
      <w:tblPr>
        <w:tblStyle w:val="TableGrid"/>
        <w:tblW w:type="auto" w:w="0"/>
        <w:jc w:val="center"/>
        <w:tblLayout w:type="fixed"/>
        <w:tblLook w:firstColumn="1" w:firstRow="1" w:lastColumn="0" w:lastRow="0" w:noHBand="0" w:noVBand="1" w:val="04A0"/>
      </w:tblPr>
      <w:tblGrid>
        <w:gridCol w:w="2782"/>
        <w:gridCol w:w="2146"/>
        <w:gridCol w:w="1610"/>
        <w:gridCol w:w="1341"/>
        <w:gridCol w:w="1192"/>
      </w:tblGrid>
      <w:tr>
        <w:trPr>
          <w:tblHeader w:val="true"/>
        </w:trPr>
        <w:tc>
          <w:tcPr>
            <w:tcW w:type="dxa" w:w="2782"/>
            <w:shd w:val="clear" w:color="auto" w:fill="DCE6F2"/>
          </w:tcPr>
          <w:p>
            <w:pPr>
              <w:spacing w:after="0" w:line="240" w:lineRule="auto"/>
            </w:pPr>
            <w:r>
              <w:rPr>
                <w:b/>
                <w:sz w:val="19"/>
              </w:rPr>
              <w:t>Classe (teste)</w:t>
            </w:r>
          </w:p>
        </w:tc>
        <w:tc>
          <w:tcPr>
            <w:tcW w:type="dxa" w:w="2146"/>
            <w:shd w:val="clear" w:color="auto" w:fill="DCE6F2"/>
          </w:tcPr>
          <w:p>
            <w:pPr>
              <w:spacing w:after="0" w:line="240" w:lineRule="auto"/>
            </w:pPr>
            <w:r>
              <w:rPr>
                <w:b/>
                <w:sz w:val="19"/>
              </w:rPr>
              <w:t>Precisão</w:t>
            </w:r>
          </w:p>
        </w:tc>
        <w:tc>
          <w:tcPr>
            <w:tcW w:type="dxa" w:w="1610"/>
            <w:shd w:val="clear" w:color="auto" w:fill="DCE6F2"/>
          </w:tcPr>
          <w:p>
            <w:pPr>
              <w:spacing w:after="0" w:line="240" w:lineRule="auto"/>
            </w:pPr>
            <w:r>
              <w:rPr>
                <w:b/>
                <w:sz w:val="19"/>
              </w:rPr>
              <w:t>Recall</w:t>
            </w:r>
          </w:p>
        </w:tc>
        <w:tc>
          <w:tcPr>
            <w:tcW w:type="dxa" w:w="1341"/>
            <w:shd w:val="clear" w:color="auto" w:fill="DCE6F2"/>
          </w:tcPr>
          <w:p>
            <w:pPr>
              <w:spacing w:after="0" w:line="240" w:lineRule="auto"/>
            </w:pPr>
            <w:r>
              <w:rPr>
                <w:b/>
                <w:sz w:val="19"/>
              </w:rPr>
              <w:t>F1</w:t>
            </w:r>
          </w:p>
        </w:tc>
        <w:tc>
          <w:tcPr>
            <w:tcW w:type="dxa" w:w="1192"/>
            <w:shd w:val="clear" w:color="auto" w:fill="DCE6F2"/>
          </w:tcPr>
          <w:p>
            <w:pPr>
              <w:spacing w:after="0" w:line="240" w:lineRule="auto"/>
            </w:pPr>
            <w:r>
              <w:rPr>
                <w:b/>
                <w:sz w:val="19"/>
              </w:rPr>
              <w:t>Dias</w:t>
            </w:r>
          </w:p>
        </w:tc>
      </w:tr>
      <w:tr>
        <w:tc>
          <w:tcPr>
            <w:tcW w:type="dxa" w:w="2782"/>
          </w:tcPr>
          <w:p>
            <w:pPr>
              <w:spacing w:after="0" w:line="240" w:lineRule="auto"/>
            </w:pPr>
            <w:r>
              <w:rPr>
                <w:sz w:val="19"/>
              </w:rPr>
              <w:t>Rain</w:t>
            </w:r>
          </w:p>
        </w:tc>
        <w:tc>
          <w:tcPr>
            <w:tcW w:type="dxa" w:w="2146"/>
          </w:tcPr>
          <w:p>
            <w:pPr>
              <w:spacing w:after="0" w:line="240" w:lineRule="auto"/>
            </w:pPr>
            <w:r>
              <w:rPr>
                <w:sz w:val="19"/>
              </w:rPr>
              <w:t>0,833</w:t>
            </w:r>
          </w:p>
        </w:tc>
        <w:tc>
          <w:tcPr>
            <w:tcW w:type="dxa" w:w="1610"/>
          </w:tcPr>
          <w:p>
            <w:pPr>
              <w:spacing w:after="0" w:line="240" w:lineRule="auto"/>
            </w:pPr>
            <w:r>
              <w:rPr>
                <w:sz w:val="19"/>
              </w:rPr>
              <w:t>0,783</w:t>
            </w:r>
          </w:p>
        </w:tc>
        <w:tc>
          <w:tcPr>
            <w:tcW w:type="dxa" w:w="1341"/>
          </w:tcPr>
          <w:p>
            <w:pPr>
              <w:spacing w:after="0" w:line="240" w:lineRule="auto"/>
            </w:pPr>
            <w:r>
              <w:rPr>
                <w:sz w:val="19"/>
              </w:rPr>
              <w:t>0,808</w:t>
            </w:r>
          </w:p>
        </w:tc>
        <w:tc>
          <w:tcPr>
            <w:tcW w:type="dxa" w:w="1192"/>
          </w:tcPr>
          <w:p>
            <w:pPr>
              <w:spacing w:after="0" w:line="240" w:lineRule="auto"/>
            </w:pPr>
            <w:r>
              <w:rPr>
                <w:sz w:val="19"/>
              </w:rPr>
              <w:t>383</w:t>
            </w:r>
          </w:p>
        </w:tc>
      </w:tr>
      <w:tr>
        <w:tc>
          <w:tcPr>
            <w:tcW w:type="dxa" w:w="2782"/>
          </w:tcPr>
          <w:p>
            <w:pPr>
              <w:spacing w:after="0" w:line="240" w:lineRule="auto"/>
            </w:pPr>
            <w:r>
              <w:rPr>
                <w:sz w:val="19"/>
              </w:rPr>
              <w:t>Clear</w:t>
            </w:r>
          </w:p>
        </w:tc>
        <w:tc>
          <w:tcPr>
            <w:tcW w:type="dxa" w:w="2146"/>
          </w:tcPr>
          <w:p>
            <w:pPr>
              <w:spacing w:after="0" w:line="240" w:lineRule="auto"/>
            </w:pPr>
            <w:r>
              <w:rPr>
                <w:sz w:val="19"/>
              </w:rPr>
              <w:t>0,460</w:t>
            </w:r>
          </w:p>
        </w:tc>
        <w:tc>
          <w:tcPr>
            <w:tcW w:type="dxa" w:w="1610"/>
          </w:tcPr>
          <w:p>
            <w:pPr>
              <w:spacing w:after="0" w:line="240" w:lineRule="auto"/>
            </w:pPr>
            <w:r>
              <w:rPr>
                <w:sz w:val="19"/>
              </w:rPr>
              <w:t>0,634</w:t>
            </w:r>
          </w:p>
        </w:tc>
        <w:tc>
          <w:tcPr>
            <w:tcW w:type="dxa" w:w="1341"/>
          </w:tcPr>
          <w:p>
            <w:pPr>
              <w:spacing w:after="0" w:line="240" w:lineRule="auto"/>
            </w:pPr>
            <w:r>
              <w:rPr>
                <w:sz w:val="19"/>
              </w:rPr>
              <w:t>0,533</w:t>
            </w:r>
          </w:p>
        </w:tc>
        <w:tc>
          <w:tcPr>
            <w:tcW w:type="dxa" w:w="1192"/>
          </w:tcPr>
          <w:p>
            <w:pPr>
              <w:spacing w:after="0" w:line="240" w:lineRule="auto"/>
            </w:pPr>
            <w:r>
              <w:rPr>
                <w:sz w:val="19"/>
              </w:rPr>
              <w:t>101</w:t>
            </w:r>
          </w:p>
        </w:tc>
      </w:tr>
      <w:tr>
        <w:tc>
          <w:tcPr>
            <w:tcW w:type="dxa" w:w="2782"/>
          </w:tcPr>
          <w:p>
            <w:pPr>
              <w:spacing w:after="0" w:line="240" w:lineRule="auto"/>
            </w:pPr>
            <w:r>
              <w:rPr>
                <w:sz w:val="19"/>
              </w:rPr>
              <w:t>Cloudy</w:t>
            </w:r>
          </w:p>
        </w:tc>
        <w:tc>
          <w:tcPr>
            <w:tcW w:type="dxa" w:w="2146"/>
          </w:tcPr>
          <w:p>
            <w:pPr>
              <w:spacing w:after="0" w:line="240" w:lineRule="auto"/>
            </w:pPr>
            <w:r>
              <w:rPr>
                <w:sz w:val="19"/>
              </w:rPr>
              <w:t>0,372</w:t>
            </w:r>
          </w:p>
        </w:tc>
        <w:tc>
          <w:tcPr>
            <w:tcW w:type="dxa" w:w="1610"/>
          </w:tcPr>
          <w:p>
            <w:pPr>
              <w:spacing w:after="0" w:line="240" w:lineRule="auto"/>
            </w:pPr>
            <w:r>
              <w:rPr>
                <w:sz w:val="19"/>
              </w:rPr>
              <w:t>0,362</w:t>
            </w:r>
          </w:p>
        </w:tc>
        <w:tc>
          <w:tcPr>
            <w:tcW w:type="dxa" w:w="1341"/>
          </w:tcPr>
          <w:p>
            <w:pPr>
              <w:spacing w:after="0" w:line="240" w:lineRule="auto"/>
            </w:pPr>
            <w:r>
              <w:rPr>
                <w:sz w:val="19"/>
              </w:rPr>
              <w:t>0,367</w:t>
            </w:r>
          </w:p>
        </w:tc>
        <w:tc>
          <w:tcPr>
            <w:tcW w:type="dxa" w:w="1192"/>
          </w:tcPr>
          <w:p>
            <w:pPr>
              <w:spacing w:after="0" w:line="240" w:lineRule="auto"/>
            </w:pPr>
            <w:r>
              <w:rPr>
                <w:sz w:val="19"/>
              </w:rPr>
              <w:t>116</w:t>
            </w:r>
          </w:p>
        </w:tc>
      </w:tr>
      <w:tr>
        <w:tc>
          <w:tcPr>
            <w:tcW w:type="dxa" w:w="2782"/>
          </w:tcPr>
          <w:p>
            <w:pPr>
              <w:spacing w:after="0" w:line="240" w:lineRule="auto"/>
            </w:pPr>
            <w:r>
              <w:rPr>
                <w:sz w:val="19"/>
              </w:rPr>
              <w:t>Partly Cloudy</w:t>
            </w:r>
          </w:p>
        </w:tc>
        <w:tc>
          <w:tcPr>
            <w:tcW w:type="dxa" w:w="2146"/>
          </w:tcPr>
          <w:p>
            <w:pPr>
              <w:spacing w:after="0" w:line="240" w:lineRule="auto"/>
            </w:pPr>
            <w:r>
              <w:rPr>
                <w:sz w:val="19"/>
              </w:rPr>
              <w:t>0,311</w:t>
            </w:r>
          </w:p>
        </w:tc>
        <w:tc>
          <w:tcPr>
            <w:tcW w:type="dxa" w:w="1610"/>
          </w:tcPr>
          <w:p>
            <w:pPr>
              <w:spacing w:after="0" w:line="240" w:lineRule="auto"/>
            </w:pPr>
            <w:r>
              <w:rPr>
                <w:sz w:val="19"/>
              </w:rPr>
              <w:t>0,282</w:t>
            </w:r>
          </w:p>
        </w:tc>
        <w:tc>
          <w:tcPr>
            <w:tcW w:type="dxa" w:w="1341"/>
          </w:tcPr>
          <w:p>
            <w:pPr>
              <w:spacing w:after="0" w:line="240" w:lineRule="auto"/>
            </w:pPr>
            <w:r>
              <w:rPr>
                <w:sz w:val="19"/>
              </w:rPr>
              <w:t>0,296</w:t>
            </w:r>
          </w:p>
        </w:tc>
        <w:tc>
          <w:tcPr>
            <w:tcW w:type="dxa" w:w="1192"/>
          </w:tcPr>
          <w:p>
            <w:pPr>
              <w:spacing w:after="0" w:line="240" w:lineRule="auto"/>
            </w:pPr>
            <w:r>
              <w:rPr>
                <w:sz w:val="19"/>
              </w:rPr>
              <w:t>131</w:t>
            </w:r>
          </w:p>
        </w:tc>
      </w:tr>
    </w:tbl>
    <w:p>
      <w:pPr>
        <w:spacing w:after="40"/>
      </w:pPr>
    </w:p>
    <w:p>
      <w:pPr>
        <w:keepNext/>
        <w:jc w:val="center"/>
      </w:pPr>
      <w:r>
        <w:drawing>
          <wp:inline xmlns:a="http://schemas.openxmlformats.org/drawingml/2006/main" xmlns:pic="http://schemas.openxmlformats.org/drawingml/2006/picture">
            <wp:extent cx="5760000" cy="2464171"/>
            <wp:docPr id="5" name="Picture 5"/>
            <wp:cNvGraphicFramePr>
              <a:graphicFrameLocks noChangeAspect="1"/>
            </wp:cNvGraphicFramePr>
            <a:graphic>
              <a:graphicData uri="http://schemas.openxmlformats.org/drawingml/2006/picture">
                <pic:pic>
                  <pic:nvPicPr>
                    <pic:cNvPr id="0" name="clf_confusion_matrices.png"/>
                    <pic:cNvPicPr/>
                  </pic:nvPicPr>
                  <pic:blipFill>
                    <a:blip r:embed="rId14"/>
                    <a:stretch>
                      <a:fillRect/>
                    </a:stretch>
                  </pic:blipFill>
                  <pic:spPr>
                    <a:xfrm>
                      <a:off x="0" y="0"/>
                      <a:ext cx="5760000" cy="2464171"/>
                    </a:xfrm>
                    <a:prstGeom prst="rect"/>
                  </pic:spPr>
                </pic:pic>
              </a:graphicData>
            </a:graphic>
          </wp:inline>
        </w:drawing>
      </w:r>
    </w:p>
    <w:p>
      <w:pPr>
        <w:jc w:val="center"/>
      </w:pPr>
      <w:r>
        <w:rPr>
          <w:i/>
          <w:color w:val="555555"/>
          <w:sz w:val="19"/>
        </w:rPr>
        <w:t>Figura 5 – Matrizes de confusão no teste, normalizadas por linha: persistência (esquerda) e modelo final (direita).</w:t>
      </w:r>
    </w:p>
    <w:p>
      <w:pPr>
        <w:jc w:val="both"/>
      </w:pPr>
      <w:r>
        <w:t>Rain é bem identificada, enquanto Clear, Partly Cloudy e Cloudy se confundem entre si (Figura 5). A fronteira entre essas classes é um limiar de cobertura de nuvens, e dias próximos ao limiar são praticamente indistinguíveis. O modelo melhora de forma clara o recall de Clear (de 0,49 na persistência para 0,63), o que é útil para quem planeja atividades ao ar livre.</w:t>
      </w:r>
    </w:p>
    <w:p>
      <w:pPr>
        <w:pStyle w:val="Heading2"/>
      </w:pPr>
      <w:r>
        <w:t>5.5 Chuva sim/não e qualidade da probabilidade</w:t>
      </w:r>
    </w:p>
    <w:tbl>
      <w:tblPr>
        <w:tblStyle w:val="TableGrid"/>
        <w:tblW w:type="auto" w:w="0"/>
        <w:jc w:val="center"/>
        <w:tblLayout w:type="fixed"/>
        <w:tblLook w:firstColumn="1" w:firstRow="1" w:lastColumn="0" w:lastRow="0" w:noHBand="0" w:noVBand="1" w:val="04A0"/>
      </w:tblPr>
      <w:tblGrid>
        <w:gridCol w:w="2373"/>
        <w:gridCol w:w="1424"/>
        <w:gridCol w:w="2110"/>
        <w:gridCol w:w="1846"/>
        <w:gridCol w:w="1318"/>
      </w:tblGrid>
      <w:tr>
        <w:trPr>
          <w:tblHeader w:val="true"/>
        </w:trPr>
        <w:tc>
          <w:tcPr>
            <w:tcW w:type="dxa" w:w="2373"/>
            <w:shd w:val="clear" w:color="auto" w:fill="DCE6F2"/>
          </w:tcPr>
          <w:p>
            <w:pPr>
              <w:spacing w:after="0" w:line="240" w:lineRule="auto"/>
            </w:pPr>
            <w:r>
              <w:rPr>
                <w:b/>
                <w:sz w:val="19"/>
              </w:rPr>
              <w:t>Modelo (teste)</w:t>
            </w:r>
          </w:p>
        </w:tc>
        <w:tc>
          <w:tcPr>
            <w:tcW w:type="dxa" w:w="1424"/>
            <w:shd w:val="clear" w:color="auto" w:fill="DCE6F2"/>
          </w:tcPr>
          <w:p>
            <w:pPr>
              <w:spacing w:after="0" w:line="240" w:lineRule="auto"/>
            </w:pPr>
            <w:r>
              <w:rPr>
                <w:b/>
                <w:sz w:val="19"/>
              </w:rPr>
              <w:t>Acurácia</w:t>
            </w:r>
          </w:p>
        </w:tc>
        <w:tc>
          <w:tcPr>
            <w:tcW w:type="dxa" w:w="2110"/>
            <w:shd w:val="clear" w:color="auto" w:fill="DCE6F2"/>
          </w:tcPr>
          <w:p>
            <w:pPr>
              <w:spacing w:after="0" w:line="240" w:lineRule="auto"/>
            </w:pPr>
            <w:r>
              <w:rPr>
                <w:b/>
                <w:sz w:val="19"/>
              </w:rPr>
              <w:t>Precisão (chuva)</w:t>
            </w:r>
          </w:p>
        </w:tc>
        <w:tc>
          <w:tcPr>
            <w:tcW w:type="dxa" w:w="1846"/>
            <w:shd w:val="clear" w:color="auto" w:fill="DCE6F2"/>
          </w:tcPr>
          <w:p>
            <w:pPr>
              <w:spacing w:after="0" w:line="240" w:lineRule="auto"/>
            </w:pPr>
            <w:r>
              <w:rPr>
                <w:b/>
                <w:sz w:val="19"/>
              </w:rPr>
              <w:t>Recall (chuva)</w:t>
            </w:r>
          </w:p>
        </w:tc>
        <w:tc>
          <w:tcPr>
            <w:tcW w:type="dxa" w:w="1318"/>
            <w:shd w:val="clear" w:color="auto" w:fill="DCE6F2"/>
          </w:tcPr>
          <w:p>
            <w:pPr>
              <w:spacing w:after="0" w:line="240" w:lineRule="auto"/>
            </w:pPr>
            <w:r>
              <w:rPr>
                <w:b/>
                <w:sz w:val="19"/>
              </w:rPr>
              <w:t>F1 (chuva)</w:t>
            </w:r>
          </w:p>
        </w:tc>
      </w:tr>
      <w:tr>
        <w:tc>
          <w:tcPr>
            <w:tcW w:type="dxa" w:w="2373"/>
          </w:tcPr>
          <w:p>
            <w:pPr>
              <w:spacing w:after="0" w:line="240" w:lineRule="auto"/>
            </w:pPr>
            <w:r>
              <w:rPr>
                <w:sz w:val="19"/>
              </w:rPr>
              <w:t>Classe majoritária</w:t>
            </w:r>
          </w:p>
        </w:tc>
        <w:tc>
          <w:tcPr>
            <w:tcW w:type="dxa" w:w="1424"/>
          </w:tcPr>
          <w:p>
            <w:pPr>
              <w:spacing w:after="0" w:line="240" w:lineRule="auto"/>
            </w:pPr>
            <w:r>
              <w:rPr>
                <w:sz w:val="19"/>
              </w:rPr>
              <w:t>0,524</w:t>
            </w:r>
          </w:p>
        </w:tc>
        <w:tc>
          <w:tcPr>
            <w:tcW w:type="dxa" w:w="2110"/>
          </w:tcPr>
          <w:p>
            <w:pPr>
              <w:spacing w:after="0" w:line="240" w:lineRule="auto"/>
            </w:pPr>
            <w:r>
              <w:rPr>
                <w:sz w:val="19"/>
              </w:rPr>
              <w:t>0,524</w:t>
            </w:r>
          </w:p>
        </w:tc>
        <w:tc>
          <w:tcPr>
            <w:tcW w:type="dxa" w:w="1846"/>
          </w:tcPr>
          <w:p>
            <w:pPr>
              <w:spacing w:after="0" w:line="240" w:lineRule="auto"/>
            </w:pPr>
            <w:r>
              <w:rPr>
                <w:sz w:val="19"/>
              </w:rPr>
              <w:t>1,000</w:t>
            </w:r>
          </w:p>
        </w:tc>
        <w:tc>
          <w:tcPr>
            <w:tcW w:type="dxa" w:w="1318"/>
          </w:tcPr>
          <w:p>
            <w:pPr>
              <w:spacing w:after="0" w:line="240" w:lineRule="auto"/>
            </w:pPr>
            <w:r>
              <w:rPr>
                <w:sz w:val="19"/>
              </w:rPr>
              <w:t>0,688</w:t>
            </w:r>
          </w:p>
        </w:tc>
      </w:tr>
      <w:tr>
        <w:tc>
          <w:tcPr>
            <w:tcW w:type="dxa" w:w="2373"/>
          </w:tcPr>
          <w:p>
            <w:pPr>
              <w:spacing w:after="0" w:line="240" w:lineRule="auto"/>
            </w:pPr>
            <w:r>
              <w:rPr>
                <w:sz w:val="19"/>
              </w:rPr>
              <w:t>Persistência</w:t>
            </w:r>
          </w:p>
        </w:tc>
        <w:tc>
          <w:tcPr>
            <w:tcW w:type="dxa" w:w="1424"/>
          </w:tcPr>
          <w:p>
            <w:pPr>
              <w:spacing w:after="0" w:line="240" w:lineRule="auto"/>
            </w:pPr>
            <w:r>
              <w:rPr>
                <w:sz w:val="19"/>
              </w:rPr>
              <w:t>0,781</w:t>
            </w:r>
          </w:p>
        </w:tc>
        <w:tc>
          <w:tcPr>
            <w:tcW w:type="dxa" w:w="2110"/>
          </w:tcPr>
          <w:p>
            <w:pPr>
              <w:spacing w:after="0" w:line="240" w:lineRule="auto"/>
            </w:pPr>
            <w:r>
              <w:rPr>
                <w:sz w:val="19"/>
              </w:rPr>
              <w:t>0,791</w:t>
            </w:r>
          </w:p>
        </w:tc>
        <w:tc>
          <w:tcPr>
            <w:tcW w:type="dxa" w:w="1846"/>
          </w:tcPr>
          <w:p>
            <w:pPr>
              <w:spacing w:after="0" w:line="240" w:lineRule="auto"/>
            </w:pPr>
            <w:r>
              <w:rPr>
                <w:sz w:val="19"/>
              </w:rPr>
              <w:t>0,791</w:t>
            </w:r>
          </w:p>
        </w:tc>
        <w:tc>
          <w:tcPr>
            <w:tcW w:type="dxa" w:w="1318"/>
          </w:tcPr>
          <w:p>
            <w:pPr>
              <w:spacing w:after="0" w:line="240" w:lineRule="auto"/>
            </w:pPr>
            <w:r>
              <w:rPr>
                <w:sz w:val="19"/>
              </w:rPr>
              <w:t>0,791</w:t>
            </w:r>
          </w:p>
        </w:tc>
      </w:tr>
      <w:tr>
        <w:tc>
          <w:tcPr>
            <w:tcW w:type="dxa" w:w="2373"/>
          </w:tcPr>
          <w:p>
            <w:pPr>
              <w:spacing w:after="0" w:line="240" w:lineRule="auto"/>
            </w:pPr>
            <w:r>
              <w:rPr>
                <w:b/>
                <w:sz w:val="19"/>
              </w:rPr>
              <w:t>Ensemble (final)</w:t>
            </w:r>
          </w:p>
        </w:tc>
        <w:tc>
          <w:tcPr>
            <w:tcW w:type="dxa" w:w="1424"/>
          </w:tcPr>
          <w:p>
            <w:pPr>
              <w:spacing w:after="0" w:line="240" w:lineRule="auto"/>
            </w:pPr>
            <w:r>
              <w:rPr>
                <w:b/>
                <w:sz w:val="19"/>
              </w:rPr>
              <w:t>0,804</w:t>
            </w:r>
          </w:p>
        </w:tc>
        <w:tc>
          <w:tcPr>
            <w:tcW w:type="dxa" w:w="2110"/>
          </w:tcPr>
          <w:p>
            <w:pPr>
              <w:spacing w:after="0" w:line="240" w:lineRule="auto"/>
            </w:pPr>
            <w:r>
              <w:rPr>
                <w:b/>
                <w:sz w:val="19"/>
              </w:rPr>
              <w:t>0,833</w:t>
            </w:r>
          </w:p>
        </w:tc>
        <w:tc>
          <w:tcPr>
            <w:tcW w:type="dxa" w:w="1846"/>
          </w:tcPr>
          <w:p>
            <w:pPr>
              <w:spacing w:after="0" w:line="240" w:lineRule="auto"/>
            </w:pPr>
            <w:r>
              <w:rPr>
                <w:b/>
                <w:sz w:val="19"/>
              </w:rPr>
              <w:t>0,783</w:t>
            </w:r>
          </w:p>
        </w:tc>
        <w:tc>
          <w:tcPr>
            <w:tcW w:type="dxa" w:w="1318"/>
          </w:tcPr>
          <w:p>
            <w:pPr>
              <w:spacing w:after="0" w:line="240" w:lineRule="auto"/>
            </w:pPr>
            <w:r>
              <w:rPr>
                <w:b/>
                <w:sz w:val="19"/>
              </w:rPr>
              <w:t>0,808</w:t>
            </w:r>
          </w:p>
        </w:tc>
      </w:tr>
    </w:tbl>
    <w:p>
      <w:pPr>
        <w:spacing w:after="40"/>
      </w:pPr>
    </w:p>
    <w:p>
      <w:pPr>
        <w:jc w:val="both"/>
      </w:pPr>
      <w:r>
        <w:t>Na pergunta binária o modelo é ligeiramente superior à persistência, mas seu maior valor está na probabilidade: ROC‑AUC de 0,884 e Brier score de 0,160, contra 0,252 da probabilidade climatológica constante, uma redução de 37 %. A persistência só responde sim ou não; o modelo permite comunicar a previsão como “80 % de chance de chuva”.</w:t>
      </w:r>
    </w:p>
    <w:p>
      <w:pPr>
        <w:pStyle w:val="Heading2"/>
      </w:pPr>
      <w:r>
        <w:t>5.6 Importância das features</w:t>
      </w:r>
    </w:p>
    <w:p>
      <w:pPr>
        <w:jc w:val="both"/>
      </w:pPr>
      <w:r>
        <w:t xml:space="preserve">A importância foi medida por </w:t>
      </w:r>
      <w:r>
        <w:rPr>
          <w:i/>
        </w:rPr>
        <w:t>permutation importance</w:t>
      </w:r>
      <w:r>
        <w:t xml:space="preserve"> na validação: cada feature é embaralhada e mede‑se quanto a métrica piora. O método é agnóstico ao modelo e é calculado fora do treino, ao contrário da importância por impureza das árvores. Na regressão, dominam os valores de hoje (temperatura média e sensação térmica mínima para a máxima; temperatura mínima para a mínima), seguidos de médias móveis de 14 dias, sazonalidade e diferenças; vento forte e queda da mínima aparecem como sinais de chegada de ar frio.</w:t>
      </w:r>
    </w:p>
    <w:p>
      <w:pPr>
        <w:keepNext/>
        <w:jc w:val="center"/>
      </w:pPr>
      <w:r>
        <w:drawing>
          <wp:inline xmlns:a="http://schemas.openxmlformats.org/drawingml/2006/main" xmlns:pic="http://schemas.openxmlformats.org/drawingml/2006/picture">
            <wp:extent cx="5760000" cy="2122999"/>
            <wp:docPr id="6" name="Picture 6"/>
            <wp:cNvGraphicFramePr>
              <a:graphicFrameLocks noChangeAspect="1"/>
            </wp:cNvGraphicFramePr>
            <a:graphic>
              <a:graphicData uri="http://schemas.openxmlformats.org/drawingml/2006/picture">
                <pic:pic>
                  <pic:nvPicPr>
                    <pic:cNvPr id="0" name="clf_feature_importance.png"/>
                    <pic:cNvPicPr/>
                  </pic:nvPicPr>
                  <pic:blipFill>
                    <a:blip r:embed="rId15"/>
                    <a:stretch>
                      <a:fillRect/>
                    </a:stretch>
                  </pic:blipFill>
                  <pic:spPr>
                    <a:xfrm>
                      <a:off x="0" y="0"/>
                      <a:ext cx="5760000" cy="2122999"/>
                    </a:xfrm>
                    <a:prstGeom prst="rect"/>
                  </pic:spPr>
                </pic:pic>
              </a:graphicData>
            </a:graphic>
          </wp:inline>
        </w:drawing>
      </w:r>
    </w:p>
    <w:p>
      <w:pPr>
        <w:jc w:val="center"/>
      </w:pPr>
      <w:r>
        <w:rPr>
          <w:i/>
          <w:color w:val="555555"/>
          <w:sz w:val="19"/>
        </w:rPr>
        <w:t>Figura 6 – Permutation importance na classificação: 15 features mais importantes e importância por grupo.</w:t>
      </w:r>
    </w:p>
    <w:p>
      <w:pPr>
        <w:jc w:val="both"/>
      </w:pPr>
      <w:r>
        <w:t>Na classificação (Figura 6), o grupo mais importante é a classe de hoje, com cerca de metade da importância total, seguido de estatísticas móveis (chuva dos últimos três dias, pressão e umidade da última semana). O modelo aprende essencialmente que “o céu de amanhã se parece com o de hoje”, com ajustes por chuva, umidade, pressão e estação, o que explica sua proximidade com a persistência. Como features muito correlacionadas dividem a importância entre si, o resumo por grupo é mais confiável do que o ranking individual.</w:t>
      </w:r>
    </w:p>
    <w:p>
      <w:pPr>
        <w:pStyle w:val="Heading1"/>
        <w:pageBreakBefore w:val="0"/>
        <w:spacing w:before="280"/>
      </w:pPr>
      <w:r>
        <w:t>6. Discussão, Limitações e Trabalhos Futuros</w:t>
      </w:r>
    </w:p>
    <w:p>
      <w:pPr>
        <w:pStyle w:val="Heading2"/>
      </w:pPr>
      <w:r>
        <w:t>6.1 Discussão</w:t>
      </w:r>
    </w:p>
    <w:p>
      <w:pPr>
        <w:jc w:val="both"/>
      </w:pPr>
      <w:r>
        <w:rPr>
          <w:b/>
        </w:rPr>
        <w:t>Por que o modelo final funcionou.</w:t>
      </w:r>
      <w:r>
        <w:t xml:space="preserve"> A persistência apenas repete o dia de hoje. Os modelos combinam o estado atual com a tendência (lags e diferenças), o regime recente (médias móveis) e a época do ano (codificação cíclica). Assim, eles aprendem, por exemplo, que um dia excepcionalmente quente em dezembro tende a voltar ao normal (regressão à média) e que vento forte acompanhado de queda da mínima indica a chegada da monção de nordeste.</w:t>
      </w:r>
    </w:p>
    <w:p>
      <w:pPr>
        <w:jc w:val="both"/>
      </w:pPr>
      <w:r>
        <w:rPr>
          <w:b/>
        </w:rPr>
        <w:t>O papel de cada etapa.</w:t>
      </w:r>
      <w:r>
        <w:t xml:space="preserve"> A comparação ampla de modelos foi a etapa de maior impacto: GradientBoosting e Extra Trees, que não estavam na seleção inicial de três modelos, venceram a validação na máxima e na classificação, e a mudança reduziu o erro de teste da máxima de 1,27 para 1,22 °C. O ensemble acrescentou um ganho consistente na validação, sobretudo quando combinou famílias diferentes (boosting com modelos lineares na máxima). O ajuste de hiperparâmetros quase não contribuiu. A conclusão é que, neste problema, a qualidade das features e a diversidade de modelos importam mais do que o refinamento de hiperparâmetros.</w:t>
      </w:r>
    </w:p>
    <w:p>
      <w:pPr>
        <w:jc w:val="both"/>
      </w:pPr>
      <w:r>
        <w:rPr>
          <w:b/>
        </w:rPr>
        <w:t>As melhorias são relevantes?</w:t>
      </w:r>
      <w:r>
        <w:t xml:space="preserve"> Para a temperatura, sim: entre 0,1 e 0,3 °C a menos de erro médio, estatisticamente significativos e concentrados no inverno, quando ondas de frio afetam saúde, energia e agricultura. Para a condição em quatro classes, não há ganho comprovado; o valor prático está na probabilidade de chuva, que é bem calibrada e muito superior à climatologia.</w:t>
      </w:r>
    </w:p>
    <w:p>
      <w:pPr>
        <w:jc w:val="both"/>
      </w:pPr>
      <w:r>
        <w:rPr>
          <w:b/>
        </w:rPr>
        <w:t>Por que a classificação é mais difícil.</w:t>
      </w:r>
      <w:r>
        <w:t xml:space="preserve"> A chuva depende de fenômenos de escala sinótica, como frentes, cavados e tufões, que não são visíveis a partir de um único ponto. Além disso, as classes intermediárias são separadas por limiares arbitrários de nuvens, o que impõe um teto ao desempenho independentemente do algoritmo; os sete melhores candidatos ficaram entre 0,51 e 0,54 de F1‑macro na validação.</w:t>
      </w:r>
    </w:p>
    <w:p>
      <w:pPr>
        <w:pStyle w:val="Heading2"/>
      </w:pPr>
      <w:r>
        <w:t>6.2 Limitações</w:t>
      </w:r>
    </w:p>
    <w:p>
      <w:pPr>
        <w:pStyle w:val="ListBullet"/>
        <w:spacing w:after="60"/>
      </w:pPr>
      <w:r>
        <w:rPr>
          <w:b/>
        </w:rPr>
        <w:t>Dados.</w:t>
      </w:r>
      <w:r>
        <w:t xml:space="preserve"> Um único ponto de grade; o ERA5 tem resolução de cerca de 25 km, suaviza extremos e superestima garoa (48 % dos dias com chuva ≥ 1 mm). As classes dependem de limiares escolhidos pelo grupo (1 mm, 30 % e 70 %), e os dados não vêm da fonte recomendada pela especificação, pois o arquivo disponível continha apenas a previsão de 15 dias.</w:t>
      </w:r>
    </w:p>
    <w:p>
      <w:pPr>
        <w:pStyle w:val="ListBullet"/>
        <w:spacing w:after="60"/>
      </w:pPr>
      <w:r>
        <w:rPr>
          <w:b/>
        </w:rPr>
        <w:t>Modelo.</w:t>
      </w:r>
      <w:r>
        <w:t xml:space="preserve"> Não há informação espacial (um tufão a 500 km é invisível) nem previsões numéricas de tempo. Eventos raros têm poucos exemplos no treino, e o modelo subestima picos e vales.</w:t>
      </w:r>
    </w:p>
    <w:p>
      <w:pPr>
        <w:pStyle w:val="ListBullet"/>
        <w:spacing w:after="60"/>
      </w:pPr>
      <w:r>
        <w:rPr>
          <w:b/>
        </w:rPr>
        <w:t>Avaliação.</w:t>
      </w:r>
      <w:r>
        <w:t xml:space="preserve"> O teste cobre dois anos; anos de El Niño ou La Niña podem alterar o desempenho. O aquecimento gradual do clima pode levar o modelo a subestimar levemente temperaturas futuras.</w:t>
      </w:r>
    </w:p>
    <w:p>
      <w:pPr>
        <w:pStyle w:val="ListBullet"/>
        <w:spacing w:after="60"/>
      </w:pPr>
      <w:r>
        <w:rPr>
          <w:b/>
        </w:rPr>
        <w:t>Situações de pior desempenho.</w:t>
      </w:r>
      <w:r>
        <w:t xml:space="preserve"> Frentes frias intensas, aproximação de tufões e meses de transição (março e outubro), quando o padrão muda rapidamente.</w:t>
      </w:r>
    </w:p>
    <w:p>
      <w:pPr>
        <w:pStyle w:val="Heading2"/>
      </w:pPr>
      <w:r>
        <w:t>6.3 Trabalhos futuros</w:t>
      </w:r>
    </w:p>
    <w:p>
      <w:pPr>
        <w:spacing w:after="60"/>
        <w:ind w:left="510" w:hanging="340"/>
      </w:pPr>
      <w:r>
        <w:t xml:space="preserve">1.  </w:t>
      </w:r>
      <w:r>
        <w:rPr>
          <w:b/>
        </w:rPr>
        <w:t>Dados adicionais:</w:t>
      </w:r>
      <w:r>
        <w:t xml:space="preserve"> estações vizinhas (Hong Kong, Zhuhai, Guangzhou), que permitiriam “ver” sistemas que se aproximam, e índices climáticos como o ENSO.</w:t>
      </w:r>
    </w:p>
    <w:p>
      <w:pPr>
        <w:spacing w:after="60"/>
        <w:ind w:left="510" w:hanging="340"/>
      </w:pPr>
      <w:r>
        <w:t xml:space="preserve">2.  </w:t>
      </w:r>
      <w:r>
        <w:rPr>
          <w:b/>
        </w:rPr>
        <w:t>Melhores features:</w:t>
      </w:r>
      <w:r>
        <w:t xml:space="preserve"> dados horários, como pressão e umidade no fim da tarde e a tendência das últimas horas.</w:t>
      </w:r>
    </w:p>
    <w:p>
      <w:pPr>
        <w:spacing w:after="60"/>
        <w:ind w:left="510" w:hanging="340"/>
      </w:pPr>
      <w:r>
        <w:t xml:space="preserve">3.  </w:t>
      </w:r>
      <w:r>
        <w:rPr>
          <w:b/>
        </w:rPr>
        <w:t>Modelos alternativos:</w:t>
      </w:r>
      <w:r>
        <w:t xml:space="preserve"> regressão por quantis para intervalos de previsão; modelos sequenciais (LSTM, Temporal Fusion Transformer); </w:t>
      </w:r>
      <w:r>
        <w:rPr>
          <w:i/>
        </w:rPr>
        <w:t>stacking</w:t>
      </w:r>
      <w:r>
        <w:t xml:space="preserve"> com meta‑modelo; calibração explícita das probabilidades de chuva.</w:t>
      </w:r>
    </w:p>
    <w:p>
      <w:pPr>
        <w:spacing w:after="60"/>
        <w:ind w:left="510" w:hanging="340"/>
      </w:pPr>
      <w:r>
        <w:t xml:space="preserve">4.  </w:t>
      </w:r>
      <w:r>
        <w:rPr>
          <w:b/>
        </w:rPr>
        <w:t>Validação:</w:t>
      </w:r>
      <w:r>
        <w:t xml:space="preserve"> esquema </w:t>
      </w:r>
      <w:r>
        <w:rPr>
          <w:i/>
        </w:rPr>
        <w:t>walk‑forward</w:t>
      </w:r>
      <w:r>
        <w:t>, com retreino mensal, para simular o uso operacional.</w:t>
      </w:r>
    </w:p>
    <w:p>
      <w:pPr>
        <w:pStyle w:val="Heading1"/>
        <w:pageBreakBefore w:val="0"/>
        <w:spacing w:before="280"/>
      </w:pPr>
      <w:r>
        <w:t>7. Gestão do Projeto e Reflexão da Equipe</w:t>
      </w:r>
    </w:p>
    <w:p>
      <w:pPr>
        <w:jc w:val="both"/>
      </w:pPr>
      <w:r>
        <w:t>Esta seção deve ser ajustada pelo grupo: a divisão de tarefas e o cronograma abaixo são uma proposta.</w:t>
      </w:r>
    </w:p>
    <w:tbl>
      <w:tblPr>
        <w:tblStyle w:val="TableGrid"/>
        <w:tblW w:type="auto" w:w="0"/>
        <w:jc w:val="center"/>
        <w:tblLayout w:type="fixed"/>
        <w:tblLook w:firstColumn="1" w:firstRow="1" w:lastColumn="0" w:lastRow="0" w:noHBand="0" w:noVBand="1" w:val="04A0"/>
      </w:tblPr>
      <w:tblGrid>
        <w:gridCol w:w="2446"/>
        <w:gridCol w:w="4586"/>
        <w:gridCol w:w="2038"/>
      </w:tblGrid>
      <w:tr>
        <w:trPr>
          <w:tblHeader w:val="true"/>
        </w:trPr>
        <w:tc>
          <w:tcPr>
            <w:tcW w:type="dxa" w:w="2446"/>
            <w:shd w:val="clear" w:color="auto" w:fill="DCE6F2"/>
          </w:tcPr>
          <w:p>
            <w:pPr>
              <w:spacing w:after="0" w:line="240" w:lineRule="auto"/>
            </w:pPr>
            <w:r>
              <w:rPr>
                <w:b/>
                <w:sz w:val="19"/>
              </w:rPr>
              <w:t>Membro</w:t>
            </w:r>
          </w:p>
        </w:tc>
        <w:tc>
          <w:tcPr>
            <w:tcW w:type="dxa" w:w="4586"/>
            <w:shd w:val="clear" w:color="auto" w:fill="DCE6F2"/>
          </w:tcPr>
          <w:p>
            <w:pPr>
              <w:spacing w:after="0" w:line="240" w:lineRule="auto"/>
            </w:pPr>
            <w:r>
              <w:rPr>
                <w:b/>
                <w:sz w:val="19"/>
              </w:rPr>
              <w:t>Responsabilidade principal</w:t>
            </w:r>
          </w:p>
        </w:tc>
        <w:tc>
          <w:tcPr>
            <w:tcW w:type="dxa" w:w="2038"/>
            <w:shd w:val="clear" w:color="auto" w:fill="DCE6F2"/>
          </w:tcPr>
          <w:p>
            <w:pPr>
              <w:spacing w:after="0" w:line="240" w:lineRule="auto"/>
            </w:pPr>
            <w:r>
              <w:rPr>
                <w:b/>
                <w:sz w:val="19"/>
              </w:rPr>
              <w:t>Apoio</w:t>
            </w:r>
          </w:p>
        </w:tc>
      </w:tr>
      <w:tr>
        <w:tc>
          <w:tcPr>
            <w:tcW w:type="dxa" w:w="2446"/>
          </w:tcPr>
          <w:p>
            <w:pPr>
              <w:spacing w:after="0" w:line="240" w:lineRule="auto"/>
            </w:pPr>
            <w:r>
              <w:rPr>
                <w:sz w:val="19"/>
              </w:rPr>
              <w:t>Thiago Honorato Ferreira</w:t>
            </w:r>
          </w:p>
        </w:tc>
        <w:tc>
          <w:tcPr>
            <w:tcW w:type="dxa" w:w="4586"/>
          </w:tcPr>
          <w:p>
            <w:pPr>
              <w:spacing w:after="0" w:line="240" w:lineRule="auto"/>
            </w:pPr>
            <w:r>
              <w:rPr>
                <w:sz w:val="19"/>
              </w:rPr>
              <w:t>coleta e auditoria dos dados, engenharia de features</w:t>
            </w:r>
          </w:p>
        </w:tc>
        <w:tc>
          <w:tcPr>
            <w:tcW w:type="dxa" w:w="2038"/>
          </w:tcPr>
          <w:p>
            <w:pPr>
              <w:spacing w:after="0" w:line="240" w:lineRule="auto"/>
            </w:pPr>
            <w:r>
              <w:rPr>
                <w:sz w:val="19"/>
              </w:rPr>
              <w:t>revisão do relatório</w:t>
            </w:r>
          </w:p>
        </w:tc>
      </w:tr>
      <w:tr>
        <w:tc>
          <w:tcPr>
            <w:tcW w:type="dxa" w:w="2446"/>
          </w:tcPr>
          <w:p>
            <w:pPr>
              <w:spacing w:after="0" w:line="240" w:lineRule="auto"/>
            </w:pPr>
            <w:r>
              <w:rPr>
                <w:sz w:val="19"/>
              </w:rPr>
              <w:t>Marcelo Oliveira</w:t>
            </w:r>
          </w:p>
        </w:tc>
        <w:tc>
          <w:tcPr>
            <w:tcW w:type="dxa" w:w="4586"/>
          </w:tcPr>
          <w:p>
            <w:pPr>
              <w:spacing w:after="0" w:line="240" w:lineRule="auto"/>
            </w:pPr>
            <w:r>
              <w:rPr>
                <w:sz w:val="19"/>
              </w:rPr>
              <w:t>Tarefa 1: regressão, grid search, ensemble e significância</w:t>
            </w:r>
          </w:p>
        </w:tc>
        <w:tc>
          <w:tcPr>
            <w:tcW w:type="dxa" w:w="2038"/>
          </w:tcPr>
          <w:p>
            <w:pPr>
              <w:spacing w:after="0" w:line="240" w:lineRule="auto"/>
            </w:pPr>
            <w:r>
              <w:rPr>
                <w:sz w:val="19"/>
              </w:rPr>
              <w:t>slides</w:t>
            </w:r>
          </w:p>
        </w:tc>
      </w:tr>
      <w:tr>
        <w:tc>
          <w:tcPr>
            <w:tcW w:type="dxa" w:w="2446"/>
          </w:tcPr>
          <w:p>
            <w:pPr>
              <w:spacing w:after="0" w:line="240" w:lineRule="auto"/>
            </w:pPr>
            <w:r>
              <w:rPr>
                <w:sz w:val="19"/>
              </w:rPr>
              <w:t>João Vitor Konrad</w:t>
            </w:r>
          </w:p>
        </w:tc>
        <w:tc>
          <w:tcPr>
            <w:tcW w:type="dxa" w:w="4586"/>
          </w:tcPr>
          <w:p>
            <w:pPr>
              <w:spacing w:after="0" w:line="240" w:lineRule="auto"/>
            </w:pPr>
            <w:r>
              <w:rPr>
                <w:sz w:val="19"/>
              </w:rPr>
              <w:t>Tarefa 2: classificação, análise de chuva e importância</w:t>
            </w:r>
          </w:p>
        </w:tc>
        <w:tc>
          <w:tcPr>
            <w:tcW w:type="dxa" w:w="2038"/>
          </w:tcPr>
          <w:p>
            <w:pPr>
              <w:spacing w:after="0" w:line="240" w:lineRule="auto"/>
            </w:pPr>
            <w:r>
              <w:rPr>
                <w:sz w:val="19"/>
              </w:rPr>
              <w:t>EDA e figuras</w:t>
            </w:r>
          </w:p>
        </w:tc>
      </w:tr>
      <w:tr>
        <w:tc>
          <w:tcPr>
            <w:tcW w:type="dxa" w:w="2446"/>
          </w:tcPr>
          <w:p>
            <w:pPr>
              <w:spacing w:after="0" w:line="240" w:lineRule="auto"/>
            </w:pPr>
            <w:r>
              <w:rPr>
                <w:sz w:val="19"/>
              </w:rPr>
              <w:t>Todos</w:t>
            </w:r>
          </w:p>
        </w:tc>
        <w:tc>
          <w:tcPr>
            <w:tcW w:type="dxa" w:w="4586"/>
          </w:tcPr>
          <w:p>
            <w:pPr>
              <w:spacing w:after="0" w:line="240" w:lineRule="auto"/>
            </w:pPr>
            <w:r>
              <w:rPr>
                <w:sz w:val="19"/>
              </w:rPr>
              <w:t>relatório, apresentação e revisão cruzada do código</w:t>
            </w:r>
          </w:p>
        </w:tc>
        <w:tc>
          <w:tcPr>
            <w:tcW w:type="dxa" w:w="2038"/>
          </w:tcPr>
          <w:p>
            <w:pPr>
              <w:spacing w:after="0" w:line="240" w:lineRule="auto"/>
            </w:pPr>
            <w:r>
              <w:rPr>
                <w:sz w:val="19"/>
              </w:rPr>
              <w:t>–</w:t>
            </w:r>
          </w:p>
        </w:tc>
      </w:tr>
    </w:tbl>
    <w:p>
      <w:pPr>
        <w:spacing w:after="40"/>
      </w:pPr>
    </w:p>
    <w:tbl>
      <w:tblPr>
        <w:tblStyle w:val="TableGrid"/>
        <w:tblW w:type="auto" w:w="0"/>
        <w:jc w:val="center"/>
        <w:tblLayout w:type="fixed"/>
        <w:tblLook w:firstColumn="1" w:firstRow="1" w:lastColumn="0" w:lastRow="0" w:noHBand="0" w:noVBand="1" w:val="04A0"/>
      </w:tblPr>
      <w:tblGrid>
        <w:gridCol w:w="3402"/>
        <w:gridCol w:w="2268"/>
        <w:gridCol w:w="3402"/>
      </w:tblGrid>
      <w:tr>
        <w:trPr>
          <w:tblHeader w:val="true"/>
        </w:trPr>
        <w:tc>
          <w:tcPr>
            <w:tcW w:type="dxa" w:w="3402"/>
            <w:shd w:val="clear" w:color="auto" w:fill="DCE6F2"/>
          </w:tcPr>
          <w:p>
            <w:pPr>
              <w:spacing w:after="0" w:line="240" w:lineRule="auto"/>
            </w:pPr>
            <w:r>
              <w:rPr>
                <w:b/>
                <w:sz w:val="19"/>
              </w:rPr>
              <w:t>Risco</w:t>
            </w:r>
          </w:p>
        </w:tc>
        <w:tc>
          <w:tcPr>
            <w:tcW w:type="dxa" w:w="2268"/>
            <w:shd w:val="clear" w:color="auto" w:fill="DCE6F2"/>
          </w:tcPr>
          <w:p>
            <w:pPr>
              <w:spacing w:after="0" w:line="240" w:lineRule="auto"/>
            </w:pPr>
            <w:r>
              <w:rPr>
                <w:b/>
                <w:sz w:val="19"/>
              </w:rPr>
              <w:t>Impacto</w:t>
            </w:r>
          </w:p>
        </w:tc>
        <w:tc>
          <w:tcPr>
            <w:tcW w:type="dxa" w:w="3402"/>
            <w:shd w:val="clear" w:color="auto" w:fill="DCE6F2"/>
          </w:tcPr>
          <w:p>
            <w:pPr>
              <w:spacing w:after="0" w:line="240" w:lineRule="auto"/>
            </w:pPr>
            <w:r>
              <w:rPr>
                <w:b/>
                <w:sz w:val="19"/>
              </w:rPr>
              <w:t>Mitigação adotada</w:t>
            </w:r>
          </w:p>
        </w:tc>
      </w:tr>
      <w:tr>
        <w:tc>
          <w:tcPr>
            <w:tcW w:type="dxa" w:w="3402"/>
          </w:tcPr>
          <w:p>
            <w:pPr>
              <w:spacing w:after="0" w:line="240" w:lineRule="auto"/>
            </w:pPr>
            <w:r>
              <w:rPr>
                <w:sz w:val="19"/>
              </w:rPr>
              <w:t>Dados da orientação insuficientes (15 dias de previsão)</w:t>
            </w:r>
          </w:p>
        </w:tc>
        <w:tc>
          <w:tcPr>
            <w:tcW w:type="dxa" w:w="2268"/>
          </w:tcPr>
          <w:p>
            <w:pPr>
              <w:spacing w:after="0" w:line="240" w:lineRule="auto"/>
            </w:pPr>
            <w:r>
              <w:rPr>
                <w:sz w:val="19"/>
              </w:rPr>
              <w:t>impossibilidade de treinar</w:t>
            </w:r>
          </w:p>
        </w:tc>
        <w:tc>
          <w:tcPr>
            <w:tcW w:type="dxa" w:w="3402"/>
          </w:tcPr>
          <w:p>
            <w:pPr>
              <w:spacing w:after="0" w:line="240" w:lineRule="auto"/>
            </w:pPr>
            <w:r>
              <w:rPr>
                <w:sz w:val="19"/>
              </w:rPr>
              <w:t>análise prévia; fonte alternativa pública convertida para o mesmo formato</w:t>
            </w:r>
          </w:p>
        </w:tc>
      </w:tr>
      <w:tr>
        <w:tc>
          <w:tcPr>
            <w:tcW w:type="dxa" w:w="3402"/>
          </w:tcPr>
          <w:p>
            <w:pPr>
              <w:spacing w:after="0" w:line="240" w:lineRule="auto"/>
            </w:pPr>
            <w:r>
              <w:rPr>
                <w:sz w:val="19"/>
              </w:rPr>
              <w:t>Vazamento de informação do futuro</w:t>
            </w:r>
          </w:p>
        </w:tc>
        <w:tc>
          <w:tcPr>
            <w:tcW w:type="dxa" w:w="2268"/>
          </w:tcPr>
          <w:p>
            <w:pPr>
              <w:spacing w:after="0" w:line="240" w:lineRule="auto"/>
            </w:pPr>
            <w:r>
              <w:rPr>
                <w:sz w:val="19"/>
              </w:rPr>
              <w:t>métricas otimistas e inválidas</w:t>
            </w:r>
          </w:p>
        </w:tc>
        <w:tc>
          <w:tcPr>
            <w:tcW w:type="dxa" w:w="3402"/>
          </w:tcPr>
          <w:p>
            <w:pPr>
              <w:spacing w:after="0" w:line="240" w:lineRule="auto"/>
            </w:pPr>
            <w:r>
              <w:rPr>
                <w:sz w:val="19"/>
              </w:rPr>
              <w:t>divisão pela data do alvo; folds temporais com intervalo de um dia; teste automático dos alvos</w:t>
            </w:r>
          </w:p>
        </w:tc>
      </w:tr>
      <w:tr>
        <w:tc>
          <w:tcPr>
            <w:tcW w:type="dxa" w:w="3402"/>
          </w:tcPr>
          <w:p>
            <w:pPr>
              <w:spacing w:after="0" w:line="240" w:lineRule="auto"/>
            </w:pPr>
            <w:r>
              <w:rPr>
                <w:sz w:val="19"/>
              </w:rPr>
              <w:t>Resultados não reprodutíveis</w:t>
            </w:r>
          </w:p>
        </w:tc>
        <w:tc>
          <w:tcPr>
            <w:tcW w:type="dxa" w:w="2268"/>
          </w:tcPr>
          <w:p>
            <w:pPr>
              <w:spacing w:after="0" w:line="240" w:lineRule="auto"/>
            </w:pPr>
            <w:r>
              <w:rPr>
                <w:sz w:val="19"/>
              </w:rPr>
              <w:t>perda de credibilidade</w:t>
            </w:r>
          </w:p>
        </w:tc>
        <w:tc>
          <w:tcPr>
            <w:tcW w:type="dxa" w:w="3402"/>
          </w:tcPr>
          <w:p>
            <w:pPr>
              <w:spacing w:after="0" w:line="240" w:lineRule="auto"/>
            </w:pPr>
            <w:r>
              <w:rPr>
                <w:sz w:val="19"/>
              </w:rPr>
              <w:t>semente fixa; dados brutos salvos; notebook executado integralmente após cada mudança</w:t>
            </w:r>
          </w:p>
        </w:tc>
      </w:tr>
      <w:tr>
        <w:tc>
          <w:tcPr>
            <w:tcW w:type="dxa" w:w="3402"/>
          </w:tcPr>
          <w:p>
            <w:pPr>
              <w:spacing w:after="0" w:line="240" w:lineRule="auto"/>
            </w:pPr>
            <w:r>
              <w:rPr>
                <w:sz w:val="19"/>
              </w:rPr>
              <w:t>Desbalanceamento de classes</w:t>
            </w:r>
          </w:p>
        </w:tc>
        <w:tc>
          <w:tcPr>
            <w:tcW w:type="dxa" w:w="2268"/>
          </w:tcPr>
          <w:p>
            <w:pPr>
              <w:spacing w:after="0" w:line="240" w:lineRule="auto"/>
            </w:pPr>
            <w:r>
              <w:rPr>
                <w:sz w:val="19"/>
              </w:rPr>
              <w:t>modelo que só prevê “Rain”</w:t>
            </w:r>
          </w:p>
        </w:tc>
        <w:tc>
          <w:tcPr>
            <w:tcW w:type="dxa" w:w="3402"/>
          </w:tcPr>
          <w:p>
            <w:pPr>
              <w:spacing w:after="0" w:line="240" w:lineRule="auto"/>
            </w:pPr>
            <w:r>
              <w:rPr>
                <w:sz w:val="19"/>
              </w:rPr>
              <w:t xml:space="preserve">F1‑macro como métrica principal; </w:t>
            </w:r>
            <w:r>
              <w:rPr>
                <w:rFonts w:ascii="Consolas" w:hAnsi="Consolas" w:eastAsia="Consolas"/>
                <w:color w:val="8B1E3F"/>
                <w:sz w:val="19"/>
              </w:rPr>
              <w:t>class_weight</w:t>
            </w:r>
          </w:p>
        </w:tc>
      </w:tr>
      <w:tr>
        <w:tc>
          <w:tcPr>
            <w:tcW w:type="dxa" w:w="3402"/>
          </w:tcPr>
          <w:p>
            <w:pPr>
              <w:spacing w:after="0" w:line="240" w:lineRule="auto"/>
            </w:pPr>
            <w:r>
              <w:rPr>
                <w:sz w:val="19"/>
              </w:rPr>
              <w:t>Uso repetido do conjunto de teste</w:t>
            </w:r>
          </w:p>
        </w:tc>
        <w:tc>
          <w:tcPr>
            <w:tcW w:type="dxa" w:w="2268"/>
          </w:tcPr>
          <w:p>
            <w:pPr>
              <w:spacing w:after="0" w:line="240" w:lineRule="auto"/>
            </w:pPr>
            <w:r>
              <w:rPr>
                <w:sz w:val="19"/>
              </w:rPr>
              <w:t>seleção enviesada</w:t>
            </w:r>
          </w:p>
        </w:tc>
        <w:tc>
          <w:tcPr>
            <w:tcW w:type="dxa" w:w="3402"/>
          </w:tcPr>
          <w:p>
            <w:pPr>
              <w:spacing w:after="0" w:line="240" w:lineRule="auto"/>
            </w:pPr>
            <w:r>
              <w:rPr>
                <w:sz w:val="19"/>
              </w:rPr>
              <w:t>teste usado uma única vez, apenas para o modelo final e os baselines</w:t>
            </w:r>
          </w:p>
        </w:tc>
      </w:tr>
      <w:tr>
        <w:tc>
          <w:tcPr>
            <w:tcW w:type="dxa" w:w="3402"/>
          </w:tcPr>
          <w:p>
            <w:pPr>
              <w:spacing w:after="0" w:line="240" w:lineRule="auto"/>
            </w:pPr>
            <w:r>
              <w:rPr>
                <w:sz w:val="19"/>
              </w:rPr>
              <w:t>Arquivos de modelo acima de 100 MB</w:t>
            </w:r>
          </w:p>
        </w:tc>
        <w:tc>
          <w:tcPr>
            <w:tcW w:type="dxa" w:w="2268"/>
          </w:tcPr>
          <w:p>
            <w:pPr>
              <w:spacing w:after="0" w:line="240" w:lineRule="auto"/>
            </w:pPr>
            <w:r>
              <w:rPr>
                <w:sz w:val="19"/>
              </w:rPr>
              <w:t>falha ao enviar ao GitHub</w:t>
            </w:r>
          </w:p>
        </w:tc>
        <w:tc>
          <w:tcPr>
            <w:tcW w:type="dxa" w:w="3402"/>
          </w:tcPr>
          <w:p>
            <w:pPr>
              <w:spacing w:after="0" w:line="240" w:lineRule="auto"/>
            </w:pPr>
            <w:r>
              <w:rPr>
                <w:sz w:val="19"/>
              </w:rPr>
              <w:t>modelos excluídos do versionamento (</w:t>
            </w:r>
            <w:r>
              <w:rPr>
                <w:rFonts w:ascii="Consolas" w:hAnsi="Consolas" w:eastAsia="Consolas"/>
                <w:color w:val="8B1E3F"/>
                <w:sz w:val="19"/>
              </w:rPr>
              <w:t>.gitignore</w:t>
            </w:r>
            <w:r>
              <w:rPr>
                <w:sz w:val="19"/>
              </w:rPr>
              <w:t>), pois o notebook os recria</w:t>
            </w:r>
          </w:p>
        </w:tc>
      </w:tr>
    </w:tbl>
    <w:p>
      <w:pPr>
        <w:spacing w:after="40"/>
      </w:pPr>
    </w:p>
    <w:p>
      <w:pPr>
        <w:jc w:val="both"/>
      </w:pPr>
      <w:r>
        <w:rPr>
          <w:b/>
        </w:rPr>
        <w:t>Controle de qualidade.</w:t>
      </w:r>
      <w:r>
        <w:t xml:space="preserve"> Asserções no código verificam o alinhamento dos alvos, a ausência de problemas de qualidade e a inexistência de features idênticas ao alvo. Toda refatoração foi validada comparando as tabelas de resultados antes e depois, que precisaram permanecer idênticas. Todos os números deste relatório provêm dos arquivos em </w:t>
      </w:r>
      <w:r>
        <w:rPr>
          <w:rFonts w:ascii="Consolas" w:hAnsi="Consolas" w:eastAsia="Consolas"/>
          <w:color w:val="8B1E3F"/>
        </w:rPr>
        <w:t>results/</w:t>
      </w:r>
      <w:r>
        <w:t>, gerados pelo notebook.</w:t>
      </w:r>
    </w:p>
    <w:p>
      <w:pPr>
        <w:jc w:val="both"/>
      </w:pPr>
      <w:r>
        <w:rPr>
          <w:b/>
        </w:rPr>
        <w:t>Reflexão da equipe.</w:t>
      </w:r>
      <w:r>
        <w:t xml:space="preserve"> (A completar pelo grupo.) Pontos sugeridos: a descoberta de que os dados recomendados eram insuficientes e a decisão de documentar a fonte alternativa; a surpresa com a força da persistência; e a escolha de relatar honestamente o empate na classificação.</w:t>
      </w:r>
    </w:p>
    <w:p>
      <w:pPr>
        <w:pStyle w:val="Heading1"/>
        <w:pageBreakBefore w:val="0"/>
        <w:spacing w:before="280"/>
      </w:pPr>
      <w:r>
        <w:t>8. Avaliação de Impacto Responsável e Conclusão</w:t>
      </w:r>
    </w:p>
    <w:p>
      <w:pPr>
        <w:pStyle w:val="Heading2"/>
      </w:pPr>
      <w:r>
        <w:t>8.1 Avaliação de impacto</w:t>
      </w:r>
    </w:p>
    <w:p>
      <w:pPr>
        <w:jc w:val="both"/>
      </w:pPr>
      <w:r>
        <w:rPr>
          <w:b/>
        </w:rPr>
        <w:t>Benefícios potenciais.</w:t>
      </w:r>
      <w:r>
        <w:t xml:space="preserve"> Planejamento da demanda de energia, alertas de saúde para populações vulneráveis em ondas de frio, organização de eventos e atividades escolares ao ar livre, e uso didático em ciência de dados.</w:t>
      </w:r>
    </w:p>
    <w:p>
      <w:pPr>
        <w:jc w:val="both"/>
      </w:pPr>
      <w:r>
        <w:rPr>
          <w:b/>
        </w:rPr>
        <w:t>Riscos de previsões incorretas.</w:t>
      </w:r>
      <w:r>
        <w:t xml:space="preserve"> Um falso “Clear” em dia de tufão pode levar pessoas a se expor a perigo; subestimar uma queda de temperatura de 4 °C pode deixar pessoas vulneráveis desprotegidas. Como o modelo suaviza extremos, seus maiores erros tendem a ocorrer justamente nos eventos mais perigosos.</w:t>
      </w:r>
    </w:p>
    <w:p>
      <w:pPr>
        <w:jc w:val="both"/>
      </w:pPr>
      <w:r>
        <w:rPr>
          <w:b/>
        </w:rPr>
        <w:t>Uso responsável.</w:t>
      </w:r>
      <w:r>
        <w:t xml:space="preserve"> O sistema deve sempre comunicar a incerteza (erro típico de cerca de ±1 °C e probabilidade de chuva em vez de um sim/não), nunca substituir os avisos oficiais do SMG sobre tufões e chuvas intensas, ser retreinado periodicamente para acompanhar mudanças no clima e ser transparente quanto aos dados: reanálise de um único ponto, com classes definidas por limiares escolhidos pelo grupo.</w:t>
      </w:r>
    </w:p>
    <w:p>
      <w:pPr>
        <w:pStyle w:val="Heading2"/>
      </w:pPr>
      <w:r>
        <w:t>8.2 Conclusão</w:t>
      </w:r>
    </w:p>
    <w:p>
      <w:pPr>
        <w:jc w:val="both"/>
      </w:pPr>
      <w:r>
        <w:rPr>
          <w:b/>
        </w:rPr>
        <w:t>Problema.</w:t>
      </w:r>
      <w:r>
        <w:t xml:space="preserve"> Prever a temperatura máxima, a mínima e a condição do tempo do dia seguinte em Macau.</w:t>
      </w:r>
    </w:p>
    <w:p>
      <w:pPr>
        <w:jc w:val="both"/>
      </w:pPr>
      <w:r>
        <w:rPr>
          <w:b/>
        </w:rPr>
        <w:t>Método.</w:t>
      </w:r>
      <w:r>
        <w:t xml:space="preserve"> Auditoria dos dados disponíveis e substituição por 12 anos de reanálise ERA5; 76 features temporais sem vazamento; divisão cronológica; comparação de nove regressores e oito classificadores contra baselines de persistência; grid search com cinco folds temporais; ensemble dos três melhores modelos; e teste de significância por bootstrap em blocos.</w:t>
      </w:r>
    </w:p>
    <w:p>
      <w:pPr>
        <w:jc w:val="both"/>
      </w:pPr>
      <w:r>
        <w:rPr>
          <w:b/>
        </w:rPr>
        <w:t>Melhor resultado.</w:t>
      </w:r>
      <w:r>
        <w:t xml:space="preserve"> O ensemble atingiu MAE de 1,22 °C para a máxima e 0,99 °C para a mínima no teste, 19 % e 11 % melhor que a persistência, com significância estatística. Na condição do tempo, o ensemble alcançou F1‑macro de 0,501 contra 0,489 da persistência, sem significância, mas forneceu probabilidades de chuva com ROC‑AUC de 0,88.</w:t>
      </w:r>
    </w:p>
    <w:p>
      <w:pPr>
        <w:jc w:val="both"/>
      </w:pPr>
      <w:r>
        <w:rPr>
          <w:b/>
        </w:rPr>
        <w:t>Principal lição.</w:t>
      </w:r>
      <w:r>
        <w:t xml:space="preserve"> Em séries temporais meteorológicas, um baseline simples bem escolhido é difícil de superar. O que gerou ganho foi representar bem a memória e a sazonalidade do clima e comparar modelos de famílias diferentes, não a complexidade dos algoritmos ou o ajuste fino de hiperparâmetros. Relatar com honestidade onde o aprendizado de máquina não trouxe ganho faz parte de uma análise correta.</w:t>
      </w:r>
    </w:p>
    <w:p>
      <w:pPr>
        <w:pStyle w:val="Heading1"/>
        <w:pageBreakBefore w:val="0"/>
        <w:spacing w:before="280"/>
      </w:pPr>
      <w:r>
        <w:t>Referências</w:t>
      </w:r>
    </w:p>
    <w:p>
      <w:pPr>
        <w:spacing w:after="60"/>
        <w:ind w:left="510" w:hanging="340"/>
      </w:pPr>
      <w:r>
        <w:t>1.  Breiman, L. (2001). Random Forests. Machine Learning, 45, 5–32.</w:t>
      </w:r>
    </w:p>
    <w:p>
      <w:pPr>
        <w:spacing w:after="60"/>
        <w:ind w:left="510" w:hanging="340"/>
      </w:pPr>
      <w:r>
        <w:t>2.  Friedman, J. H. (2001). Greedy Function Approximation: A Gradient Boosting Machine. Annals of Statistics, 29(5), 1189–1232.</w:t>
      </w:r>
    </w:p>
    <w:p>
      <w:pPr>
        <w:spacing w:after="60"/>
        <w:ind w:left="510" w:hanging="340"/>
      </w:pPr>
      <w:r>
        <w:t>3.  Geurts, P.; Ernst, D.; Wehenkel, L. (2006). Extremely Randomized Trees. Machine Learning, 63, 3–42.</w:t>
      </w:r>
    </w:p>
    <w:p>
      <w:pPr>
        <w:spacing w:after="60"/>
        <w:ind w:left="510" w:hanging="340"/>
      </w:pPr>
      <w:r>
        <w:t>4.  Hersbach, H. et al. (2020). The ERA5 global reanalysis. Quarterly Journal of the Royal Meteorological Society, 146, 1999–2049.</w:t>
      </w:r>
    </w:p>
    <w:p>
      <w:pPr>
        <w:spacing w:after="60"/>
        <w:ind w:left="510" w:hanging="340"/>
      </w:pPr>
      <w:r>
        <w:t>5.  Künsch, H. R. (1989). The Jackknife and the Bootstrap for General Stationary Observations. Annals of Statistics, 17(3), 1217–1241.</w:t>
      </w:r>
    </w:p>
    <w:p>
      <w:pPr>
        <w:spacing w:after="60"/>
        <w:ind w:left="510" w:hanging="340"/>
      </w:pPr>
      <w:r>
        <w:t>6.  Pedregosa, F. et al. (2011). Scikit-learn: Machine Learning in Python. Journal of Machine Learning Research, 12, 2825–2830.</w:t>
      </w:r>
    </w:p>
    <w:p>
      <w:pPr>
        <w:spacing w:after="60"/>
        <w:ind w:left="510" w:hanging="340"/>
      </w:pPr>
      <w:r>
        <w:t>7.  Open‑Meteo Historical Weather API: https://open-meteo.com/en/docs/historical-weather-api</w:t>
      </w:r>
    </w:p>
    <w:p>
      <w:pPr>
        <w:spacing w:after="60"/>
        <w:ind w:left="510" w:hanging="340"/>
      </w:pPr>
      <w:r>
        <w:t>8.  Visual Crossing Weather Query Builder: https://www.visualcrossing.com/weather-query-builder/</w:t>
      </w:r>
    </w:p>
    <w:p>
      <w:pPr>
        <w:jc w:val="both"/>
      </w:pPr>
      <w:r>
        <w:t>Referências citadas de memória; conferir volume e páginas antes da entrega.</w:t>
      </w:r>
    </w:p>
    <w:p>
      <w:pPr>
        <w:pStyle w:val="Heading1"/>
        <w:pageBreakBefore w:val="0"/>
        <w:spacing w:before="280"/>
      </w:pPr>
      <w:r>
        <w:t>Apêndice: Correspondência entre relatório e código</w:t>
      </w:r>
    </w:p>
    <w:tbl>
      <w:tblPr>
        <w:tblStyle w:val="TableGrid"/>
        <w:tblW w:type="auto" w:w="0"/>
        <w:jc w:val="center"/>
        <w:tblLayout w:type="fixed"/>
        <w:tblLook w:firstColumn="1" w:firstRow="1" w:lastColumn="0" w:lastRow="0" w:noHBand="0" w:noVBand="1" w:val="04A0"/>
      </w:tblPr>
      <w:tblGrid>
        <w:gridCol w:w="1287"/>
        <w:gridCol w:w="1573"/>
        <w:gridCol w:w="3218"/>
        <w:gridCol w:w="2993"/>
      </w:tblGrid>
      <w:tr>
        <w:trPr>
          <w:tblHeader w:val="true"/>
        </w:trPr>
        <w:tc>
          <w:tcPr>
            <w:tcW w:type="dxa" w:w="1287"/>
            <w:shd w:val="clear" w:color="auto" w:fill="DCE6F2"/>
          </w:tcPr>
          <w:p>
            <w:pPr>
              <w:spacing w:after="0" w:line="240" w:lineRule="auto"/>
            </w:pPr>
            <w:r>
              <w:rPr>
                <w:b/>
                <w:sz w:val="19"/>
              </w:rPr>
              <w:t>Seção do relatório</w:t>
            </w:r>
          </w:p>
        </w:tc>
        <w:tc>
          <w:tcPr>
            <w:tcW w:type="dxa" w:w="1573"/>
            <w:shd w:val="clear" w:color="auto" w:fill="DCE6F2"/>
          </w:tcPr>
          <w:p>
            <w:pPr>
              <w:spacing w:after="0" w:line="240" w:lineRule="auto"/>
            </w:pPr>
            <w:r>
              <w:rPr>
                <w:b/>
                <w:sz w:val="19"/>
              </w:rPr>
              <w:t>Notebook</w:t>
            </w:r>
          </w:p>
        </w:tc>
        <w:tc>
          <w:tcPr>
            <w:tcW w:type="dxa" w:w="3218"/>
            <w:shd w:val="clear" w:color="auto" w:fill="DCE6F2"/>
          </w:tcPr>
          <w:p>
            <w:pPr>
              <w:spacing w:after="0" w:line="240" w:lineRule="auto"/>
            </w:pPr>
            <w:r>
              <w:rPr>
                <w:b/>
                <w:sz w:val="19"/>
              </w:rPr>
              <w:t xml:space="preserve">Funções em </w:t>
            </w:r>
            <w:r>
              <w:rPr>
                <w:rFonts w:ascii="Consolas" w:hAnsi="Consolas" w:eastAsia="Consolas"/>
                <w:b/>
                <w:color w:val="8B1E3F"/>
                <w:sz w:val="19"/>
              </w:rPr>
              <w:t>weather_utils.py</w:t>
            </w:r>
          </w:p>
        </w:tc>
        <w:tc>
          <w:tcPr>
            <w:tcW w:type="dxa" w:w="2993"/>
            <w:shd w:val="clear" w:color="auto" w:fill="DCE6F2"/>
          </w:tcPr>
          <w:p>
            <w:pPr>
              <w:spacing w:after="0" w:line="240" w:lineRule="auto"/>
            </w:pPr>
            <w:r>
              <w:rPr>
                <w:b/>
                <w:sz w:val="19"/>
              </w:rPr>
              <w:t>Saídas</w:t>
            </w:r>
          </w:p>
        </w:tc>
      </w:tr>
      <w:tr>
        <w:tc>
          <w:tcPr>
            <w:tcW w:type="dxa" w:w="1287"/>
          </w:tcPr>
          <w:p>
            <w:pPr>
              <w:spacing w:after="0" w:line="240" w:lineRule="auto"/>
            </w:pPr>
            <w:r>
              <w:rPr>
                <w:sz w:val="19"/>
              </w:rPr>
              <w:t>2.2 Dataset</w:t>
            </w:r>
          </w:p>
        </w:tc>
        <w:tc>
          <w:tcPr>
            <w:tcW w:type="dxa" w:w="1573"/>
          </w:tcPr>
          <w:p>
            <w:pPr>
              <w:spacing w:after="0" w:line="240" w:lineRule="auto"/>
            </w:pPr>
            <w:r>
              <w:rPr>
                <w:sz w:val="19"/>
              </w:rPr>
              <w:t>2.1–2.4</w:t>
            </w:r>
          </w:p>
        </w:tc>
        <w:tc>
          <w:tcPr>
            <w:tcW w:type="dxa" w:w="3218"/>
          </w:tcPr>
          <w:p>
            <w:pPr>
              <w:spacing w:after="0" w:line="240" w:lineRule="auto"/>
            </w:pPr>
            <w:r>
              <w:rPr>
                <w:rFonts w:ascii="Consolas" w:hAnsi="Consolas" w:eastAsia="Consolas"/>
                <w:color w:val="8B1E3F"/>
                <w:sz w:val="19"/>
              </w:rPr>
              <w:t>check_coverage</w:t>
            </w:r>
            <w:r>
              <w:rPr>
                <w:sz w:val="19"/>
              </w:rPr>
              <w:t xml:space="preserve">, </w:t>
            </w:r>
            <w:r>
              <w:rPr>
                <w:rFonts w:ascii="Consolas" w:hAnsi="Consolas" w:eastAsia="Consolas"/>
                <w:color w:val="8B1E3F"/>
                <w:sz w:val="19"/>
              </w:rPr>
              <w:t>download_open_meteo</w:t>
            </w:r>
            <w:r>
              <w:rPr>
                <w:sz w:val="19"/>
              </w:rPr>
              <w:t xml:space="preserve">, </w:t>
            </w:r>
            <w:r>
              <w:rPr>
                <w:rFonts w:ascii="Consolas" w:hAnsi="Consolas" w:eastAsia="Consolas"/>
                <w:color w:val="8B1E3F"/>
                <w:sz w:val="19"/>
              </w:rPr>
              <w:t>to_visual_crossing_schema</w:t>
            </w:r>
            <w:r>
              <w:rPr>
                <w:sz w:val="19"/>
              </w:rPr>
              <w:t xml:space="preserve">, </w:t>
            </w:r>
            <w:r>
              <w:rPr>
                <w:rFonts w:ascii="Consolas" w:hAnsi="Consolas" w:eastAsia="Consolas"/>
                <w:color w:val="8B1E3F"/>
                <w:sz w:val="19"/>
              </w:rPr>
              <w:t>to_metric</w:t>
            </w:r>
          </w:p>
        </w:tc>
        <w:tc>
          <w:tcPr>
            <w:tcW w:type="dxa" w:w="2993"/>
          </w:tcPr>
          <w:p>
            <w:pPr>
              <w:spacing w:after="0" w:line="240" w:lineRule="auto"/>
            </w:pPr>
            <w:r>
              <w:rPr>
                <w:rFonts w:ascii="Consolas" w:hAnsi="Consolas" w:eastAsia="Consolas"/>
                <w:color w:val="8B1E3F"/>
                <w:sz w:val="19"/>
              </w:rPr>
              <w:t>data/macao_openmeteo.csv</w:t>
            </w:r>
          </w:p>
        </w:tc>
      </w:tr>
      <w:tr>
        <w:tc>
          <w:tcPr>
            <w:tcW w:type="dxa" w:w="1287"/>
          </w:tcPr>
          <w:p>
            <w:pPr>
              <w:spacing w:after="0" w:line="240" w:lineRule="auto"/>
            </w:pPr>
            <w:r>
              <w:rPr>
                <w:sz w:val="19"/>
              </w:rPr>
              <w:t>3.1 Qualidade</w:t>
            </w:r>
          </w:p>
        </w:tc>
        <w:tc>
          <w:tcPr>
            <w:tcW w:type="dxa" w:w="1573"/>
          </w:tcPr>
          <w:p>
            <w:pPr>
              <w:spacing w:after="0" w:line="240" w:lineRule="auto"/>
            </w:pPr>
            <w:r>
              <w:rPr>
                <w:sz w:val="19"/>
              </w:rPr>
              <w:t>3.1–3.3, 4.1</w:t>
            </w:r>
          </w:p>
        </w:tc>
        <w:tc>
          <w:tcPr>
            <w:tcW w:type="dxa" w:w="3218"/>
          </w:tcPr>
          <w:p>
            <w:pPr>
              <w:spacing w:after="0" w:line="240" w:lineRule="auto"/>
            </w:pPr>
            <w:r>
              <w:rPr>
                <w:rFonts w:ascii="Consolas" w:hAnsi="Consolas" w:eastAsia="Consolas"/>
                <w:color w:val="8B1E3F"/>
                <w:sz w:val="19"/>
              </w:rPr>
              <w:t>quality_report</w:t>
            </w:r>
            <w:r>
              <w:rPr>
                <w:sz w:val="19"/>
              </w:rPr>
              <w:t xml:space="preserve">, </w:t>
            </w:r>
            <w:r>
              <w:rPr>
                <w:rFonts w:ascii="Consolas" w:hAnsi="Consolas" w:eastAsia="Consolas"/>
                <w:color w:val="8B1E3F"/>
                <w:sz w:val="19"/>
              </w:rPr>
              <w:t>iqr_outliers</w:t>
            </w:r>
            <w:r>
              <w:rPr>
                <w:sz w:val="19"/>
              </w:rPr>
              <w:t xml:space="preserve">, </w:t>
            </w:r>
            <w:r>
              <w:rPr>
                <w:rFonts w:ascii="Consolas" w:hAnsi="Consolas" w:eastAsia="Consolas"/>
                <w:color w:val="8B1E3F"/>
                <w:sz w:val="19"/>
              </w:rPr>
              <w:t>to_class</w:t>
            </w:r>
          </w:p>
        </w:tc>
        <w:tc>
          <w:tcPr>
            <w:tcW w:type="dxa" w:w="2993"/>
          </w:tcPr>
          <w:p>
            <w:pPr>
              <w:spacing w:after="0" w:line="240" w:lineRule="auto"/>
            </w:pPr>
            <w:r>
              <w:rPr>
                <w:sz w:val="19"/>
              </w:rPr>
              <w:t>tabela de auditoria</w:t>
            </w:r>
          </w:p>
        </w:tc>
      </w:tr>
      <w:tr>
        <w:tc>
          <w:tcPr>
            <w:tcW w:type="dxa" w:w="1287"/>
          </w:tcPr>
          <w:p>
            <w:pPr>
              <w:spacing w:after="0" w:line="240" w:lineRule="auto"/>
            </w:pPr>
            <w:r>
              <w:rPr>
                <w:sz w:val="19"/>
              </w:rPr>
              <w:t>3.2 Features</w:t>
            </w:r>
          </w:p>
        </w:tc>
        <w:tc>
          <w:tcPr>
            <w:tcW w:type="dxa" w:w="1573"/>
          </w:tcPr>
          <w:p>
            <w:pPr>
              <w:spacing w:after="0" w:line="240" w:lineRule="auto"/>
            </w:pPr>
            <w:r>
              <w:rPr>
                <w:sz w:val="19"/>
              </w:rPr>
              <w:t>6.1–6.2</w:t>
            </w:r>
          </w:p>
        </w:tc>
        <w:tc>
          <w:tcPr>
            <w:tcW w:type="dxa" w:w="3218"/>
          </w:tcPr>
          <w:p>
            <w:pPr>
              <w:spacing w:after="0" w:line="240" w:lineRule="auto"/>
            </w:pPr>
            <w:r>
              <w:rPr>
                <w:rFonts w:ascii="Consolas" w:hAnsi="Consolas" w:eastAsia="Consolas"/>
                <w:color w:val="8B1E3F"/>
                <w:sz w:val="19"/>
              </w:rPr>
              <w:t>build_features</w:t>
            </w:r>
          </w:p>
        </w:tc>
        <w:tc>
          <w:tcPr>
            <w:tcW w:type="dxa" w:w="2993"/>
          </w:tcPr>
          <w:p>
            <w:pPr>
              <w:spacing w:after="0" w:line="240" w:lineRule="auto"/>
            </w:pPr>
            <w:r>
              <w:rPr>
                <w:rFonts w:ascii="Consolas" w:hAnsi="Consolas" w:eastAsia="Consolas"/>
                <w:color w:val="8B1E3F"/>
                <w:sz w:val="19"/>
              </w:rPr>
              <w:t>data/processed/</w:t>
            </w:r>
          </w:p>
        </w:tc>
      </w:tr>
      <w:tr>
        <w:tc>
          <w:tcPr>
            <w:tcW w:type="dxa" w:w="1287"/>
          </w:tcPr>
          <w:p>
            <w:pPr>
              <w:spacing w:after="0" w:line="240" w:lineRule="auto"/>
            </w:pPr>
            <w:r>
              <w:rPr>
                <w:sz w:val="19"/>
              </w:rPr>
              <w:t>3.3 EDA</w:t>
            </w:r>
          </w:p>
        </w:tc>
        <w:tc>
          <w:tcPr>
            <w:tcW w:type="dxa" w:w="1573"/>
          </w:tcPr>
          <w:p>
            <w:pPr>
              <w:spacing w:after="0" w:line="240" w:lineRule="auto"/>
            </w:pPr>
            <w:r>
              <w:rPr>
                <w:sz w:val="19"/>
              </w:rPr>
              <w:t>5.1–5.8</w:t>
            </w:r>
          </w:p>
        </w:tc>
        <w:tc>
          <w:tcPr>
            <w:tcW w:type="dxa" w:w="3218"/>
          </w:tcPr>
          <w:p>
            <w:pPr>
              <w:spacing w:after="0" w:line="240" w:lineRule="auto"/>
            </w:pPr>
            <w:r>
              <w:rPr>
                <w:sz w:val="19"/>
              </w:rPr>
              <w:t>–</w:t>
            </w:r>
          </w:p>
        </w:tc>
        <w:tc>
          <w:tcPr>
            <w:tcW w:type="dxa" w:w="2993"/>
          </w:tcPr>
          <w:p>
            <w:pPr>
              <w:spacing w:after="0" w:line="240" w:lineRule="auto"/>
            </w:pPr>
            <w:r>
              <w:rPr>
                <w:rFonts w:ascii="Consolas" w:hAnsi="Consolas" w:eastAsia="Consolas"/>
                <w:color w:val="8B1E3F"/>
                <w:sz w:val="19"/>
              </w:rPr>
              <w:t>figures/eda_*.png</w:t>
            </w:r>
          </w:p>
        </w:tc>
      </w:tr>
      <w:tr>
        <w:tc>
          <w:tcPr>
            <w:tcW w:type="dxa" w:w="1287"/>
          </w:tcPr>
          <w:p>
            <w:pPr>
              <w:spacing w:after="0" w:line="240" w:lineRule="auto"/>
            </w:pPr>
            <w:r>
              <w:rPr>
                <w:sz w:val="19"/>
              </w:rPr>
              <w:t>4. Modelos</w:t>
            </w:r>
          </w:p>
        </w:tc>
        <w:tc>
          <w:tcPr>
            <w:tcW w:type="dxa" w:w="1573"/>
          </w:tcPr>
          <w:p>
            <w:pPr>
              <w:spacing w:after="0" w:line="240" w:lineRule="auto"/>
            </w:pPr>
            <w:r>
              <w:rPr>
                <w:sz w:val="19"/>
              </w:rPr>
              <w:t>7.1, 8.3–8.7, 9.3–9.6</w:t>
            </w:r>
          </w:p>
        </w:tc>
        <w:tc>
          <w:tcPr>
            <w:tcW w:type="dxa" w:w="3218"/>
          </w:tcPr>
          <w:p>
            <w:pPr>
              <w:spacing w:after="0" w:line="240" w:lineRule="auto"/>
            </w:pPr>
            <w:r>
              <w:rPr>
                <w:rFonts w:ascii="Consolas" w:hAnsi="Consolas" w:eastAsia="Consolas"/>
                <w:color w:val="8B1E3F"/>
                <w:sz w:val="19"/>
              </w:rPr>
              <w:t>make_regressors</w:t>
            </w:r>
            <w:r>
              <w:rPr>
                <w:sz w:val="19"/>
              </w:rPr>
              <w:t xml:space="preserve">, </w:t>
            </w:r>
            <w:r>
              <w:rPr>
                <w:rFonts w:ascii="Consolas" w:hAnsi="Consolas" w:eastAsia="Consolas"/>
                <w:color w:val="8B1E3F"/>
                <w:sz w:val="19"/>
              </w:rPr>
              <w:t>make_classifiers</w:t>
            </w:r>
            <w:r>
              <w:rPr>
                <w:sz w:val="19"/>
              </w:rPr>
              <w:t xml:space="preserve">, </w:t>
            </w:r>
            <w:r>
              <w:rPr>
                <w:rFonts w:ascii="Consolas" w:hAnsi="Consolas" w:eastAsia="Consolas"/>
                <w:color w:val="8B1E3F"/>
                <w:sz w:val="19"/>
              </w:rPr>
              <w:t>tune_model</w:t>
            </w:r>
            <w:r>
              <w:rPr>
                <w:sz w:val="19"/>
              </w:rPr>
              <w:t xml:space="preserve">, </w:t>
            </w:r>
            <w:r>
              <w:rPr>
                <w:rFonts w:ascii="Consolas" w:hAnsi="Consolas" w:eastAsia="Consolas"/>
                <w:color w:val="8B1E3F"/>
                <w:sz w:val="19"/>
              </w:rPr>
              <w:t>ensemble</w:t>
            </w:r>
            <w:r>
              <w:rPr>
                <w:sz w:val="19"/>
              </w:rPr>
              <w:t xml:space="preserve">, </w:t>
            </w:r>
            <w:r>
              <w:rPr>
                <w:rFonts w:ascii="Consolas" w:hAnsi="Consolas" w:eastAsia="Consolas"/>
                <w:color w:val="8B1E3F"/>
                <w:sz w:val="19"/>
              </w:rPr>
              <w:t>climatology_predict</w:t>
            </w:r>
            <w:r>
              <w:rPr>
                <w:sz w:val="19"/>
              </w:rPr>
              <w:t xml:space="preserve">, </w:t>
            </w:r>
            <w:r>
              <w:rPr>
                <w:rFonts w:ascii="Consolas" w:hAnsi="Consolas" w:eastAsia="Consolas"/>
                <w:color w:val="8B1E3F"/>
                <w:sz w:val="19"/>
              </w:rPr>
              <w:t>persistence_class</w:t>
            </w:r>
          </w:p>
        </w:tc>
        <w:tc>
          <w:tcPr>
            <w:tcW w:type="dxa" w:w="2993"/>
          </w:tcPr>
          <w:p>
            <w:pPr>
              <w:spacing w:after="0" w:line="240" w:lineRule="auto"/>
            </w:pPr>
            <w:r>
              <w:rPr>
                <w:rFonts w:ascii="Consolas" w:hAnsi="Consolas" w:eastAsia="Consolas"/>
                <w:color w:val="8B1E3F"/>
                <w:sz w:val="19"/>
              </w:rPr>
              <w:t>results/*_validation_results.csv</w:t>
            </w:r>
          </w:p>
        </w:tc>
      </w:tr>
      <w:tr>
        <w:tc>
          <w:tcPr>
            <w:tcW w:type="dxa" w:w="1287"/>
          </w:tcPr>
          <w:p>
            <w:pPr>
              <w:spacing w:after="0" w:line="240" w:lineRule="auto"/>
            </w:pPr>
            <w:r>
              <w:rPr>
                <w:sz w:val="19"/>
              </w:rPr>
              <w:t>5. Resultados</w:t>
            </w:r>
          </w:p>
        </w:tc>
        <w:tc>
          <w:tcPr>
            <w:tcW w:type="dxa" w:w="1573"/>
          </w:tcPr>
          <w:p>
            <w:pPr>
              <w:spacing w:after="0" w:line="240" w:lineRule="auto"/>
            </w:pPr>
            <w:r>
              <w:rPr>
                <w:sz w:val="19"/>
              </w:rPr>
              <w:t>8.8–8.10, 9.7–9.10, 10</w:t>
            </w:r>
          </w:p>
        </w:tc>
        <w:tc>
          <w:tcPr>
            <w:tcW w:type="dxa" w:w="3218"/>
          </w:tcPr>
          <w:p>
            <w:pPr>
              <w:spacing w:after="0" w:line="240" w:lineRule="auto"/>
            </w:pPr>
            <w:r>
              <w:rPr>
                <w:rFonts w:ascii="Consolas" w:hAnsi="Consolas" w:eastAsia="Consolas"/>
                <w:color w:val="8B1E3F"/>
                <w:sz w:val="19"/>
              </w:rPr>
              <w:t>regression_metrics</w:t>
            </w:r>
            <w:r>
              <w:rPr>
                <w:sz w:val="19"/>
              </w:rPr>
              <w:t xml:space="preserve">, </w:t>
            </w:r>
            <w:r>
              <w:rPr>
                <w:rFonts w:ascii="Consolas" w:hAnsi="Consolas" w:eastAsia="Consolas"/>
                <w:color w:val="8B1E3F"/>
                <w:sz w:val="19"/>
              </w:rPr>
              <w:t>classification_metrics</w:t>
            </w:r>
            <w:r>
              <w:rPr>
                <w:sz w:val="19"/>
              </w:rPr>
              <w:t xml:space="preserve">, </w:t>
            </w:r>
            <w:r>
              <w:rPr>
                <w:rFonts w:ascii="Consolas" w:hAnsi="Consolas" w:eastAsia="Consolas"/>
                <w:color w:val="8B1E3F"/>
                <w:sz w:val="19"/>
              </w:rPr>
              <w:t>rain_metrics</w:t>
            </w:r>
            <w:r>
              <w:rPr>
                <w:sz w:val="19"/>
              </w:rPr>
              <w:t xml:space="preserve">, </w:t>
            </w:r>
            <w:r>
              <w:rPr>
                <w:rFonts w:ascii="Consolas" w:hAnsi="Consolas" w:eastAsia="Consolas"/>
                <w:color w:val="8B1E3F"/>
                <w:sz w:val="19"/>
              </w:rPr>
              <w:t>block_bootstrap_diff</w:t>
            </w:r>
            <w:r>
              <w:rPr>
                <w:sz w:val="19"/>
              </w:rPr>
              <w:t xml:space="preserve">, </w:t>
            </w:r>
            <w:r>
              <w:rPr>
                <w:rFonts w:ascii="Consolas" w:hAnsi="Consolas" w:eastAsia="Consolas"/>
                <w:color w:val="8B1E3F"/>
                <w:sz w:val="19"/>
              </w:rPr>
              <w:t>feature_group</w:t>
            </w:r>
          </w:p>
        </w:tc>
        <w:tc>
          <w:tcPr>
            <w:tcW w:type="dxa" w:w="2993"/>
          </w:tcPr>
          <w:p>
            <w:pPr>
              <w:spacing w:after="0" w:line="240" w:lineRule="auto"/>
            </w:pPr>
            <w:r>
              <w:rPr>
                <w:rFonts w:ascii="Consolas" w:hAnsi="Consolas" w:eastAsia="Consolas"/>
                <w:color w:val="8B1E3F"/>
                <w:sz w:val="19"/>
              </w:rPr>
              <w:t>results/*_test_results.csv</w:t>
            </w:r>
            <w:r>
              <w:rPr>
                <w:sz w:val="19"/>
              </w:rPr>
              <w:t xml:space="preserve">, </w:t>
            </w:r>
            <w:r>
              <w:rPr>
                <w:rFonts w:ascii="Consolas" w:hAnsi="Consolas" w:eastAsia="Consolas"/>
                <w:color w:val="8B1E3F"/>
                <w:sz w:val="19"/>
              </w:rPr>
              <w:t>figures/</w:t>
            </w:r>
          </w:p>
        </w:tc>
      </w:tr>
    </w:tbl>
    <w:p>
      <w:pPr>
        <w:spacing w:after="40"/>
      </w:pPr>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