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12.png" ContentType="image/png"/>
  <Override PartName="/word/media/image3.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b/>
          <w:color w:val="1F3864"/>
          <w:sz w:val="36"/>
        </w:rPr>
        <w:t>UNIVERSIDAD TECNOLÓGICA DEL PERÚ</w:t>
      </w:r>
    </w:p>
    <w:p>
      <w:pPr>
        <w:pStyle w:val="Normal"/>
        <w:spacing w:before="0" w:after="600"/>
        <w:jc w:val="center"/>
        <w:rPr/>
      </w:pPr>
      <w:r>
        <w:rPr>
          <w:b w:val="false"/>
          <w:sz w:val="24"/>
        </w:rPr>
        <w:t>Facultad de Ingeniería de Sistemas y Electrónica</w:t>
      </w:r>
    </w:p>
    <w:p>
      <w:pPr>
        <w:pStyle w:val="Normal"/>
        <w:spacing w:before="0" w:after="800"/>
        <w:jc w:val="center"/>
        <w:rPr/>
      </w:pPr>
      <w:r>
        <w:rPr>
          <w:b/>
          <w:sz w:val="26"/>
        </w:rPr>
        <w:t>Curso: Servicios Cloud</w:t>
      </w:r>
    </w:p>
    <w:p>
      <w:pPr>
        <w:pStyle w:val="Normal"/>
        <w:spacing w:before="0" w:after="280"/>
        <w:jc w:val="center"/>
        <w:rPr/>
      </w:pPr>
      <w:r>
        <w:rPr>
          <w:b/>
          <w:color w:val="2E5597"/>
          <w:sz w:val="26"/>
        </w:rPr>
        <w:t>INFORME DE LABORATORIO N.º 10</w:t>
      </w:r>
    </w:p>
    <w:p>
      <w:pPr>
        <w:pStyle w:val="Normal"/>
        <w:spacing w:before="0" w:after="160"/>
        <w:jc w:val="center"/>
        <w:rPr/>
      </w:pPr>
      <w:r>
        <w:rPr>
          <w:b/>
          <w:color w:val="1F3864"/>
          <w:sz w:val="40"/>
        </w:rPr>
        <w:t>Monitoreo en la nube y gestión de métricas en bases de datos de series temporales</w:t>
      </w:r>
    </w:p>
    <w:p>
      <w:pPr>
        <w:pStyle w:val="Normal"/>
        <w:spacing w:before="0" w:after="1000"/>
        <w:jc w:val="center"/>
        <w:rPr/>
      </w:pPr>
      <w:r>
        <w:rPr>
          <w:b w:val="false"/>
          <w:i/>
          <w:sz w:val="24"/>
        </w:rPr>
        <w:t>Análisis de un incidente de degradación de una dependencia con Prometheus, PromQL y Grafana</w:t>
      </w:r>
    </w:p>
    <w:tbl>
      <w:tblPr>
        <w:tblStyle w:val="TableGrid"/>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49"/>
        <w:gridCol w:w="4648"/>
      </w:tblGrid>
      <w:tr>
        <w:trPr/>
        <w:tc>
          <w:tcPr>
            <w:tcW w:w="4649" w:type="dxa"/>
            <w:tcBorders/>
            <w:shd w:color="auto" w:fill="E8EEF7" w:val="clear"/>
          </w:tcPr>
          <w:p>
            <w:pPr>
              <w:pStyle w:val="Normal"/>
              <w:widowControl/>
              <w:spacing w:before="0" w:after="120"/>
              <w:jc w:val="left"/>
              <w:rPr>
                <w:rFonts w:cs=""/>
                <w:kern w:val="0"/>
                <w:szCs w:val="22"/>
                <w:lang w:val="en-US" w:eastAsia="en-US" w:bidi="ar-SA"/>
              </w:rPr>
            </w:pPr>
            <w:r>
              <w:rPr>
                <w:rFonts w:cs=""/>
                <w:b/>
                <w:kern w:val="0"/>
                <w:szCs w:val="22"/>
                <w:lang w:val="en-US" w:eastAsia="en-US" w:bidi="ar-SA"/>
              </w:rPr>
              <w:t>Docente</w:t>
            </w:r>
          </w:p>
        </w:tc>
        <w:tc>
          <w:tcPr>
            <w:tcW w:w="4648" w:type="dxa"/>
            <w:tcBorders/>
          </w:tcPr>
          <w:p>
            <w:pPr>
              <w:pStyle w:val="Normal"/>
              <w:widowControl/>
              <w:spacing w:before="0" w:after="120"/>
              <w:jc w:val="left"/>
              <w:rPr>
                <w:rFonts w:cs=""/>
                <w:kern w:val="0"/>
                <w:szCs w:val="22"/>
                <w:lang w:val="en-US" w:eastAsia="en-US" w:bidi="ar-SA"/>
              </w:rPr>
            </w:pPr>
            <w:r>
              <w:rPr>
                <w:rFonts w:cs=""/>
                <w:kern w:val="0"/>
                <w:szCs w:val="22"/>
                <w:lang w:val="en-US" w:eastAsia="en-US" w:bidi="ar-SA"/>
              </w:rPr>
              <w:t>Dr. Eleodoro Orbegoso Carrera</w:t>
            </w:r>
          </w:p>
        </w:tc>
      </w:tr>
      <w:tr>
        <w:trPr/>
        <w:tc>
          <w:tcPr>
            <w:tcW w:w="4649" w:type="dxa"/>
            <w:tcBorders/>
            <w:shd w:color="auto" w:fill="E8EEF7" w:val="clear"/>
          </w:tcPr>
          <w:p>
            <w:pPr>
              <w:pStyle w:val="Normal"/>
              <w:widowControl/>
              <w:spacing w:before="0" w:after="120"/>
              <w:jc w:val="left"/>
              <w:rPr>
                <w:rFonts w:cs=""/>
                <w:kern w:val="0"/>
                <w:szCs w:val="22"/>
                <w:lang w:val="en-US" w:eastAsia="en-US" w:bidi="ar-SA"/>
              </w:rPr>
            </w:pPr>
            <w:r>
              <w:rPr>
                <w:rFonts w:cs=""/>
                <w:b/>
                <w:kern w:val="0"/>
                <w:szCs w:val="22"/>
                <w:lang w:val="en-US" w:eastAsia="en-US" w:bidi="ar-SA"/>
              </w:rPr>
              <w:t>Estudiante</w:t>
            </w:r>
          </w:p>
        </w:tc>
        <w:tc>
          <w:tcPr>
            <w:tcW w:w="4648" w:type="dxa"/>
            <w:tcBorders/>
          </w:tcPr>
          <w:p>
            <w:pPr>
              <w:pStyle w:val="Normal"/>
              <w:widowControl/>
              <w:spacing w:before="0" w:after="120"/>
              <w:jc w:val="left"/>
              <w:rPr>
                <w:rFonts w:cs=""/>
                <w:kern w:val="0"/>
                <w:szCs w:val="22"/>
                <w:lang w:val="en-US" w:eastAsia="en-US" w:bidi="ar-SA"/>
              </w:rPr>
            </w:pPr>
            <w:r>
              <w:rPr>
                <w:rFonts w:cs=""/>
                <w:kern w:val="0"/>
                <w:szCs w:val="22"/>
                <w:lang w:val="en-US" w:eastAsia="en-US" w:bidi="ar-SA"/>
              </w:rPr>
              <w:t>Icochea Rodriguez, Thiago Paolo</w:t>
            </w:r>
          </w:p>
        </w:tc>
      </w:tr>
      <w:tr>
        <w:trPr/>
        <w:tc>
          <w:tcPr>
            <w:tcW w:w="4649" w:type="dxa"/>
            <w:tcBorders/>
            <w:shd w:color="auto" w:fill="E8EEF7" w:val="clear"/>
          </w:tcPr>
          <w:p>
            <w:pPr>
              <w:pStyle w:val="Normal"/>
              <w:widowControl/>
              <w:spacing w:before="0" w:after="120"/>
              <w:jc w:val="left"/>
              <w:rPr>
                <w:rFonts w:cs=""/>
                <w:kern w:val="0"/>
                <w:szCs w:val="22"/>
                <w:lang w:val="en-US" w:eastAsia="en-US" w:bidi="ar-SA"/>
              </w:rPr>
            </w:pPr>
            <w:r>
              <w:rPr>
                <w:rFonts w:cs=""/>
                <w:b/>
                <w:kern w:val="0"/>
                <w:szCs w:val="22"/>
                <w:lang w:val="en-US" w:eastAsia="en-US" w:bidi="ar-SA"/>
              </w:rPr>
              <w:t>Sección</w:t>
            </w:r>
          </w:p>
        </w:tc>
        <w:tc>
          <w:tcPr>
            <w:tcW w:w="4648" w:type="dxa"/>
            <w:tcBorders/>
          </w:tcPr>
          <w:p>
            <w:pPr>
              <w:pStyle w:val="Normal"/>
              <w:widowControl/>
              <w:spacing w:before="0" w:after="120"/>
              <w:jc w:val="left"/>
              <w:rPr>
                <w:rFonts w:cs=""/>
                <w:kern w:val="0"/>
                <w:szCs w:val="22"/>
                <w:lang w:val="en-US" w:eastAsia="en-US" w:bidi="ar-SA"/>
              </w:rPr>
            </w:pPr>
            <w:r>
              <w:rPr>
                <w:rFonts w:cs=""/>
                <w:kern w:val="0"/>
                <w:szCs w:val="22"/>
                <w:lang w:val="en-US" w:eastAsia="en-US" w:bidi="ar-SA"/>
              </w:rPr>
              <w:t>45104</w:t>
            </w:r>
          </w:p>
        </w:tc>
      </w:tr>
      <w:tr>
        <w:trPr/>
        <w:tc>
          <w:tcPr>
            <w:tcW w:w="4649" w:type="dxa"/>
            <w:tcBorders/>
            <w:shd w:color="auto" w:fill="E8EEF7" w:val="clear"/>
          </w:tcPr>
          <w:p>
            <w:pPr>
              <w:pStyle w:val="Normal"/>
              <w:widowControl/>
              <w:spacing w:before="0" w:after="120"/>
              <w:jc w:val="left"/>
              <w:rPr>
                <w:rFonts w:cs=""/>
                <w:kern w:val="0"/>
                <w:szCs w:val="22"/>
                <w:lang w:val="en-US" w:eastAsia="en-US" w:bidi="ar-SA"/>
              </w:rPr>
            </w:pPr>
            <w:r>
              <w:rPr>
                <w:rFonts w:cs=""/>
                <w:b/>
                <w:kern w:val="0"/>
                <w:szCs w:val="22"/>
                <w:lang w:val="en-US" w:eastAsia="en-US" w:bidi="ar-SA"/>
              </w:rPr>
              <w:t>Equipo</w:t>
            </w:r>
          </w:p>
        </w:tc>
        <w:tc>
          <w:tcPr>
            <w:tcW w:w="4648" w:type="dxa"/>
            <w:tcBorders/>
          </w:tcPr>
          <w:p>
            <w:pPr>
              <w:pStyle w:val="Normal"/>
              <w:widowControl/>
              <w:spacing w:before="0" w:after="120"/>
              <w:jc w:val="left"/>
              <w:rPr>
                <w:rFonts w:cs=""/>
                <w:kern w:val="0"/>
                <w:szCs w:val="22"/>
                <w:lang w:val="en-US" w:eastAsia="en-US" w:bidi="ar-SA"/>
              </w:rPr>
            </w:pPr>
            <w:r>
              <w:rPr>
                <w:rFonts w:cs=""/>
                <w:kern w:val="0"/>
                <w:szCs w:val="22"/>
                <w:lang w:val="en-US" w:eastAsia="en-US" w:bidi="ar-SA"/>
              </w:rPr>
              <w:t>Trabajo individual</w:t>
            </w:r>
          </w:p>
        </w:tc>
      </w:tr>
      <w:tr>
        <w:trPr/>
        <w:tc>
          <w:tcPr>
            <w:tcW w:w="4649" w:type="dxa"/>
            <w:tcBorders/>
            <w:shd w:color="auto" w:fill="E8EEF7" w:val="clear"/>
          </w:tcPr>
          <w:p>
            <w:pPr>
              <w:pStyle w:val="Normal"/>
              <w:widowControl/>
              <w:spacing w:before="0" w:after="120"/>
              <w:jc w:val="left"/>
              <w:rPr>
                <w:rFonts w:cs=""/>
                <w:kern w:val="0"/>
                <w:szCs w:val="22"/>
                <w:lang w:val="en-US" w:eastAsia="en-US" w:bidi="ar-SA"/>
              </w:rPr>
            </w:pPr>
            <w:r>
              <w:rPr>
                <w:rFonts w:cs=""/>
                <w:b/>
                <w:kern w:val="0"/>
                <w:szCs w:val="22"/>
                <w:lang w:val="en-US" w:eastAsia="en-US" w:bidi="ar-SA"/>
              </w:rPr>
              <w:t>Número de laboratorio</w:t>
            </w:r>
          </w:p>
        </w:tc>
        <w:tc>
          <w:tcPr>
            <w:tcW w:w="4648" w:type="dxa"/>
            <w:tcBorders/>
          </w:tcPr>
          <w:p>
            <w:pPr>
              <w:pStyle w:val="Normal"/>
              <w:widowControl/>
              <w:spacing w:before="0" w:after="120"/>
              <w:jc w:val="left"/>
              <w:rPr>
                <w:rFonts w:cs=""/>
                <w:kern w:val="0"/>
                <w:szCs w:val="22"/>
                <w:lang w:val="en-US" w:eastAsia="en-US" w:bidi="ar-SA"/>
              </w:rPr>
            </w:pPr>
            <w:r>
              <w:rPr>
                <w:rFonts w:cs=""/>
                <w:kern w:val="0"/>
                <w:szCs w:val="22"/>
                <w:lang w:val="en-US" w:eastAsia="en-US" w:bidi="ar-SA"/>
              </w:rPr>
              <w:t>10</w:t>
            </w:r>
          </w:p>
        </w:tc>
      </w:tr>
      <w:tr>
        <w:trPr/>
        <w:tc>
          <w:tcPr>
            <w:tcW w:w="4649" w:type="dxa"/>
            <w:tcBorders/>
            <w:shd w:color="auto" w:fill="E8EEF7" w:val="clear"/>
          </w:tcPr>
          <w:p>
            <w:pPr>
              <w:pStyle w:val="Normal"/>
              <w:widowControl/>
              <w:spacing w:before="0" w:after="120"/>
              <w:jc w:val="left"/>
              <w:rPr>
                <w:rFonts w:cs=""/>
                <w:kern w:val="0"/>
                <w:szCs w:val="22"/>
                <w:lang w:val="en-US" w:eastAsia="en-US" w:bidi="ar-SA"/>
              </w:rPr>
            </w:pPr>
            <w:r>
              <w:rPr>
                <w:rFonts w:cs=""/>
                <w:b/>
                <w:kern w:val="0"/>
                <w:szCs w:val="22"/>
                <w:lang w:val="en-US" w:eastAsia="en-US" w:bidi="ar-SA"/>
              </w:rPr>
              <w:t>Fecha de realización</w:t>
            </w:r>
          </w:p>
        </w:tc>
        <w:tc>
          <w:tcPr>
            <w:tcW w:w="4648" w:type="dxa"/>
            <w:tcBorders/>
          </w:tcPr>
          <w:p>
            <w:pPr>
              <w:pStyle w:val="Normal"/>
              <w:widowControl/>
              <w:spacing w:before="0" w:after="120"/>
              <w:jc w:val="left"/>
              <w:rPr>
                <w:rFonts w:cs=""/>
                <w:kern w:val="0"/>
                <w:szCs w:val="22"/>
                <w:lang w:val="en-US" w:eastAsia="en-US" w:bidi="ar-SA"/>
              </w:rPr>
            </w:pPr>
            <w:r>
              <w:rPr>
                <w:rFonts w:cs=""/>
                <w:kern w:val="0"/>
                <w:szCs w:val="22"/>
                <w:lang w:val="en-US" w:eastAsia="en-US" w:bidi="ar-SA"/>
              </w:rPr>
              <w:t>16/10/2026</w:t>
            </w:r>
          </w:p>
        </w:tc>
      </w:tr>
      <w:tr>
        <w:trPr/>
        <w:tc>
          <w:tcPr>
            <w:tcW w:w="4649" w:type="dxa"/>
            <w:tcBorders/>
            <w:shd w:color="auto" w:fill="E8EEF7" w:val="clear"/>
          </w:tcPr>
          <w:p>
            <w:pPr>
              <w:pStyle w:val="Normal"/>
              <w:widowControl/>
              <w:spacing w:before="0" w:after="120"/>
              <w:jc w:val="left"/>
              <w:rPr>
                <w:rFonts w:cs=""/>
                <w:kern w:val="0"/>
                <w:szCs w:val="22"/>
                <w:lang w:val="en-US" w:eastAsia="en-US" w:bidi="ar-SA"/>
              </w:rPr>
            </w:pPr>
            <w:r>
              <w:rPr>
                <w:rFonts w:cs=""/>
                <w:b/>
                <w:kern w:val="0"/>
                <w:szCs w:val="22"/>
                <w:lang w:val="en-US" w:eastAsia="en-US" w:bidi="ar-SA"/>
              </w:rPr>
              <w:t>Repositorio</w:t>
            </w:r>
          </w:p>
        </w:tc>
        <w:tc>
          <w:tcPr>
            <w:tcW w:w="4648" w:type="dxa"/>
            <w:tcBorders/>
          </w:tcPr>
          <w:p>
            <w:pPr>
              <w:pStyle w:val="Normal"/>
              <w:widowControl/>
              <w:spacing w:before="0" w:after="120"/>
              <w:jc w:val="left"/>
              <w:rPr>
                <w:rFonts w:cs=""/>
                <w:kern w:val="0"/>
                <w:szCs w:val="22"/>
                <w:lang w:val="en-US" w:eastAsia="en-US" w:bidi="ar-SA"/>
              </w:rPr>
            </w:pPr>
            <w:r>
              <w:rPr>
                <w:rFonts w:cs=""/>
                <w:kern w:val="0"/>
                <w:szCs w:val="22"/>
                <w:lang w:val="en-US" w:eastAsia="en-US" w:bidi="ar-SA"/>
              </w:rPr>
              <w:t>https://github.com/ThiagoIcochea/LaboratorioSemana10</w:t>
            </w:r>
          </w:p>
        </w:tc>
      </w:tr>
    </w:tbl>
    <w:p>
      <w:pPr>
        <w:pStyle w:val="Normal"/>
        <w:spacing w:before="0" w:after="800"/>
        <w:rPr/>
      </w:pPr>
      <w:r>
        <w:rPr/>
      </w:r>
    </w:p>
    <w:p>
      <w:pPr>
        <w:pStyle w:val="Normal"/>
        <w:jc w:val="center"/>
        <w:rPr/>
      </w:pPr>
      <w:r>
        <w:rPr>
          <w:b w:val="false"/>
          <w:sz w:val="24"/>
        </w:rPr>
        <w:t>Lima – Perú, 2026</w:t>
      </w:r>
    </w:p>
    <w:p>
      <w:pPr>
        <w:pStyle w:val="Normal"/>
        <w:rPr/>
      </w:pPr>
      <w:r>
        <w:rPr/>
      </w:r>
      <w:r>
        <w:br w:type="page"/>
      </w:r>
    </w:p>
    <w:p>
      <w:pPr>
        <w:pStyle w:val="Normal"/>
        <w:spacing w:before="0" w:after="160"/>
        <w:rPr/>
      </w:pPr>
      <w:r>
        <w:rPr>
          <w:b/>
          <w:color w:val="1F3864"/>
          <w:sz w:val="30"/>
        </w:rPr>
        <w:t>Contenido</w:t>
      </w:r>
    </w:p>
    <w:sdt>
      <w:sdtPr>
        <w:docPartObj>
          <w:docPartGallery w:val="Table of Contents"/>
          <w:docPartUnique w:val="true"/>
        </w:docPartObj>
      </w:sdtPr>
      <w:sdtContent>
        <w:p>
          <w:pPr>
            <w:pStyle w:val="TOC1"/>
            <w:tabs>
              <w:tab w:val="clear" w:pos="9298"/>
              <w:tab w:val="right" w:pos="9297" w:leader="dot"/>
            </w:tabs>
            <w:rPr/>
          </w:pPr>
          <w:r>
            <w:fldChar w:fldCharType="begin"/>
          </w:r>
          <w:r>
            <w:rPr>
              <w:webHidden/>
              <w:rStyle w:val="IndexLink"/>
            </w:rPr>
            <w:instrText xml:space="preserve"> TOC \z \o "1-3" \u \h</w:instrText>
          </w:r>
          <w:r>
            <w:rPr>
              <w:webHidden/>
              <w:rStyle w:val="IndexLink"/>
            </w:rPr>
            <w:fldChar w:fldCharType="separate"/>
          </w:r>
          <w:hyperlink w:anchor="__RefHeading___Toc3958_4040047475">
            <w:r>
              <w:rPr>
                <w:webHidden/>
                <w:rStyle w:val="IndexLink"/>
              </w:rPr>
              <w:t>1. Resumen ejecutivo</w:t>
              <w:tab/>
              <w:t>4</w:t>
            </w:r>
          </w:hyperlink>
        </w:p>
        <w:p>
          <w:pPr>
            <w:pStyle w:val="TOC1"/>
            <w:tabs>
              <w:tab w:val="clear" w:pos="9298"/>
              <w:tab w:val="right" w:pos="9297" w:leader="dot"/>
            </w:tabs>
            <w:rPr/>
          </w:pPr>
          <w:hyperlink w:anchor="__RefHeading___Toc3960_4040047475">
            <w:r>
              <w:rPr>
                <w:webHidden/>
                <w:rStyle w:val="IndexLink"/>
              </w:rPr>
              <w:t>2. Objetivos</w:t>
              <w:tab/>
              <w:t>4</w:t>
            </w:r>
          </w:hyperlink>
        </w:p>
        <w:p>
          <w:pPr>
            <w:pStyle w:val="TOC2"/>
            <w:tabs>
              <w:tab w:val="clear" w:pos="9015"/>
              <w:tab w:val="right" w:pos="9297" w:leader="dot"/>
            </w:tabs>
            <w:rPr/>
          </w:pPr>
          <w:hyperlink w:anchor="__RefHeading___Toc3962_4040047475">
            <w:r>
              <w:rPr>
                <w:webHidden/>
                <w:rStyle w:val="IndexLink"/>
              </w:rPr>
              <w:t>2.1. Objetivo general</w:t>
              <w:tab/>
              <w:t>4</w:t>
            </w:r>
          </w:hyperlink>
        </w:p>
        <w:p>
          <w:pPr>
            <w:pStyle w:val="TOC2"/>
            <w:tabs>
              <w:tab w:val="clear" w:pos="9015"/>
              <w:tab w:val="right" w:pos="9297" w:leader="dot"/>
            </w:tabs>
            <w:rPr/>
          </w:pPr>
          <w:hyperlink w:anchor="__RefHeading___Toc3964_4040047475">
            <w:r>
              <w:rPr>
                <w:webHidden/>
                <w:rStyle w:val="IndexLink"/>
              </w:rPr>
              <w:t>2.2. Objetivos específicos</w:t>
              <w:tab/>
              <w:t>4</w:t>
            </w:r>
          </w:hyperlink>
        </w:p>
        <w:p>
          <w:pPr>
            <w:pStyle w:val="TOC1"/>
            <w:tabs>
              <w:tab w:val="clear" w:pos="9298"/>
              <w:tab w:val="right" w:pos="9297" w:leader="dot"/>
            </w:tabs>
            <w:rPr/>
          </w:pPr>
          <w:hyperlink w:anchor="__RefHeading___Toc3966_4040047475">
            <w:r>
              <w:rPr>
                <w:webHidden/>
                <w:rStyle w:val="IndexLink"/>
              </w:rPr>
              <w:t>3. Fundamento conceptual</w:t>
              <w:tab/>
              <w:t>4</w:t>
            </w:r>
          </w:hyperlink>
        </w:p>
        <w:p>
          <w:pPr>
            <w:pStyle w:val="TOC1"/>
            <w:tabs>
              <w:tab w:val="clear" w:pos="9298"/>
              <w:tab w:val="right" w:pos="9297" w:leader="dot"/>
            </w:tabs>
            <w:rPr/>
          </w:pPr>
          <w:hyperlink w:anchor="__RefHeading___Toc3968_4040047475">
            <w:r>
              <w:rPr>
                <w:webHidden/>
                <w:rStyle w:val="IndexLink"/>
              </w:rPr>
              <w:t>4. Entorno y arquitectura</w:t>
              <w:tab/>
              <w:t>6</w:t>
            </w:r>
          </w:hyperlink>
        </w:p>
        <w:p>
          <w:pPr>
            <w:pStyle w:val="TOC2"/>
            <w:tabs>
              <w:tab w:val="clear" w:pos="9015"/>
              <w:tab w:val="right" w:pos="9297" w:leader="dot"/>
            </w:tabs>
            <w:rPr/>
          </w:pPr>
          <w:hyperlink w:anchor="__RefHeading___Toc3970_4040047475">
            <w:r>
              <w:rPr>
                <w:webHidden/>
                <w:rStyle w:val="IndexLink"/>
              </w:rPr>
              <w:t>4.1. Entorno de ejecución</w:t>
              <w:tab/>
              <w:t>6</w:t>
            </w:r>
          </w:hyperlink>
        </w:p>
        <w:p>
          <w:pPr>
            <w:pStyle w:val="TOC2"/>
            <w:tabs>
              <w:tab w:val="clear" w:pos="9015"/>
              <w:tab w:val="right" w:pos="9297" w:leader="dot"/>
            </w:tabs>
            <w:rPr/>
          </w:pPr>
          <w:hyperlink w:anchor="__RefHeading___Toc3972_4040047475">
            <w:r>
              <w:rPr>
                <w:webHidden/>
                <w:rStyle w:val="IndexLink"/>
              </w:rPr>
              <w:t>4.2. Arquitectura implementada y flujo de métricas</w:t>
              <w:tab/>
              <w:t>7</w:t>
            </w:r>
          </w:hyperlink>
        </w:p>
        <w:p>
          <w:pPr>
            <w:pStyle w:val="TOC2"/>
            <w:tabs>
              <w:tab w:val="clear" w:pos="9015"/>
              <w:tab w:val="right" w:pos="9297" w:leader="dot"/>
            </w:tabs>
            <w:rPr/>
          </w:pPr>
          <w:hyperlink w:anchor="__RefHeading___Toc3974_4040047475">
            <w:r>
              <w:rPr>
                <w:webHidden/>
                <w:rStyle w:val="IndexLink"/>
              </w:rPr>
              <w:t>4.3. Configuraciones esenciales</w:t>
              <w:tab/>
              <w:t>7</w:t>
            </w:r>
          </w:hyperlink>
        </w:p>
        <w:p>
          <w:pPr>
            <w:pStyle w:val="TOC1"/>
            <w:tabs>
              <w:tab w:val="clear" w:pos="9298"/>
              <w:tab w:val="right" w:pos="9297" w:leader="dot"/>
            </w:tabs>
            <w:rPr/>
          </w:pPr>
          <w:hyperlink w:anchor="__RefHeading___Toc3976_4040047475">
            <w:r>
              <w:rPr>
                <w:webHidden/>
                <w:rStyle w:val="IndexLink"/>
              </w:rPr>
              <w:t>5. Procedimiento</w:t>
              <w:tab/>
              <w:t>8</w:t>
            </w:r>
          </w:hyperlink>
        </w:p>
        <w:p>
          <w:pPr>
            <w:pStyle w:val="TOC1"/>
            <w:tabs>
              <w:tab w:val="clear" w:pos="9298"/>
              <w:tab w:val="right" w:pos="9297" w:leader="dot"/>
            </w:tabs>
            <w:rPr/>
          </w:pPr>
          <w:hyperlink w:anchor="__RefHeading___Toc3978_4040047475">
            <w:r>
              <w:rPr>
                <w:webHidden/>
                <w:rStyle w:val="IndexLink"/>
              </w:rPr>
              <w:t>6. Resultados</w:t>
              <w:tab/>
              <w:t>9</w:t>
            </w:r>
          </w:hyperlink>
        </w:p>
        <w:p>
          <w:pPr>
            <w:pStyle w:val="TOC2"/>
            <w:tabs>
              <w:tab w:val="clear" w:pos="9015"/>
              <w:tab w:val="right" w:pos="9297" w:leader="dot"/>
            </w:tabs>
            <w:rPr/>
          </w:pPr>
          <w:hyperlink w:anchor="__RefHeading___Toc3980_4040047475">
            <w:r>
              <w:rPr>
                <w:webHidden/>
                <w:rStyle w:val="IndexLink"/>
              </w:rPr>
              <w:t>6.1. Inventario de métricas</w:t>
              <w:tab/>
              <w:t>9</w:t>
            </w:r>
          </w:hyperlink>
        </w:p>
        <w:p>
          <w:pPr>
            <w:pStyle w:val="TOC2"/>
            <w:tabs>
              <w:tab w:val="clear" w:pos="9015"/>
              <w:tab w:val="right" w:pos="9297" w:leader="dot"/>
            </w:tabs>
            <w:rPr/>
          </w:pPr>
          <w:hyperlink w:anchor="__RefHeading___Toc3982_4040047475">
            <w:r>
              <w:rPr>
                <w:webHidden/>
                <w:rStyle w:val="IndexLink"/>
              </w:rPr>
              <w:t>6.2. Línea base</w:t>
              <w:tab/>
              <w:t>10</w:t>
            </w:r>
          </w:hyperlink>
        </w:p>
        <w:p>
          <w:pPr>
            <w:pStyle w:val="TOC2"/>
            <w:tabs>
              <w:tab w:val="clear" w:pos="9015"/>
              <w:tab w:val="right" w:pos="9297" w:leader="dot"/>
            </w:tabs>
            <w:rPr/>
          </w:pPr>
          <w:hyperlink w:anchor="__RefHeading___Toc3984_4040047475">
            <w:r>
              <w:rPr>
                <w:webHidden/>
                <w:rStyle w:val="IndexLink"/>
              </w:rPr>
              <w:t>6.3. Incidente</w:t>
              <w:tab/>
              <w:t>11</w:t>
            </w:r>
          </w:hyperlink>
        </w:p>
        <w:p>
          <w:pPr>
            <w:pStyle w:val="TOC2"/>
            <w:tabs>
              <w:tab w:val="clear" w:pos="9015"/>
              <w:tab w:val="right" w:pos="9297" w:leader="dot"/>
            </w:tabs>
            <w:rPr/>
          </w:pPr>
          <w:hyperlink w:anchor="__RefHeading___Toc3986_4040047475">
            <w:r>
              <w:rPr>
                <w:webHidden/>
                <w:rStyle w:val="IndexLink"/>
              </w:rPr>
              <w:t>6.4. Recuperación</w:t>
              <w:tab/>
              <w:t>15</w:t>
            </w:r>
          </w:hyperlink>
        </w:p>
        <w:p>
          <w:pPr>
            <w:pStyle w:val="TOC2"/>
            <w:tabs>
              <w:tab w:val="clear" w:pos="9015"/>
              <w:tab w:val="right" w:pos="9297" w:leader="dot"/>
            </w:tabs>
            <w:rPr/>
          </w:pPr>
          <w:hyperlink w:anchor="__RefHeading___Toc3988_4040047475">
            <w:r>
              <w:rPr>
                <w:webHidden/>
                <w:rStyle w:val="IndexLink"/>
              </w:rPr>
              <w:t>6.5. Consultas PromQL</w:t>
              <w:tab/>
              <w:t>16</w:t>
            </w:r>
          </w:hyperlink>
        </w:p>
        <w:p>
          <w:pPr>
            <w:pStyle w:val="TOC2"/>
            <w:tabs>
              <w:tab w:val="clear" w:pos="9015"/>
              <w:tab w:val="right" w:pos="9297" w:leader="dot"/>
            </w:tabs>
            <w:rPr/>
          </w:pPr>
          <w:hyperlink w:anchor="__RefHeading___Toc3990_4040047475">
            <w:r>
              <w:rPr>
                <w:webHidden/>
                <w:rStyle w:val="IndexLink"/>
              </w:rPr>
              <w:t>6.6. Alertas</w:t>
              <w:tab/>
              <w:t>17</w:t>
            </w:r>
          </w:hyperlink>
        </w:p>
        <w:p>
          <w:pPr>
            <w:pStyle w:val="TOC1"/>
            <w:tabs>
              <w:tab w:val="clear" w:pos="9298"/>
              <w:tab w:val="right" w:pos="9297" w:leader="dot"/>
            </w:tabs>
            <w:rPr/>
          </w:pPr>
          <w:hyperlink w:anchor="__RefHeading___Toc3992_4040047475">
            <w:r>
              <w:rPr>
                <w:webHidden/>
                <w:rStyle w:val="IndexLink"/>
              </w:rPr>
              <w:t>7. Análisis del fallo</w:t>
              <w:tab/>
              <w:t>18</w:t>
            </w:r>
          </w:hyperlink>
        </w:p>
        <w:p>
          <w:pPr>
            <w:pStyle w:val="TOC2"/>
            <w:tabs>
              <w:tab w:val="clear" w:pos="9015"/>
              <w:tab w:val="right" w:pos="9297" w:leader="dot"/>
            </w:tabs>
            <w:rPr/>
          </w:pPr>
          <w:hyperlink w:anchor="__RefHeading___Toc3994_4040047475">
            <w:r>
              <w:rPr>
                <w:webHidden/>
                <w:rStyle w:val="IndexLink"/>
              </w:rPr>
              <w:t>7.1. Línea temporal</w:t>
              <w:tab/>
              <w:t>18</w:t>
            </w:r>
          </w:hyperlink>
        </w:p>
        <w:p>
          <w:pPr>
            <w:pStyle w:val="TOC2"/>
            <w:tabs>
              <w:tab w:val="clear" w:pos="9015"/>
              <w:tab w:val="right" w:pos="9297" w:leader="dot"/>
            </w:tabs>
            <w:rPr/>
          </w:pPr>
          <w:hyperlink w:anchor="__RefHeading___Toc3996_4040047475">
            <w:r>
              <w:rPr>
                <w:webHidden/>
                <w:rStyle w:val="IndexLink"/>
              </w:rPr>
              <w:t>7.2. Hoja de análisis del incidente</w:t>
              <w:tab/>
              <w:t>19</w:t>
            </w:r>
          </w:hyperlink>
        </w:p>
        <w:p>
          <w:pPr>
            <w:pStyle w:val="TOC2"/>
            <w:tabs>
              <w:tab w:val="clear" w:pos="9015"/>
              <w:tab w:val="right" w:pos="9297" w:leader="dot"/>
            </w:tabs>
            <w:rPr/>
          </w:pPr>
          <w:hyperlink w:anchor="__RefHeading___Toc3998_4040047475">
            <w:r>
              <w:rPr>
                <w:webHidden/>
                <w:rStyle w:val="IndexLink"/>
              </w:rPr>
              <w:t>7.3. Correlación de señales y contraste de hipótesis</w:t>
              <w:tab/>
              <w:t>20</w:t>
            </w:r>
          </w:hyperlink>
        </w:p>
        <w:p>
          <w:pPr>
            <w:pStyle w:val="TOC2"/>
            <w:tabs>
              <w:tab w:val="clear" w:pos="9015"/>
              <w:tab w:val="right" w:pos="9297" w:leader="dot"/>
            </w:tabs>
            <w:rPr/>
          </w:pPr>
          <w:hyperlink w:anchor="__RefHeading___Toc4000_4040047475">
            <w:r>
              <w:rPr>
                <w:webHidden/>
                <w:rStyle w:val="IndexLink"/>
              </w:rPr>
              <w:t>7.4. Diagnóstico argumentado</w:t>
              <w:tab/>
              <w:t>21</w:t>
            </w:r>
          </w:hyperlink>
        </w:p>
        <w:p>
          <w:pPr>
            <w:pStyle w:val="TOC2"/>
            <w:tabs>
              <w:tab w:val="clear" w:pos="9015"/>
              <w:tab w:val="right" w:pos="9297" w:leader="dot"/>
            </w:tabs>
            <w:rPr/>
          </w:pPr>
          <w:hyperlink w:anchor="__RefHeading___Toc4002_4040047475">
            <w:r>
              <w:rPr>
                <w:webHidden/>
                <w:rStyle w:val="IndexLink"/>
              </w:rPr>
              <w:t>7.5. Limitaciones del análisis</w:t>
              <w:tab/>
              <w:t>21</w:t>
            </w:r>
          </w:hyperlink>
        </w:p>
        <w:p>
          <w:pPr>
            <w:pStyle w:val="TOC1"/>
            <w:tabs>
              <w:tab w:val="clear" w:pos="9298"/>
              <w:tab w:val="right" w:pos="9297" w:leader="dot"/>
            </w:tabs>
            <w:rPr/>
          </w:pPr>
          <w:hyperlink w:anchor="__RefHeading___Toc4004_4040047475">
            <w:r>
              <w:rPr>
                <w:webHidden/>
                <w:rStyle w:val="IndexLink"/>
              </w:rPr>
              <w:t>8. Propuesta de mejora</w:t>
              <w:tab/>
              <w:t>21</w:t>
            </w:r>
          </w:hyperlink>
        </w:p>
        <w:p>
          <w:pPr>
            <w:pStyle w:val="TOC2"/>
            <w:tabs>
              <w:tab w:val="clear" w:pos="9015"/>
              <w:tab w:val="right" w:pos="9297" w:leader="dot"/>
            </w:tabs>
            <w:rPr/>
          </w:pPr>
          <w:hyperlink w:anchor="__RefHeading___Toc4006_4040047475">
            <w:r>
              <w:rPr>
                <w:webHidden/>
                <w:rStyle w:val="IndexLink"/>
              </w:rPr>
              <w:t>8.1. Acción correctiva inmediata</w:t>
              <w:tab/>
              <w:t>21</w:t>
            </w:r>
          </w:hyperlink>
        </w:p>
        <w:p>
          <w:pPr>
            <w:pStyle w:val="TOC2"/>
            <w:tabs>
              <w:tab w:val="clear" w:pos="9015"/>
              <w:tab w:val="right" w:pos="9297" w:leader="dot"/>
            </w:tabs>
            <w:rPr/>
          </w:pPr>
          <w:hyperlink w:anchor="__RefHeading___Toc4008_4040047475">
            <w:r>
              <w:rPr>
                <w:webHidden/>
                <w:rStyle w:val="IndexLink"/>
              </w:rPr>
              <w:t>8.2. Medidas preventivas</w:t>
              <w:tab/>
              <w:t>21</w:t>
            </w:r>
          </w:hyperlink>
        </w:p>
        <w:p>
          <w:pPr>
            <w:pStyle w:val="TOC2"/>
            <w:tabs>
              <w:tab w:val="clear" w:pos="9015"/>
              <w:tab w:val="right" w:pos="9297" w:leader="dot"/>
            </w:tabs>
            <w:rPr/>
          </w:pPr>
          <w:hyperlink w:anchor="__RefHeading___Toc4010_4040047475">
            <w:r>
              <w:rPr>
                <w:webHidden/>
                <w:rStyle w:val="IndexLink"/>
              </w:rPr>
              <w:t>8.3. Reglas de alerta y umbrales justificados</w:t>
              <w:tab/>
              <w:t>22</w:t>
            </w:r>
          </w:hyperlink>
        </w:p>
        <w:p>
          <w:pPr>
            <w:pStyle w:val="TOC2"/>
            <w:tabs>
              <w:tab w:val="clear" w:pos="9015"/>
              <w:tab w:val="right" w:pos="9297" w:leader="dot"/>
            </w:tabs>
            <w:rPr/>
          </w:pPr>
          <w:hyperlink w:anchor="__RefHeading___Toc4012_4040047475">
            <w:r>
              <w:rPr>
                <w:webHidden/>
                <w:rStyle w:val="IndexLink"/>
              </w:rPr>
              <w:t>8.4. Métricas de seguimiento y verificación de la recuperación</w:t>
              <w:tab/>
              <w:t>22</w:t>
            </w:r>
          </w:hyperlink>
        </w:p>
        <w:p>
          <w:pPr>
            <w:pStyle w:val="TOC1"/>
            <w:tabs>
              <w:tab w:val="clear" w:pos="9298"/>
              <w:tab w:val="right" w:pos="9297" w:leader="dot"/>
            </w:tabs>
            <w:rPr/>
          </w:pPr>
          <w:hyperlink w:anchor="__RefHeading___Toc4014_4040047475">
            <w:r>
              <w:rPr>
                <w:webHidden/>
                <w:rStyle w:val="IndexLink"/>
              </w:rPr>
              <w:t>9. Conclusiones</w:t>
              <w:tab/>
              <w:t>22</w:t>
            </w:r>
          </w:hyperlink>
        </w:p>
        <w:p>
          <w:pPr>
            <w:pStyle w:val="TOC1"/>
            <w:tabs>
              <w:tab w:val="clear" w:pos="9298"/>
              <w:tab w:val="right" w:pos="9297" w:leader="dot"/>
            </w:tabs>
            <w:rPr/>
          </w:pPr>
          <w:hyperlink w:anchor="__RefHeading___Toc4016_4040047475">
            <w:r>
              <w:rPr>
                <w:webHidden/>
                <w:rStyle w:val="IndexLink"/>
              </w:rPr>
              <w:t>10. Referencias bibliográficas</w:t>
              <w:tab/>
              <w:t>23</w:t>
            </w:r>
          </w:hyperlink>
        </w:p>
        <w:p>
          <w:pPr>
            <w:pStyle w:val="TOC1"/>
            <w:tabs>
              <w:tab w:val="clear" w:pos="9298"/>
              <w:tab w:val="right" w:pos="9297" w:leader="dot"/>
            </w:tabs>
            <w:rPr/>
          </w:pPr>
          <w:hyperlink w:anchor="__RefHeading___Toc4018_4040047475">
            <w:r>
              <w:rPr>
                <w:webHidden/>
                <w:rStyle w:val="IndexLink"/>
              </w:rPr>
              <w:t>11. Cierre y metacognición</w:t>
              <w:tab/>
              <w:t>23</w:t>
            </w:r>
          </w:hyperlink>
        </w:p>
        <w:p>
          <w:pPr>
            <w:pStyle w:val="TOC1"/>
            <w:tabs>
              <w:tab w:val="clear" w:pos="9298"/>
              <w:tab w:val="right" w:pos="9297" w:leader="dot"/>
            </w:tabs>
            <w:rPr/>
          </w:pPr>
          <w:hyperlink w:anchor="__RefHeading___Toc4020_4040047475">
            <w:r>
              <w:rPr>
                <w:webHidden/>
                <w:rStyle w:val="IndexLink"/>
              </w:rPr>
              <w:t>12. Autoevaluación frente a la rúbrica</w:t>
              <w:tab/>
              <w:t>24</w:t>
            </w:r>
          </w:hyperlink>
        </w:p>
        <w:p>
          <w:pPr>
            <w:pStyle w:val="TOC1"/>
            <w:tabs>
              <w:tab w:val="clear" w:pos="9298"/>
              <w:tab w:val="right" w:pos="9297" w:leader="dot"/>
            </w:tabs>
            <w:rPr/>
          </w:pPr>
          <w:hyperlink w:anchor="__RefHeading___Toc4022_4040047475">
            <w:r>
              <w:rPr>
                <w:webHidden/>
                <w:rStyle w:val="IndexLink"/>
              </w:rPr>
              <w:t>13. Anexos</w:t>
              <w:tab/>
              <w:t>24</w:t>
            </w:r>
          </w:hyperlink>
        </w:p>
        <w:p>
          <w:pPr>
            <w:pStyle w:val="TOC2"/>
            <w:tabs>
              <w:tab w:val="clear" w:pos="9015"/>
              <w:tab w:val="right" w:pos="9297" w:leader="dot"/>
            </w:tabs>
            <w:rPr/>
          </w:pPr>
          <w:hyperlink w:anchor="__RefHeading___Toc4024_4040047475">
            <w:r>
              <w:rPr>
                <w:webHidden/>
                <w:rStyle w:val="IndexLink"/>
              </w:rPr>
              <w:t>Anexo A. Consultas PromQL completas</w:t>
              <w:tab/>
              <w:t>24</w:t>
            </w:r>
          </w:hyperlink>
        </w:p>
        <w:p>
          <w:pPr>
            <w:pStyle w:val="TOC2"/>
            <w:tabs>
              <w:tab w:val="clear" w:pos="9015"/>
              <w:tab w:val="right" w:pos="9297" w:leader="dot"/>
            </w:tabs>
            <w:rPr/>
          </w:pPr>
          <w:hyperlink w:anchor="__RefHeading___Toc4026_4040047475">
            <w:r>
              <w:rPr>
                <w:webHidden/>
                <w:rStyle w:val="IndexLink"/>
              </w:rPr>
              <w:t>Anexo B. Reglas de registro y de alerta (prometheus/alerts.yml)</w:t>
              <w:tab/>
              <w:t>25</w:t>
            </w:r>
          </w:hyperlink>
        </w:p>
        <w:p>
          <w:pPr>
            <w:pStyle w:val="TOC2"/>
            <w:tabs>
              <w:tab w:val="clear" w:pos="9015"/>
              <w:tab w:val="right" w:pos="9297" w:leader="dot"/>
            </w:tabs>
            <w:rPr/>
          </w:pPr>
          <w:hyperlink w:anchor="__RefHeading___Toc4028_4040047475">
            <w:r>
              <w:rPr>
                <w:webHidden/>
                <w:rStyle w:val="IndexLink"/>
              </w:rPr>
              <w:t>Anexo C. Fragmento de instrumentación y modo de fallo (application/app.py)</w:t>
              <w:tab/>
              <w:t>26</w:t>
            </w:r>
          </w:hyperlink>
        </w:p>
        <w:p>
          <w:pPr>
            <w:pStyle w:val="TOC2"/>
            <w:tabs>
              <w:tab w:val="clear" w:pos="9015"/>
              <w:tab w:val="right" w:pos="9297" w:leader="dot"/>
            </w:tabs>
            <w:rPr/>
          </w:pPr>
          <w:hyperlink w:anchor="__RefHeading___Toc4030_4040047475">
            <w:r>
              <w:rPr>
                <w:webHidden/>
                <w:rStyle w:val="IndexLink"/>
              </w:rPr>
              <w:t>Anexo D. Scripts y datos exportados</w:t>
              <w:tab/>
              <w:t>27</w:t>
            </w:r>
          </w:hyperlink>
        </w:p>
        <w:p>
          <w:pPr>
            <w:pStyle w:val="TOC2"/>
            <w:tabs>
              <w:tab w:val="clear" w:pos="9015"/>
              <w:tab w:val="right" w:pos="9297" w:leader="dot"/>
            </w:tabs>
            <w:rPr/>
          </w:pPr>
          <w:hyperlink w:anchor="__RefHeading___Toc4032_4040047475">
            <w:r>
              <w:rPr>
                <w:webHidden/>
                <w:rStyle w:val="IndexLink"/>
              </w:rPr>
              <w:t>Anexo E. Evidencias complementarias</w:t>
              <w:tab/>
              <w:t>27</w:t>
            </w:r>
          </w:hyperlink>
          <w:r>
            <w:rPr>
              <w:rStyle w:val="IndexLink"/>
            </w:rPr>
            <w:fldChar w:fldCharType="end"/>
          </w:r>
        </w:p>
      </w:sdtContent>
    </w:sdt>
    <w:p>
      <w:pPr>
        <w:pStyle w:val="Normal"/>
        <w:widowControl/>
        <w:bidi w:val="0"/>
        <w:spacing w:lineRule="auto" w:line="276" w:before="0" w:after="120"/>
        <w:jc w:val="left"/>
        <w:rPr>
          <w:rFonts w:ascii="Calibri" w:hAnsi="Calibri" w:eastAsia="Calibri"/>
          <w:sz w:val="22"/>
        </w:rPr>
      </w:pPr>
      <w:r>
        <w:rPr>
          <w:rFonts w:eastAsia="Calibri"/>
          <w:sz w:val="22"/>
        </w:rPr>
      </w:r>
      <w:r>
        <w:br w:type="page"/>
      </w:r>
    </w:p>
    <w:p>
      <w:pPr>
        <w:pStyle w:val="Heading1"/>
        <w:spacing w:before="0" w:after="120"/>
        <w:rPr/>
      </w:pPr>
      <w:bookmarkStart w:id="0" w:name="__RefHeading___Toc3958_4040047475"/>
      <w:bookmarkEnd w:id="0"/>
      <w:r>
        <w:rPr/>
        <w:t>1. Resumen ejecutivo</w:t>
      </w:r>
    </w:p>
    <w:p>
      <w:pPr>
        <w:pStyle w:val="Normal"/>
        <w:jc w:val="both"/>
        <w:rPr/>
      </w:pPr>
      <w:r>
        <w:rPr>
          <w:b w:val="false"/>
        </w:rPr>
        <w:t>Este laboratorio tuvo como objetivo comprender y aplicar el monitoreo en la nube mediante métricas almacenadas en una base de datos de series temporales. Se implementó una aplicación web instrumentada, node_exporter, Prometheus 3.5.0 como recolector y TSDB, reglas de alerta y un dashboard de Grafana provisionado, empaquetados con Docker Compose para GitHub Codespaces. Con tráfico constante de 8 peticiones por segundo se registró una línea base, luego se degradó de forma controlada la dependencia interna inventario-db durante cinco minutos y finalmente se verificó la recuperación. Durante el incidente, la latencia p95 pasó de 54,7 ms a 2,20 s y los errores 5xx de 0,04 % a 32,4 %, mientras la CPU del host se mantuvo por debajo del 4 % y la memoria disponible sobre el 92 %. La correlación de estas señales descartó la presión de recursos y señaló a la dependencia como causa. Las alertas dispararon unos 75 segundos después del inicio. Se recomienda aplicar timeouts y un cortacircuitos hacia la dependencia, además de alertar sobre su latencia.</w:t>
      </w:r>
    </w:p>
    <w:p>
      <w:pPr>
        <w:pStyle w:val="Heading1"/>
        <w:rPr/>
      </w:pPr>
      <w:bookmarkStart w:id="1" w:name="__RefHeading___Toc3960_4040047475"/>
      <w:bookmarkEnd w:id="1"/>
      <w:r>
        <w:rPr/>
        <w:t>2. Objetivos</w:t>
      </w:r>
    </w:p>
    <w:p>
      <w:pPr>
        <w:pStyle w:val="Heading2"/>
        <w:rPr/>
      </w:pPr>
      <w:bookmarkStart w:id="2" w:name="__RefHeading___Toc3962_4040047475"/>
      <w:bookmarkEnd w:id="2"/>
      <w:r>
        <w:rPr/>
        <w:t>2.1. Objetivo general</w:t>
      </w:r>
    </w:p>
    <w:p>
      <w:pPr>
        <w:pStyle w:val="Normal"/>
        <w:jc w:val="both"/>
        <w:rPr/>
      </w:pPr>
      <w:r>
        <w:rPr>
          <w:b w:val="false"/>
        </w:rPr>
        <w:t>Explicar los sistemas de monitoreo en la nube y analizar la gestión de métricas en bases de datos de series temporales mediante un caso de fallo de infraestructura reproducido de forma controlada (logro de la sesión).</w:t>
      </w:r>
    </w:p>
    <w:p>
      <w:pPr>
        <w:pStyle w:val="Heading2"/>
        <w:rPr/>
      </w:pPr>
      <w:bookmarkStart w:id="3" w:name="__RefHeading___Toc3964_4040047475"/>
      <w:bookmarkEnd w:id="3"/>
      <w:r>
        <w:rPr/>
        <w:t>2.2. Objetivos específicos</w:t>
      </w:r>
    </w:p>
    <w:p>
      <w:pPr>
        <w:pStyle w:val="ListBullet"/>
        <w:numPr>
          <w:ilvl w:val="0"/>
          <w:numId w:val="1"/>
        </w:numPr>
        <w:spacing w:before="0" w:after="60"/>
        <w:contextualSpacing/>
        <w:jc w:val="both"/>
        <w:rPr/>
      </w:pPr>
      <w:r>
        <w:rPr>
          <w:b w:val="false"/>
        </w:rPr>
        <w:t>Implementar una arquitectura de monitoreo reproducible (fuente de métricas → Prometheus/TSDB → PromQL → Grafana → alertas) y explicar la función de cada componente.</w:t>
      </w:r>
    </w:p>
    <w:p>
      <w:pPr>
        <w:pStyle w:val="ListBullet"/>
        <w:numPr>
          <w:ilvl w:val="0"/>
          <w:numId w:val="1"/>
        </w:numPr>
        <w:spacing w:before="0" w:after="60"/>
        <w:contextualSpacing/>
        <w:jc w:val="both"/>
        <w:rPr/>
      </w:pPr>
      <w:r>
        <w:rPr>
          <w:b w:val="false"/>
        </w:rPr>
        <w:t>Construir un inventario de métricas reales con su significado, unidad, etiquetas y comportamiento esperado.</w:t>
      </w:r>
    </w:p>
    <w:p>
      <w:pPr>
        <w:pStyle w:val="ListBullet"/>
        <w:numPr>
          <w:ilvl w:val="0"/>
          <w:numId w:val="1"/>
        </w:numPr>
        <w:spacing w:before="0" w:after="60"/>
        <w:contextualSpacing/>
        <w:jc w:val="both"/>
        <w:rPr/>
      </w:pPr>
      <w:r>
        <w:rPr>
          <w:b w:val="false"/>
        </w:rPr>
        <w:t>Registrar la línea base del servicio y compararla con el intervalo de incidente y de recuperación mediante consultas PromQL.</w:t>
      </w:r>
    </w:p>
    <w:p>
      <w:pPr>
        <w:pStyle w:val="ListBullet"/>
        <w:numPr>
          <w:ilvl w:val="0"/>
          <w:numId w:val="1"/>
        </w:numPr>
        <w:spacing w:before="0" w:after="60"/>
        <w:contextualSpacing/>
        <w:jc w:val="both"/>
        <w:rPr/>
      </w:pPr>
      <w:r>
        <w:rPr>
          <w:b w:val="false"/>
        </w:rPr>
        <w:t>Contrastar hipótesis (CPU, memoria, E/S, dependencia) correlacionando al menos tres señales temporales.</w:t>
      </w:r>
    </w:p>
    <w:p>
      <w:pPr>
        <w:pStyle w:val="ListBullet"/>
        <w:numPr>
          <w:ilvl w:val="0"/>
          <w:numId w:val="1"/>
        </w:numPr>
        <w:spacing w:before="0" w:after="60"/>
        <w:contextualSpacing/>
        <w:jc w:val="both"/>
        <w:rPr/>
      </w:pPr>
      <w:r>
        <w:rPr>
          <w:b w:val="false"/>
        </w:rPr>
        <w:t>Proponer acciones correctivas, preventivas y reglas de alerta con umbrales justificados por los datos.</w:t>
      </w:r>
    </w:p>
    <w:p>
      <w:pPr>
        <w:pStyle w:val="Normal"/>
        <w:keepNext w:val="true"/>
        <w:spacing w:before="0" w:after="60"/>
        <w:rPr/>
      </w:pPr>
      <w:r>
        <w:rPr>
          <w:b/>
        </w:rPr>
        <w:t xml:space="preserve">Tabla 1. </w:t>
      </w:r>
      <w:r>
        <w:rPr>
          <w:b w:val="false"/>
          <w:i/>
        </w:rPr>
        <w:t>Correspondencia entre los resultados de aprendizaje y las evidencias</w:t>
      </w:r>
    </w:p>
    <w:tbl>
      <w:tblPr>
        <w:tblStyle w:val="TableGrid"/>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49"/>
        <w:gridCol w:w="4648"/>
      </w:tblGrid>
      <w:tr>
        <w:trPr>
          <w:tblHeader w:val="true"/>
        </w:trPr>
        <w:tc>
          <w:tcPr>
            <w:tcW w:w="4649"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8"/>
                <w:szCs w:val="22"/>
                <w:lang w:val="en-US" w:eastAsia="en-US" w:bidi="ar-SA"/>
              </w:rPr>
              <w:t>Resultado específico de la guía</w:t>
            </w:r>
          </w:p>
        </w:tc>
        <w:tc>
          <w:tcPr>
            <w:tcW w:w="4648"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8"/>
                <w:szCs w:val="22"/>
                <w:lang w:val="en-US" w:eastAsia="en-US" w:bidi="ar-SA"/>
              </w:rPr>
              <w:t>Evidencia en este informe</w:t>
            </w:r>
          </w:p>
        </w:tc>
      </w:tr>
      <w:tr>
        <w:trPr/>
        <w:tc>
          <w:tcPr>
            <w:tcW w:w="464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Explica la arquitectura de un sistema de monitoreo en la nube</w:t>
            </w:r>
          </w:p>
        </w:tc>
        <w:tc>
          <w:tcPr>
            <w:tcW w:w="4648"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Sección 4, Figura 1 y Tabla 3</w:t>
            </w:r>
          </w:p>
        </w:tc>
      </w:tr>
      <w:tr>
        <w:trPr/>
        <w:tc>
          <w:tcPr>
            <w:tcW w:w="464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Distingue métricas de infraestructura y su dimensión temporal</w:t>
            </w:r>
          </w:p>
        </w:tc>
        <w:tc>
          <w:tcPr>
            <w:tcW w:w="4648"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Sección 6.1, Tabla 5 (inventario)</w:t>
            </w:r>
          </w:p>
        </w:tc>
      </w:tr>
      <w:tr>
        <w:trPr/>
        <w:tc>
          <w:tcPr>
            <w:tcW w:w="464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Analiza un fallo con datos temporales</w:t>
            </w:r>
          </w:p>
        </w:tc>
        <w:tc>
          <w:tcPr>
            <w:tcW w:w="4648"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Secciones 6.2–6.6 y 7 (consultas, figuras, hoja de análisis)</w:t>
            </w:r>
          </w:p>
        </w:tc>
      </w:tr>
      <w:tr>
        <w:trPr/>
        <w:tc>
          <w:tcPr>
            <w:tcW w:w="464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Propone acciones de respuesta y prevención</w:t>
            </w:r>
          </w:p>
        </w:tc>
        <w:tc>
          <w:tcPr>
            <w:tcW w:w="4648"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Sección 8 y reglas de alerta del Anexo B</w:t>
            </w:r>
          </w:p>
        </w:tc>
      </w:tr>
    </w:tbl>
    <w:p>
      <w:pPr>
        <w:pStyle w:val="Normal"/>
        <w:spacing w:before="0" w:after="40"/>
        <w:rPr/>
      </w:pPr>
      <w:r>
        <w:rPr/>
      </w:r>
    </w:p>
    <w:p>
      <w:pPr>
        <w:pStyle w:val="Heading1"/>
        <w:rPr/>
      </w:pPr>
      <w:bookmarkStart w:id="4" w:name="__RefHeading___Toc3966_4040047475"/>
      <w:bookmarkEnd w:id="4"/>
      <w:r>
        <w:rPr/>
        <w:t>3. Fundamento conceptual</w:t>
      </w:r>
    </w:p>
    <w:p>
      <w:pPr>
        <w:pStyle w:val="Normal"/>
        <w:keepNext w:val="true"/>
        <w:spacing w:before="0" w:after="60"/>
        <w:rPr/>
      </w:pPr>
      <w:r>
        <w:rPr>
          <w:b/>
        </w:rPr>
        <w:t xml:space="preserve">Tabla 2. </w:t>
      </w:r>
      <w:r>
        <w:rPr>
          <w:b w:val="false"/>
          <w:i/>
        </w:rPr>
        <w:t>Conceptos fundamentales del laboratorio</w:t>
      </w:r>
    </w:p>
    <w:tbl>
      <w:tblPr>
        <w:tblStyle w:val="TableGrid"/>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49"/>
        <w:gridCol w:w="4648"/>
      </w:tblGrid>
      <w:tr>
        <w:trPr>
          <w:tblHeader w:val="true"/>
        </w:trPr>
        <w:tc>
          <w:tcPr>
            <w:tcW w:w="4649"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9"/>
                <w:szCs w:val="22"/>
                <w:lang w:val="en-US" w:eastAsia="en-US" w:bidi="ar-SA"/>
              </w:rPr>
              <w:t>Concepto</w:t>
            </w:r>
          </w:p>
        </w:tc>
        <w:tc>
          <w:tcPr>
            <w:tcW w:w="4648"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9"/>
                <w:szCs w:val="22"/>
                <w:lang w:val="en-US" w:eastAsia="en-US" w:bidi="ar-SA"/>
              </w:rPr>
              <w:t>Explicación</w:t>
            </w:r>
          </w:p>
        </w:tc>
      </w:tr>
      <w:tr>
        <w:trPr/>
        <w:tc>
          <w:tcPr>
            <w:tcW w:w="4649" w:type="dxa"/>
            <w:tcBorders/>
          </w:tcPr>
          <w:p>
            <w:pPr>
              <w:pStyle w:val="Normal"/>
              <w:widowControl/>
              <w:spacing w:lineRule="auto" w:line="240" w:before="0" w:after="20"/>
              <w:jc w:val="left"/>
              <w:rPr>
                <w:rFonts w:cs=""/>
                <w:kern w:val="0"/>
                <w:szCs w:val="22"/>
                <w:lang w:val="en-US" w:eastAsia="en-US" w:bidi="ar-SA"/>
              </w:rPr>
            </w:pPr>
            <w:r>
              <w:rPr>
                <w:rFonts w:cs=""/>
                <w:b/>
                <w:kern w:val="0"/>
                <w:sz w:val="19"/>
                <w:szCs w:val="22"/>
                <w:lang w:val="en-US" w:eastAsia="en-US" w:bidi="ar-SA"/>
              </w:rPr>
              <w:t>Monitoreo</w:t>
            </w:r>
          </w:p>
        </w:tc>
        <w:tc>
          <w:tcPr>
            <w:tcW w:w="4648" w:type="dxa"/>
            <w:tcBorders/>
          </w:tcPr>
          <w:p>
            <w:pPr>
              <w:pStyle w:val="Normal"/>
              <w:widowControl/>
              <w:spacing w:lineRule="auto" w:line="240" w:before="0" w:after="20"/>
              <w:jc w:val="left"/>
              <w:rPr>
                <w:rFonts w:cs=""/>
                <w:kern w:val="0"/>
                <w:szCs w:val="22"/>
                <w:lang w:val="en-US" w:eastAsia="en-US" w:bidi="ar-SA"/>
              </w:rPr>
            </w:pPr>
            <w:r>
              <w:rPr>
                <w:rFonts w:cs=""/>
                <w:b w:val="false"/>
                <w:kern w:val="0"/>
                <w:sz w:val="19"/>
                <w:szCs w:val="22"/>
                <w:lang w:val="en-US" w:eastAsia="en-US" w:bidi="ar-SA"/>
              </w:rPr>
              <w:t>Proceso de obtener y seguir señales cuantitativas del comportamiento de aplicaciones e infraestructura para detectar desviaciones y apoyar decisiones operativas. Beyer et al. (2016) proponen vigilar cuatro «señales doradas»: latencia, tráfico, errores y saturación; este laboratorio mide las cuatro.</w:t>
            </w:r>
          </w:p>
        </w:tc>
      </w:tr>
      <w:tr>
        <w:trPr/>
        <w:tc>
          <w:tcPr>
            <w:tcW w:w="464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kern w:val="0"/>
                <w:sz w:val="19"/>
                <w:szCs w:val="22"/>
                <w:lang w:val="en-US" w:eastAsia="en-US" w:bidi="ar-SA"/>
              </w:rPr>
              <w:t>Observabilidad</w:t>
            </w:r>
          </w:p>
        </w:tc>
        <w:tc>
          <w:tcPr>
            <w:tcW w:w="4648"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9"/>
                <w:szCs w:val="22"/>
                <w:lang w:val="en-US" w:eastAsia="en-US" w:bidi="ar-SA"/>
              </w:rPr>
              <w:t>Capacidad de explicar el estado interno de un sistema a partir de los datos que emite (métricas, registros y trazas). A diferencia del monitoreo de umbrales conocidos, permite investigar fallos no previstos formulando nuevas preguntas sobre la telemetría (Majors et al., 2022).</w:t>
            </w:r>
          </w:p>
        </w:tc>
      </w:tr>
      <w:tr>
        <w:trPr/>
        <w:tc>
          <w:tcPr>
            <w:tcW w:w="4649" w:type="dxa"/>
            <w:tcBorders/>
          </w:tcPr>
          <w:p>
            <w:pPr>
              <w:pStyle w:val="Normal"/>
              <w:widowControl/>
              <w:spacing w:lineRule="auto" w:line="240" w:before="0" w:after="20"/>
              <w:jc w:val="left"/>
              <w:rPr>
                <w:rFonts w:cs=""/>
                <w:kern w:val="0"/>
                <w:szCs w:val="22"/>
                <w:lang w:val="en-US" w:eastAsia="en-US" w:bidi="ar-SA"/>
              </w:rPr>
            </w:pPr>
            <w:r>
              <w:rPr>
                <w:rFonts w:cs=""/>
                <w:b/>
                <w:kern w:val="0"/>
                <w:sz w:val="19"/>
                <w:szCs w:val="22"/>
                <w:lang w:val="en-US" w:eastAsia="en-US" w:bidi="ar-SA"/>
              </w:rPr>
              <w:t>Métrica</w:t>
            </w:r>
          </w:p>
        </w:tc>
        <w:tc>
          <w:tcPr>
            <w:tcW w:w="4648" w:type="dxa"/>
            <w:tcBorders/>
          </w:tcPr>
          <w:p>
            <w:pPr>
              <w:pStyle w:val="Normal"/>
              <w:widowControl/>
              <w:spacing w:lineRule="auto" w:line="240" w:before="0" w:after="20"/>
              <w:jc w:val="left"/>
              <w:rPr>
                <w:rFonts w:cs=""/>
                <w:kern w:val="0"/>
                <w:szCs w:val="22"/>
                <w:lang w:val="en-US" w:eastAsia="en-US" w:bidi="ar-SA"/>
              </w:rPr>
            </w:pPr>
            <w:r>
              <w:rPr>
                <w:rFonts w:cs=""/>
                <w:b w:val="false"/>
                <w:kern w:val="0"/>
                <w:sz w:val="19"/>
                <w:szCs w:val="22"/>
                <w:lang w:val="en-US" w:eastAsia="en-US" w:bidi="ar-SA"/>
              </w:rPr>
              <w:t>Medición numérica observada en el tiempo. Prometheus define cuatro tipos: contador (solo crece, p. ej. peticiones totales), gauge (sube y baja, p. ej. peticiones en curso), histograma (distribución en cubetas, p. ej. latencias) y resumen (Prometheus Authors, 2026b).</w:t>
            </w:r>
          </w:p>
        </w:tc>
      </w:tr>
      <w:tr>
        <w:trPr/>
        <w:tc>
          <w:tcPr>
            <w:tcW w:w="464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kern w:val="0"/>
                <w:sz w:val="19"/>
                <w:szCs w:val="22"/>
                <w:lang w:val="en-US" w:eastAsia="en-US" w:bidi="ar-SA"/>
              </w:rPr>
              <w:t>Serie temporal</w:t>
            </w:r>
          </w:p>
        </w:tc>
        <w:tc>
          <w:tcPr>
            <w:tcW w:w="4648"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9"/>
                <w:szCs w:val="22"/>
                <w:lang w:val="en-US" w:eastAsia="en-US" w:bidi="ar-SA"/>
              </w:rPr>
              <w:t xml:space="preserve">Secuencia de muestras (marca de tiempo, valor). En Prometheus cada serie se identifica de forma única por el nombre de la métrica y su conjunto de etiquetas clave/valor; por ejemplo, </w:t>
            </w:r>
            <w:r>
              <w:rPr>
                <w:rFonts w:cs="" w:ascii="Consolas" w:hAnsi="Consolas"/>
                <w:color w:val="8B1A1A"/>
                <w:kern w:val="0"/>
                <w:sz w:val="19"/>
                <w:szCs w:val="22"/>
                <w:lang w:val="en-US" w:eastAsia="en-US" w:bidi="ar-SA"/>
              </w:rPr>
              <w:t>app_http_requests_total{endpoint="/api/checkout",status="503"}</w:t>
            </w:r>
            <w:r>
              <w:rPr>
                <w:rFonts w:cs=""/>
                <w:b w:val="false"/>
                <w:kern w:val="0"/>
                <w:sz w:val="19"/>
                <w:szCs w:val="22"/>
                <w:lang w:val="en-US" w:eastAsia="en-US" w:bidi="ar-SA"/>
              </w:rPr>
              <w:t xml:space="preserve"> es una serie distinta de la de estado 200 (Prometheus Authors, 2026b).</w:t>
            </w:r>
          </w:p>
        </w:tc>
      </w:tr>
      <w:tr>
        <w:trPr/>
        <w:tc>
          <w:tcPr>
            <w:tcW w:w="4649" w:type="dxa"/>
            <w:tcBorders/>
          </w:tcPr>
          <w:p>
            <w:pPr>
              <w:pStyle w:val="Normal"/>
              <w:widowControl/>
              <w:spacing w:lineRule="auto" w:line="240" w:before="0" w:after="20"/>
              <w:jc w:val="left"/>
              <w:rPr>
                <w:rFonts w:cs=""/>
                <w:kern w:val="0"/>
                <w:szCs w:val="22"/>
                <w:lang w:val="en-US" w:eastAsia="en-US" w:bidi="ar-SA"/>
              </w:rPr>
            </w:pPr>
            <w:r>
              <w:rPr>
                <w:rFonts w:cs=""/>
                <w:b/>
                <w:kern w:val="0"/>
                <w:sz w:val="19"/>
                <w:szCs w:val="22"/>
                <w:lang w:val="en-US" w:eastAsia="en-US" w:bidi="ar-SA"/>
              </w:rPr>
              <w:t>TSDB</w:t>
            </w:r>
          </w:p>
        </w:tc>
        <w:tc>
          <w:tcPr>
            <w:tcW w:w="4648" w:type="dxa"/>
            <w:tcBorders/>
          </w:tcPr>
          <w:p>
            <w:pPr>
              <w:pStyle w:val="Normal"/>
              <w:widowControl/>
              <w:spacing w:lineRule="auto" w:line="240" w:before="0" w:after="20"/>
              <w:jc w:val="left"/>
              <w:rPr>
                <w:rFonts w:cs=""/>
                <w:kern w:val="0"/>
                <w:szCs w:val="22"/>
                <w:lang w:val="en-US" w:eastAsia="en-US" w:bidi="ar-SA"/>
              </w:rPr>
            </w:pPr>
            <w:r>
              <w:rPr>
                <w:rFonts w:cs=""/>
                <w:b w:val="false"/>
                <w:kern w:val="0"/>
                <w:sz w:val="19"/>
                <w:szCs w:val="22"/>
                <w:lang w:val="en-US" w:eastAsia="en-US" w:bidi="ar-SA"/>
              </w:rPr>
              <w:t>Base de datos optimizada para datos indexados por tiempo y consultas por rangos. Prometheus incluye una TSDB local que agrupa las muestras en bloques de dos horas, usa un registro de escritura anticipada (WAL) para tolerar caídas y aplica una política de retención (Prometheus Authors, 2026d). En el laboratorio la retención es de 2 días.</w:t>
            </w:r>
          </w:p>
        </w:tc>
      </w:tr>
      <w:tr>
        <w:trPr/>
        <w:tc>
          <w:tcPr>
            <w:tcW w:w="464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kern w:val="0"/>
                <w:sz w:val="19"/>
                <w:szCs w:val="22"/>
                <w:lang w:val="en-US" w:eastAsia="en-US" w:bidi="ar-SA"/>
              </w:rPr>
              <w:t>Prometheus</w:t>
            </w:r>
          </w:p>
        </w:tc>
        <w:tc>
          <w:tcPr>
            <w:tcW w:w="4648"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9"/>
                <w:szCs w:val="22"/>
                <w:lang w:val="en-US" w:eastAsia="en-US" w:bidi="ar-SA"/>
              </w:rPr>
              <w:t>Sistema de monitoreo de código abierto que recolecta métricas mediante el modelo pull: consulta periódicamente el endpoint HTTP /metrics de cada objetivo, almacena las muestras en su TSDB y evalúa reglas de registro y de alerta (Prometheus Authors, 2026a).</w:t>
            </w:r>
          </w:p>
        </w:tc>
      </w:tr>
      <w:tr>
        <w:trPr/>
        <w:tc>
          <w:tcPr>
            <w:tcW w:w="4649" w:type="dxa"/>
            <w:tcBorders/>
          </w:tcPr>
          <w:p>
            <w:pPr>
              <w:pStyle w:val="Normal"/>
              <w:widowControl/>
              <w:spacing w:lineRule="auto" w:line="240" w:before="0" w:after="20"/>
              <w:jc w:val="left"/>
              <w:rPr>
                <w:rFonts w:cs=""/>
                <w:kern w:val="0"/>
                <w:szCs w:val="22"/>
                <w:lang w:val="en-US" w:eastAsia="en-US" w:bidi="ar-SA"/>
              </w:rPr>
            </w:pPr>
            <w:r>
              <w:rPr>
                <w:rFonts w:cs=""/>
                <w:b/>
                <w:kern w:val="0"/>
                <w:sz w:val="19"/>
                <w:szCs w:val="22"/>
                <w:lang w:val="en-US" w:eastAsia="en-US" w:bidi="ar-SA"/>
              </w:rPr>
              <w:t>PromQL</w:t>
            </w:r>
          </w:p>
        </w:tc>
        <w:tc>
          <w:tcPr>
            <w:tcW w:w="4648" w:type="dxa"/>
            <w:tcBorders/>
          </w:tcPr>
          <w:p>
            <w:pPr>
              <w:pStyle w:val="Normal"/>
              <w:widowControl/>
              <w:spacing w:lineRule="auto" w:line="240" w:before="0" w:after="20"/>
              <w:jc w:val="left"/>
              <w:rPr>
                <w:rFonts w:cs=""/>
                <w:kern w:val="0"/>
                <w:szCs w:val="22"/>
                <w:lang w:val="en-US" w:eastAsia="en-US" w:bidi="ar-SA"/>
              </w:rPr>
            </w:pPr>
            <w:r>
              <w:rPr>
                <w:rFonts w:cs=""/>
                <w:b w:val="false"/>
                <w:kern w:val="0"/>
                <w:sz w:val="19"/>
                <w:szCs w:val="22"/>
                <w:lang w:val="en-US" w:eastAsia="en-US" w:bidi="ar-SA"/>
              </w:rPr>
              <w:t xml:space="preserve">Lenguaje funcional de consulta de Prometheus. Opera sobre vectores instantáneos y de rango; funciones como </w:t>
            </w:r>
            <w:r>
              <w:rPr>
                <w:rFonts w:cs="" w:ascii="Consolas" w:hAnsi="Consolas"/>
                <w:color w:val="8B1A1A"/>
                <w:kern w:val="0"/>
                <w:sz w:val="19"/>
                <w:szCs w:val="22"/>
                <w:lang w:val="en-US" w:eastAsia="en-US" w:bidi="ar-SA"/>
              </w:rPr>
              <w:t>rate()</w:t>
            </w:r>
            <w:r>
              <w:rPr>
                <w:rFonts w:cs=""/>
                <w:b w:val="false"/>
                <w:kern w:val="0"/>
                <w:sz w:val="19"/>
                <w:szCs w:val="22"/>
                <w:lang w:val="en-US" w:eastAsia="en-US" w:bidi="ar-SA"/>
              </w:rPr>
              <w:t xml:space="preserve"> convierten contadores en tasas por segundo, </w:t>
            </w:r>
            <w:r>
              <w:rPr>
                <w:rFonts w:cs="" w:ascii="Consolas" w:hAnsi="Consolas"/>
                <w:color w:val="8B1A1A"/>
                <w:kern w:val="0"/>
                <w:sz w:val="19"/>
                <w:szCs w:val="22"/>
                <w:lang w:val="en-US" w:eastAsia="en-US" w:bidi="ar-SA"/>
              </w:rPr>
              <w:t>histogram_quantile()</w:t>
            </w:r>
            <w:r>
              <w:rPr>
                <w:rFonts w:cs=""/>
                <w:b w:val="false"/>
                <w:kern w:val="0"/>
                <w:sz w:val="19"/>
                <w:szCs w:val="22"/>
                <w:lang w:val="en-US" w:eastAsia="en-US" w:bidi="ar-SA"/>
              </w:rPr>
              <w:t xml:space="preserve"> estima percentiles a partir de cubetas y los agregadores (</w:t>
            </w:r>
            <w:r>
              <w:rPr>
                <w:rFonts w:cs="" w:ascii="Consolas" w:hAnsi="Consolas"/>
                <w:color w:val="8B1A1A"/>
                <w:kern w:val="0"/>
                <w:sz w:val="19"/>
                <w:szCs w:val="22"/>
                <w:lang w:val="en-US" w:eastAsia="en-US" w:bidi="ar-SA"/>
              </w:rPr>
              <w:t>sum by</w:t>
            </w:r>
            <w:r>
              <w:rPr>
                <w:rFonts w:cs=""/>
                <w:b w:val="false"/>
                <w:kern w:val="0"/>
                <w:sz w:val="19"/>
                <w:szCs w:val="22"/>
                <w:lang w:val="en-US" w:eastAsia="en-US" w:bidi="ar-SA"/>
              </w:rPr>
              <w:t xml:space="preserve">, </w:t>
            </w:r>
            <w:r>
              <w:rPr>
                <w:rFonts w:cs="" w:ascii="Consolas" w:hAnsi="Consolas"/>
                <w:color w:val="8B1A1A"/>
                <w:kern w:val="0"/>
                <w:sz w:val="19"/>
                <w:szCs w:val="22"/>
                <w:lang w:val="en-US" w:eastAsia="en-US" w:bidi="ar-SA"/>
              </w:rPr>
              <w:t>avg by</w:t>
            </w:r>
            <w:r>
              <w:rPr>
                <w:rFonts w:cs=""/>
                <w:b w:val="false"/>
                <w:kern w:val="0"/>
                <w:sz w:val="19"/>
                <w:szCs w:val="22"/>
                <w:lang w:val="en-US" w:eastAsia="en-US" w:bidi="ar-SA"/>
              </w:rPr>
              <w:t>) resumen conservando dimensiones (Prometheus Authors, 2026c).</w:t>
            </w:r>
          </w:p>
        </w:tc>
      </w:tr>
      <w:tr>
        <w:trPr/>
        <w:tc>
          <w:tcPr>
            <w:tcW w:w="464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kern w:val="0"/>
                <w:sz w:val="19"/>
                <w:szCs w:val="22"/>
                <w:lang w:val="en-US" w:eastAsia="en-US" w:bidi="ar-SA"/>
              </w:rPr>
              <w:t>Grafana</w:t>
            </w:r>
          </w:p>
        </w:tc>
        <w:tc>
          <w:tcPr>
            <w:tcW w:w="4648"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9"/>
                <w:szCs w:val="22"/>
                <w:lang w:val="en-US" w:eastAsia="en-US" w:bidi="ar-SA"/>
              </w:rPr>
              <w:t>Plataforma de visualización que se conecta a Prometheus como fuente de datos, ejecuta consultas PromQL y presenta los resultados en paneles (Grafana Labs, 2026a).</w:t>
            </w:r>
          </w:p>
        </w:tc>
      </w:tr>
      <w:tr>
        <w:trPr/>
        <w:tc>
          <w:tcPr>
            <w:tcW w:w="4649" w:type="dxa"/>
            <w:tcBorders/>
          </w:tcPr>
          <w:p>
            <w:pPr>
              <w:pStyle w:val="Normal"/>
              <w:widowControl/>
              <w:spacing w:lineRule="auto" w:line="240" w:before="0" w:after="20"/>
              <w:jc w:val="left"/>
              <w:rPr>
                <w:rFonts w:cs=""/>
                <w:kern w:val="0"/>
                <w:szCs w:val="22"/>
                <w:lang w:val="en-US" w:eastAsia="en-US" w:bidi="ar-SA"/>
              </w:rPr>
            </w:pPr>
            <w:r>
              <w:rPr>
                <w:rFonts w:cs=""/>
                <w:b/>
                <w:kern w:val="0"/>
                <w:sz w:val="19"/>
                <w:szCs w:val="22"/>
                <w:lang w:val="en-US" w:eastAsia="en-US" w:bidi="ar-SA"/>
              </w:rPr>
              <w:t>Dashboard</w:t>
            </w:r>
          </w:p>
        </w:tc>
        <w:tc>
          <w:tcPr>
            <w:tcW w:w="4648" w:type="dxa"/>
            <w:tcBorders/>
          </w:tcPr>
          <w:p>
            <w:pPr>
              <w:pStyle w:val="Normal"/>
              <w:widowControl/>
              <w:spacing w:lineRule="auto" w:line="240" w:before="0" w:after="20"/>
              <w:jc w:val="left"/>
              <w:rPr>
                <w:rFonts w:cs=""/>
                <w:kern w:val="0"/>
                <w:szCs w:val="22"/>
                <w:lang w:val="en-US" w:eastAsia="en-US" w:bidi="ar-SA"/>
              </w:rPr>
            </w:pPr>
            <w:r>
              <w:rPr>
                <w:rFonts w:cs=""/>
                <w:b w:val="false"/>
                <w:kern w:val="0"/>
                <w:sz w:val="19"/>
                <w:szCs w:val="22"/>
                <w:lang w:val="en-US" w:eastAsia="en-US" w:bidi="ar-SA"/>
              </w:rPr>
              <w:t>Conjunto organizado de paneles que permite observar tendencias, picos y relaciones entre señales en una misma ventana de tiempo. En este laboratorio se provisiona como código (JSON), lo que lo hace reproducible (Grafana Labs, 2026b).</w:t>
            </w:r>
          </w:p>
        </w:tc>
      </w:tr>
      <w:tr>
        <w:trPr/>
        <w:tc>
          <w:tcPr>
            <w:tcW w:w="464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kern w:val="0"/>
                <w:sz w:val="19"/>
                <w:szCs w:val="22"/>
                <w:lang w:val="en-US" w:eastAsia="en-US" w:bidi="ar-SA"/>
              </w:rPr>
              <w:t>Alertamiento</w:t>
            </w:r>
          </w:p>
        </w:tc>
        <w:tc>
          <w:tcPr>
            <w:tcW w:w="4648"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9"/>
                <w:szCs w:val="22"/>
                <w:lang w:val="en-US" w:eastAsia="en-US" w:bidi="ar-SA"/>
              </w:rPr>
              <w:t xml:space="preserve">Reglas que evalúan una condición PromQL de forma periódica; si se cumple durante el tiempo indicado en </w:t>
            </w:r>
            <w:r>
              <w:rPr>
                <w:rFonts w:cs="" w:ascii="Consolas" w:hAnsi="Consolas"/>
                <w:color w:val="8B1A1A"/>
                <w:kern w:val="0"/>
                <w:sz w:val="19"/>
                <w:szCs w:val="22"/>
                <w:lang w:val="en-US" w:eastAsia="en-US" w:bidi="ar-SA"/>
              </w:rPr>
              <w:t>for</w:t>
            </w:r>
            <w:r>
              <w:rPr>
                <w:rFonts w:cs=""/>
                <w:b w:val="false"/>
                <w:kern w:val="0"/>
                <w:sz w:val="19"/>
                <w:szCs w:val="22"/>
                <w:lang w:val="en-US" w:eastAsia="en-US" w:bidi="ar-SA"/>
              </w:rPr>
              <w:t>, la alerta pasa de pending a firing (Prometheus Authors, 2026e). Una alerta indica que algo requiere atención; no sustituye el análisis causal.</w:t>
            </w:r>
          </w:p>
        </w:tc>
      </w:tr>
    </w:tbl>
    <w:p>
      <w:pPr>
        <w:pStyle w:val="Normal"/>
        <w:spacing w:before="0" w:after="160"/>
        <w:rPr/>
      </w:pPr>
      <w:r>
        <w:rPr>
          <w:b w:val="false"/>
          <w:i/>
          <w:color w:val="555555"/>
          <w:sz w:val="17"/>
        </w:rPr>
        <w:t>Fuente: elaboración propia a partir de las referencias citadas.</w:t>
      </w:r>
    </w:p>
    <w:p>
      <w:pPr>
        <w:pStyle w:val="Heading1"/>
        <w:rPr/>
      </w:pPr>
      <w:bookmarkStart w:id="5" w:name="__RefHeading___Toc3968_4040047475"/>
      <w:bookmarkEnd w:id="5"/>
      <w:r>
        <w:rPr/>
        <w:t>4. Entorno y arquitectura</w:t>
      </w:r>
    </w:p>
    <w:p>
      <w:pPr>
        <w:pStyle w:val="Heading2"/>
        <w:rPr/>
      </w:pPr>
      <w:bookmarkStart w:id="6" w:name="__RefHeading___Toc3970_4040047475"/>
      <w:bookmarkEnd w:id="6"/>
      <w:r>
        <w:rPr/>
        <w:t>4.1. Entorno de ejecución</w:t>
      </w:r>
    </w:p>
    <w:p>
      <w:pPr>
        <w:pStyle w:val="Normal"/>
        <w:jc w:val="both"/>
        <w:rPr/>
      </w:pPr>
      <w:r>
        <w:rPr>
          <w:b w:val="false"/>
        </w:rPr>
        <w:t xml:space="preserve">El proyecto se diseñó para </w:t>
      </w:r>
      <w:r>
        <w:rPr>
          <w:b/>
        </w:rPr>
        <w:t>GitHub Codespaces</w:t>
      </w:r>
      <w:r>
        <w:rPr>
          <w:b w:val="false"/>
        </w:rPr>
        <w:t xml:space="preserve">, el entorno de desarrollo en la nube de GitHub que ejecuta un contenedor de desarrollo definido en </w:t>
      </w:r>
      <w:r>
        <w:rPr>
          <w:rFonts w:ascii="Consolas" w:hAnsi="Consolas"/>
          <w:color w:val="8B1A1A"/>
          <w:sz w:val="19"/>
        </w:rPr>
        <w:t>.devcontainer/devcontainer.json</w:t>
      </w:r>
      <w:r>
        <w:rPr>
          <w:b w:val="false"/>
        </w:rPr>
        <w:t xml:space="preserve"> (GitHub, 2026). La configuración usa la imagen oficial de Python con la característica *Docker-in-Docker*, solicita 2 núcleos y 4 GB (dentro de la cuota gratuita) y reenvía los puertos 8000, 9090 y 3000. Con </w:t>
      </w:r>
      <w:r>
        <w:rPr>
          <w:b/>
        </w:rPr>
        <w:t>Docker Compose</w:t>
      </w:r>
      <w:r>
        <w:rPr>
          <w:b w:val="false"/>
        </w:rPr>
        <w:t xml:space="preserve"> (Docker Inc., 2026) se levantan cuatro servicios: app, node-exporter, prometheus y grafana.</w:t>
      </w:r>
    </w:p>
    <w:p>
      <w:pPr>
        <w:pStyle w:val="Normal"/>
        <w:jc w:val="both"/>
        <w:rPr/>
      </w:pPr>
      <w:r>
        <w:rPr>
          <w:b/>
        </w:rPr>
        <w:t>Entorno donde se obtuvieron los resultados.</w:t>
      </w:r>
      <w:r>
        <w:rPr>
          <w:b w:val="false"/>
        </w:rPr>
        <w:t xml:space="preserve"> La ejecución real se realizó en una máquina virtual Linux en la nube (2 vCPU, 7,8 GiB de RAM) asociada a la sesión de trabajo. Ese entorno no podía descargar imágenes de Docker Hub ni el instalador de Grafana (la red las bloqueaba), por lo que se ejecutaron como procesos los </w:t>
      </w:r>
      <w:r>
        <w:rPr>
          <w:b/>
        </w:rPr>
        <w:t>binarios oficiales</w:t>
      </w:r>
      <w:r>
        <w:rPr>
          <w:b w:val="false"/>
        </w:rPr>
        <w:t xml:space="preserve"> de Prometheus 3.5.0 y node_exporter 1.9.1 publicados en GitHub, con la misma configuración del repositorio (</w:t>
      </w:r>
      <w:r>
        <w:rPr>
          <w:rFonts w:ascii="Consolas" w:hAnsi="Consolas"/>
          <w:color w:val="8B1A1A"/>
          <w:sz w:val="19"/>
        </w:rPr>
        <w:t>scripts/run_local_sin_docker.sh</w:t>
      </w:r>
      <w:r>
        <w:rPr>
          <w:b w:val="false"/>
        </w:rPr>
        <w:t xml:space="preserve">). Grafana no pudo ejecutarse allí: su datasource y su dashboard quedaron provisionados como código y se ejecutan con </w:t>
      </w:r>
      <w:r>
        <w:rPr>
          <w:rFonts w:ascii="Consolas" w:hAnsi="Consolas"/>
          <w:color w:val="8B1A1A"/>
          <w:sz w:val="19"/>
        </w:rPr>
        <w:t>docker compose up</w:t>
      </w:r>
      <w:r>
        <w:rPr>
          <w:b w:val="false"/>
        </w:rPr>
        <w:t xml:space="preserve"> en Codespaces. Por eso las figuras de este informe provienen de la interfaz real de Prometheus y de gráficos construidos con los datos exportados de su API; no se presentan capturas de Grafana simuladas. No se usaron servicios de pago.</w:t>
      </w:r>
    </w:p>
    <w:p>
      <w:pPr>
        <w:pStyle w:val="Normal"/>
        <w:keepNext w:val="true"/>
        <w:spacing w:before="0" w:after="60"/>
        <w:rPr/>
      </w:pPr>
      <w:r>
        <w:rPr>
          <w:b/>
        </w:rPr>
        <w:t xml:space="preserve">Tabla 3. </w:t>
      </w:r>
      <w:r>
        <w:rPr>
          <w:b w:val="false"/>
          <w:i/>
        </w:rPr>
        <w:t>Componentes, nombres lógicos y versiones (sin credenciales)</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24"/>
        <w:gridCol w:w="2324"/>
        <w:gridCol w:w="2324"/>
        <w:gridCol w:w="2324"/>
      </w:tblGrid>
      <w:tr>
        <w:trPr>
          <w:tblHeader w:val="true"/>
        </w:trPr>
        <w:tc>
          <w:tcPr>
            <w:tcW w:w="2324"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8"/>
                <w:szCs w:val="22"/>
                <w:lang w:val="en-US" w:eastAsia="en-US" w:bidi="ar-SA"/>
              </w:rPr>
              <w:t>Componente</w:t>
            </w:r>
          </w:p>
        </w:tc>
        <w:tc>
          <w:tcPr>
            <w:tcW w:w="2324"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8"/>
                <w:szCs w:val="22"/>
                <w:lang w:val="en-US" w:eastAsia="en-US" w:bidi="ar-SA"/>
              </w:rPr>
              <w:t>Nombre lógico / dirección</w:t>
            </w:r>
          </w:p>
        </w:tc>
        <w:tc>
          <w:tcPr>
            <w:tcW w:w="2324"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8"/>
                <w:szCs w:val="22"/>
                <w:lang w:val="en-US" w:eastAsia="en-US" w:bidi="ar-SA"/>
              </w:rPr>
              <w:t>Versión</w:t>
            </w:r>
          </w:p>
        </w:tc>
        <w:tc>
          <w:tcPr>
            <w:tcW w:w="2324"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8"/>
                <w:szCs w:val="22"/>
                <w:lang w:val="en-US" w:eastAsia="en-US" w:bidi="ar-SA"/>
              </w:rPr>
              <w:t>Función en el flujo</w:t>
            </w:r>
          </w:p>
        </w:tc>
      </w:tr>
      <w:tr>
        <w:trPr/>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App «catalogo»</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app:8000 (localhost:8000)</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Python 3, Flask 3.1.2, prometheus-client 0.23.1, Gunicorn 23.0.0</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Fuente de métricas de aplicación (/metrics)</w:t>
            </w:r>
          </w:p>
        </w:tc>
      </w:tr>
      <w:tr>
        <w:trPr/>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Dependencia inventario-db</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interna a la app</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simulada</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Origen del fallo controlado</w:t>
            </w:r>
          </w:p>
        </w:tc>
      </w:tr>
      <w:tr>
        <w:trPr/>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node_exporter</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node-exporter:9100</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1.9.1</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Exportador de métricas del host</w:t>
            </w:r>
          </w:p>
        </w:tc>
      </w:tr>
      <w:tr>
        <w:trPr/>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Prometheus</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prometheus:9090</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3.5.0</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Recolección (pull, 5 s), TSDB, PromQL, reglas</w:t>
            </w:r>
          </w:p>
        </w:tc>
      </w:tr>
      <w:tr>
        <w:trPr/>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Grafana</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grafana:3000</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12.1.1 (provisionado)</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Visualización (dashboard de 12 paneles)</w:t>
            </w:r>
          </w:p>
        </w:tc>
      </w:tr>
      <w:tr>
        <w:trPr/>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Generador de tráfico</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scripts/loadgen.py</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8 req/s: 70 % productos, 20 % checkout, 10 % raíz</w:t>
            </w:r>
          </w:p>
        </w:tc>
      </w:tr>
    </w:tbl>
    <w:p>
      <w:pPr>
        <w:pStyle w:val="Normal"/>
        <w:spacing w:before="0" w:after="160"/>
        <w:rPr/>
      </w:pPr>
      <w:r>
        <w:rPr>
          <w:b w:val="false"/>
          <w:i/>
          <w:color w:val="555555"/>
          <w:sz w:val="17"/>
        </w:rPr>
        <w:t>Fuente: elaboración propia. Los nombres lógicos corresponden a Docker Compose; entre paréntesis, la dirección usada en la ejecución.</w:t>
      </w:r>
    </w:p>
    <w:p>
      <w:pPr>
        <w:pStyle w:val="Heading2"/>
        <w:rPr/>
      </w:pPr>
      <w:bookmarkStart w:id="7" w:name="__RefHeading___Toc3972_4040047475"/>
      <w:bookmarkEnd w:id="7"/>
      <w:r>
        <w:rPr/>
        <w:t>4.2. Arquitectura implementada y flujo de métricas</w:t>
      </w:r>
    </w:p>
    <w:p>
      <w:pPr>
        <w:pStyle w:val="Normal"/>
        <w:keepNext w:val="true"/>
        <w:spacing w:before="0" w:after="40"/>
        <w:jc w:val="center"/>
        <w:rPr/>
      </w:pPr>
      <w:r>
        <w:rPr/>
        <w:drawing>
          <wp:inline distT="0" distB="0" distL="0" distR="0">
            <wp:extent cx="4140200" cy="545274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4140200" cy="5452745"/>
                    </a:xfrm>
                    <a:prstGeom prst="rect">
                      <a:avLst/>
                    </a:prstGeom>
                  </pic:spPr>
                </pic:pic>
              </a:graphicData>
            </a:graphic>
          </wp:inline>
        </w:drawing>
      </w:r>
    </w:p>
    <w:p>
      <w:pPr>
        <w:pStyle w:val="Normal"/>
        <w:keepNext w:val="true"/>
        <w:spacing w:before="0" w:after="20"/>
        <w:jc w:val="center"/>
        <w:rPr/>
      </w:pPr>
      <w:r>
        <w:rPr>
          <w:b/>
          <w:sz w:val="19"/>
        </w:rPr>
        <w:t xml:space="preserve">Figura 1. </w:t>
      </w:r>
      <w:r>
        <w:rPr>
          <w:b w:val="false"/>
          <w:i/>
          <w:sz w:val="19"/>
        </w:rPr>
        <w:t>Arquitectura del laboratorio y flujo de métricas</w:t>
      </w:r>
    </w:p>
    <w:p>
      <w:pPr>
        <w:pStyle w:val="Normal"/>
        <w:keepNext w:val="true"/>
        <w:spacing w:before="0" w:after="60"/>
        <w:jc w:val="center"/>
        <w:rPr/>
      </w:pPr>
      <w:r>
        <w:rPr>
          <w:b w:val="false"/>
          <w:i/>
          <w:color w:val="555555"/>
          <w:sz w:val="17"/>
        </w:rPr>
        <w:t>Fuente: elaboración propia (Graphviz, evidencias/arquitectura/arquitectura.dot).</w:t>
      </w:r>
    </w:p>
    <w:p>
      <w:pPr>
        <w:pStyle w:val="Normal"/>
        <w:spacing w:before="0" w:after="200"/>
        <w:jc w:val="both"/>
        <w:rPr/>
      </w:pPr>
      <w:r>
        <w:rPr>
          <w:b w:val="false"/>
          <w:sz w:val="20"/>
        </w:rPr>
        <w:t>Interpretación: el generador produce tráfico HTTP hacia la app; cada petición consulta a inventario-db. La app y node_exporter exponen /metrics, que Prometheus recolecta cada 5 s (modelo pull) y guarda en su TSDB. El motor PromQL alimenta las reglas de registro y de alerta, y Grafana consulta la API de Prometheus. Las alertas y paneles sirven de entrada al diagnóstico.</w:t>
      </w:r>
    </w:p>
    <w:p>
      <w:pPr>
        <w:pStyle w:val="Normal"/>
        <w:jc w:val="both"/>
        <w:rPr/>
      </w:pPr>
      <w:r>
        <w:rPr>
          <w:b w:val="false"/>
        </w:rPr>
        <w:t xml:space="preserve">La aplicación expone métricas siguiendo las recomendaciones de instrumentación: un contador de peticiones con etiquetas </w:t>
      </w:r>
      <w:r>
        <w:rPr>
          <w:rFonts w:ascii="Consolas" w:hAnsi="Consolas"/>
          <w:color w:val="8B1A1A"/>
          <w:sz w:val="19"/>
        </w:rPr>
        <w:t>method</w:t>
      </w:r>
      <w:r>
        <w:rPr>
          <w:b w:val="false"/>
        </w:rPr>
        <w:t xml:space="preserve">, </w:t>
      </w:r>
      <w:r>
        <w:rPr>
          <w:rFonts w:ascii="Consolas" w:hAnsi="Consolas"/>
          <w:color w:val="8B1A1A"/>
          <w:sz w:val="19"/>
        </w:rPr>
        <w:t>endpoint</w:t>
      </w:r>
      <w:r>
        <w:rPr>
          <w:b w:val="false"/>
        </w:rPr>
        <w:t xml:space="preserve"> y </w:t>
      </w:r>
      <w:r>
        <w:rPr>
          <w:rFonts w:ascii="Consolas" w:hAnsi="Consolas"/>
          <w:color w:val="8B1A1A"/>
          <w:sz w:val="19"/>
        </w:rPr>
        <w:t>status</w:t>
      </w:r>
      <w:r>
        <w:rPr>
          <w:b w:val="false"/>
        </w:rPr>
        <w:t xml:space="preserve">; un histograma de latencia por endpoint; un histograma y un contador de errores de la dependencia; y un gauge de concurrencia. El modo de fallo se activa con </w:t>
      </w:r>
      <w:r>
        <w:rPr>
          <w:rFonts w:ascii="Consolas" w:hAnsi="Consolas"/>
          <w:color w:val="8B1A1A"/>
          <w:sz w:val="19"/>
        </w:rPr>
        <w:t>POST /admin/fault?enable=1</w:t>
      </w:r>
      <w:r>
        <w:rPr>
          <w:b w:val="false"/>
        </w:rPr>
        <w:t xml:space="preserve"> y solo afecta a inventario-db: añade una latencia de 0,6 a 1,4 s (con </w:t>
      </w:r>
      <w:r>
        <w:rPr>
          <w:rFonts w:ascii="Consolas" w:hAnsi="Consolas"/>
          <w:color w:val="8B1A1A"/>
          <w:sz w:val="19"/>
        </w:rPr>
        <w:t>time.sleep</w:t>
      </w:r>
      <w:r>
        <w:rPr>
          <w:b w:val="false"/>
        </w:rPr>
        <w:t xml:space="preserve">, que </w:t>
      </w:r>
      <w:r>
        <w:rPr>
          <w:b/>
        </w:rPr>
        <w:t>no consume CPU</w:t>
      </w:r>
      <w:r>
        <w:rPr>
          <w:b w:val="false"/>
        </w:rPr>
        <w:t xml:space="preserve">) y un 30 % de errores por timeout. La ruta raíz </w:t>
      </w:r>
      <w:r>
        <w:rPr>
          <w:rFonts w:ascii="Consolas" w:hAnsi="Consolas"/>
          <w:color w:val="8B1A1A"/>
          <w:sz w:val="19"/>
        </w:rPr>
        <w:t>/</w:t>
      </w:r>
      <w:r>
        <w:rPr>
          <w:b w:val="false"/>
        </w:rPr>
        <w:t xml:space="preserve"> no consulta la dependencia, lo que sirve como grupo de control.</w:t>
      </w:r>
    </w:p>
    <w:p>
      <w:pPr>
        <w:pStyle w:val="Heading2"/>
        <w:rPr/>
      </w:pPr>
      <w:bookmarkStart w:id="8" w:name="__RefHeading___Toc3974_4040047475"/>
      <w:bookmarkEnd w:id="8"/>
      <w:r>
        <w:rPr/>
        <w:t>4.3. Configuraciones esenciales</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298"/>
      </w:tblGrid>
      <w:tr>
        <w:trPr/>
        <w:tc>
          <w:tcPr>
            <w:tcW w:w="9298" w:type="dxa"/>
            <w:tcBorders/>
            <w:shd w:color="auto" w:fill="F3F5F8" w:val="clear"/>
          </w:tcPr>
          <w:p>
            <w:pPr>
              <w:pStyle w:val="Normal"/>
              <w:spacing w:lineRule="auto" w:line="240" w:before="0" w:after="0"/>
              <w:rPr/>
            </w:pPr>
            <w:r>
              <w:rPr>
                <w:rFonts w:ascii="Consolas" w:hAnsi="Consolas"/>
                <w:sz w:val="17"/>
              </w:rPr>
              <w:t># prometheus/prometheus.yml (extracto)</w:t>
              <w:br/>
              <w:t>global:</w:t>
              <w:br/>
              <w:t xml:space="preserve">  scrape_interval: 5s        # resolución para ver incidentes de pocos minutos</w:t>
              <w:br/>
              <w:t xml:space="preserve">  evaluation_interval: 5s</w:t>
              <w:br/>
              <w:t>rule_files: [/etc/prometheus/alerts.yml]</w:t>
              <w:br/>
              <w:t>scrape_configs:</w:t>
              <w:br/>
              <w:t xml:space="preserve">  - job_name: catalogo-app</w:t>
              <w:br/>
              <w:t xml:space="preserve">    static_configs: [{targets: ["app:8000"], labels: {service: catalogo}}]</w:t>
              <w:br/>
              <w:t xml:space="preserve">  - job_name: node</w:t>
              <w:br/>
              <w:t xml:space="preserve">    static_configs: [{targets: ["node-exporter:9100"]}]</w:t>
              <w:br/>
              <w:t xml:space="preserve">  - job_name: prometheus</w:t>
              <w:br/>
              <w:t xml:space="preserve">    static_configs: [{targets: ["prometheus:9090"]}]</w:t>
            </w:r>
          </w:p>
        </w:tc>
      </w:tr>
    </w:tbl>
    <w:p>
      <w:pPr>
        <w:pStyle w:val="Normal"/>
        <w:spacing w:before="0" w:after="40"/>
        <w:rPr/>
      </w:pPr>
      <w:r>
        <w:rPr/>
      </w:r>
    </w:p>
    <w:p>
      <w:pPr>
        <w:pStyle w:val="Normal"/>
        <w:jc w:val="both"/>
        <w:rPr/>
      </w:pPr>
      <w:r>
        <w:rPr>
          <w:b w:val="false"/>
        </w:rPr>
        <w:t>Se eligió un intervalo de 5 s porque el incidente dura cinco minutos: genera 60 muestras por serie durante el fallo sin sobrecargar el entorno (el proceso de la app consumió ≈ 0,012 núcleos). Los almacenes de Prometheus y Grafana usan volúmenes de Docker y la contraseña de Grafana se toma de una variable de entorno, no del repositorio.</w:t>
      </w:r>
    </w:p>
    <w:p>
      <w:pPr>
        <w:pStyle w:val="Heading1"/>
        <w:rPr/>
      </w:pPr>
      <w:bookmarkStart w:id="9" w:name="__RefHeading___Toc3976_4040047475"/>
      <w:bookmarkEnd w:id="9"/>
      <w:r>
        <w:rPr/>
        <w:t>5. Procedimiento</w:t>
      </w:r>
    </w:p>
    <w:p>
      <w:pPr>
        <w:pStyle w:val="Normal"/>
        <w:keepNext w:val="true"/>
        <w:spacing w:before="0" w:after="60"/>
        <w:rPr/>
      </w:pPr>
      <w:r>
        <w:rPr>
          <w:b/>
        </w:rPr>
        <w:t xml:space="preserve">Tabla 4. </w:t>
      </w:r>
      <w:r>
        <w:rPr>
          <w:b w:val="false"/>
          <w:i/>
        </w:rPr>
        <w:t>Secuencia reproducible ejecutada (hora de Lima, 16/10/2026)</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99"/>
        <w:gridCol w:w="3099"/>
        <w:gridCol w:w="3099"/>
      </w:tblGrid>
      <w:tr>
        <w:trPr>
          <w:tblHeader w:val="true"/>
        </w:trPr>
        <w:tc>
          <w:tcPr>
            <w:tcW w:w="3099"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8"/>
                <w:szCs w:val="22"/>
                <w:lang w:val="en-US" w:eastAsia="en-US" w:bidi="ar-SA"/>
              </w:rPr>
              <w:t>N.º</w:t>
            </w:r>
          </w:p>
        </w:tc>
        <w:tc>
          <w:tcPr>
            <w:tcW w:w="3099"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8"/>
                <w:szCs w:val="22"/>
                <w:lang w:val="en-US" w:eastAsia="en-US" w:bidi="ar-SA"/>
              </w:rPr>
              <w:t>Paso</w:t>
            </w:r>
          </w:p>
        </w:tc>
        <w:tc>
          <w:tcPr>
            <w:tcW w:w="3099"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8"/>
                <w:szCs w:val="22"/>
                <w:lang w:val="en-US" w:eastAsia="en-US" w:bidi="ar-SA"/>
              </w:rPr>
              <w:t>Acción y verificación</w:t>
            </w:r>
          </w:p>
        </w:tc>
      </w:tr>
      <w:tr>
        <w:trPr/>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1</w:t>
            </w:r>
          </w:p>
        </w:tc>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Verificación de herramientas</w:t>
            </w:r>
          </w:p>
        </w:tc>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Se comprobó la disponibilidad de Docker 29.8.2, Docker Compose 5.5.1, Python 3 y Chromium sin interfaz. La descarga de imágenes desde Docker Hub y de Grafana fue rechazada por la red (HTTP 403), por lo que se usó el modo sin Docker descrito en 4.1.</w:t>
            </w:r>
          </w:p>
        </w:tc>
      </w:tr>
      <w:tr>
        <w:trPr/>
        <w:tc>
          <w:tcPr>
            <w:tcW w:w="309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2</w:t>
            </w:r>
          </w:p>
        </w:tc>
        <w:tc>
          <w:tcPr>
            <w:tcW w:w="309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Construcción del proyecto</w:t>
            </w:r>
          </w:p>
        </w:tc>
        <w:tc>
          <w:tcPr>
            <w:tcW w:w="309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 xml:space="preserve">Se crearon la app instrumentada, </w:t>
            </w:r>
            <w:r>
              <w:rPr>
                <w:rFonts w:cs="" w:ascii="Consolas" w:hAnsi="Consolas"/>
                <w:color w:val="8B1A1A"/>
                <w:kern w:val="0"/>
                <w:sz w:val="18"/>
                <w:szCs w:val="22"/>
                <w:lang w:val="en-US" w:eastAsia="en-US" w:bidi="ar-SA"/>
              </w:rPr>
              <w:t>prometheus.yml</w:t>
            </w:r>
            <w:r>
              <w:rPr>
                <w:rFonts w:cs=""/>
                <w:b w:val="false"/>
                <w:kern w:val="0"/>
                <w:sz w:val="18"/>
                <w:szCs w:val="22"/>
                <w:lang w:val="en-US" w:eastAsia="en-US" w:bidi="ar-SA"/>
              </w:rPr>
              <w:t xml:space="preserve">, </w:t>
            </w:r>
            <w:r>
              <w:rPr>
                <w:rFonts w:cs="" w:ascii="Consolas" w:hAnsi="Consolas"/>
                <w:color w:val="8B1A1A"/>
                <w:kern w:val="0"/>
                <w:sz w:val="18"/>
                <w:szCs w:val="22"/>
                <w:lang w:val="en-US" w:eastAsia="en-US" w:bidi="ar-SA"/>
              </w:rPr>
              <w:t>alerts.yml</w:t>
            </w:r>
            <w:r>
              <w:rPr>
                <w:rFonts w:cs=""/>
                <w:b w:val="false"/>
                <w:kern w:val="0"/>
                <w:sz w:val="18"/>
                <w:szCs w:val="22"/>
                <w:lang w:val="en-US" w:eastAsia="en-US" w:bidi="ar-SA"/>
              </w:rPr>
              <w:t xml:space="preserve">, el dashboard y el datasource de Grafana, </w:t>
            </w:r>
            <w:r>
              <w:rPr>
                <w:rFonts w:cs="" w:ascii="Consolas" w:hAnsi="Consolas"/>
                <w:color w:val="8B1A1A"/>
                <w:kern w:val="0"/>
                <w:sz w:val="18"/>
                <w:szCs w:val="22"/>
                <w:lang w:val="en-US" w:eastAsia="en-US" w:bidi="ar-SA"/>
              </w:rPr>
              <w:t>docker-compose.yml</w:t>
            </w:r>
            <w:r>
              <w:rPr>
                <w:rFonts w:cs=""/>
                <w:b w:val="false"/>
                <w:kern w:val="0"/>
                <w:sz w:val="18"/>
                <w:szCs w:val="22"/>
                <w:lang w:val="en-US" w:eastAsia="en-US" w:bidi="ar-SA"/>
              </w:rPr>
              <w:t>, el devcontainer y los scripts de cada fase.</w:t>
            </w:r>
          </w:p>
        </w:tc>
      </w:tr>
      <w:tr>
        <w:trPr/>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3</w:t>
            </w:r>
          </w:p>
        </w:tc>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Validación de configuración</w:t>
            </w:r>
          </w:p>
        </w:tc>
        <w:tc>
          <w:tcPr>
            <w:tcW w:w="3099" w:type="dxa"/>
            <w:tcBorders/>
          </w:tcPr>
          <w:p>
            <w:pPr>
              <w:pStyle w:val="Normal"/>
              <w:widowControl/>
              <w:spacing w:lineRule="auto" w:line="240" w:before="0" w:after="20"/>
              <w:jc w:val="left"/>
              <w:rPr>
                <w:rFonts w:cs=""/>
                <w:kern w:val="0"/>
                <w:szCs w:val="22"/>
                <w:lang w:val="en-US" w:eastAsia="en-US" w:bidi="ar-SA"/>
              </w:rPr>
            </w:pPr>
            <w:r>
              <w:rPr>
                <w:rFonts w:cs="" w:ascii="Consolas" w:hAnsi="Consolas"/>
                <w:color w:val="8B1A1A"/>
                <w:kern w:val="0"/>
                <w:sz w:val="18"/>
                <w:szCs w:val="22"/>
                <w:lang w:val="en-US" w:eastAsia="en-US" w:bidi="ar-SA"/>
              </w:rPr>
              <w:t>promtool check config</w:t>
            </w:r>
            <w:r>
              <w:rPr>
                <w:rFonts w:cs=""/>
                <w:b w:val="false"/>
                <w:kern w:val="0"/>
                <w:sz w:val="18"/>
                <w:szCs w:val="22"/>
                <w:lang w:val="en-US" w:eastAsia="en-US" w:bidi="ar-SA"/>
              </w:rPr>
              <w:t xml:space="preserve"> y </w:t>
            </w:r>
            <w:r>
              <w:rPr>
                <w:rFonts w:cs="" w:ascii="Consolas" w:hAnsi="Consolas"/>
                <w:color w:val="8B1A1A"/>
                <w:kern w:val="0"/>
                <w:sz w:val="18"/>
                <w:szCs w:val="22"/>
                <w:lang w:val="en-US" w:eastAsia="en-US" w:bidi="ar-SA"/>
              </w:rPr>
              <w:t>promtool check rules</w:t>
            </w:r>
            <w:r>
              <w:rPr>
                <w:rFonts w:cs=""/>
                <w:b w:val="false"/>
                <w:kern w:val="0"/>
                <w:sz w:val="18"/>
                <w:szCs w:val="22"/>
                <w:lang w:val="en-US" w:eastAsia="en-US" w:bidi="ar-SA"/>
              </w:rPr>
              <w:t xml:space="preserve"> devolvieron SUCCESS (10 reglas).</w:t>
            </w:r>
          </w:p>
        </w:tc>
      </w:tr>
      <w:tr>
        <w:trPr/>
        <w:tc>
          <w:tcPr>
            <w:tcW w:w="309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4</w:t>
            </w:r>
          </w:p>
        </w:tc>
        <w:tc>
          <w:tcPr>
            <w:tcW w:w="309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Arranque y validación</w:t>
            </w:r>
          </w:p>
        </w:tc>
        <w:tc>
          <w:tcPr>
            <w:tcW w:w="309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 xml:space="preserve">Se ejecutó </w:t>
            </w:r>
            <w:r>
              <w:rPr>
                <w:rFonts w:cs="" w:ascii="Consolas" w:hAnsi="Consolas"/>
                <w:color w:val="8B1A1A"/>
                <w:kern w:val="0"/>
                <w:sz w:val="18"/>
                <w:szCs w:val="22"/>
                <w:lang w:val="en-US" w:eastAsia="en-US" w:bidi="ar-SA"/>
              </w:rPr>
              <w:t>scripts/run_local_sin_docker.sh</w:t>
            </w:r>
            <w:r>
              <w:rPr>
                <w:rFonts w:cs=""/>
                <w:b w:val="false"/>
                <w:kern w:val="0"/>
                <w:sz w:val="18"/>
                <w:szCs w:val="22"/>
                <w:lang w:val="en-US" w:eastAsia="en-US" w:bidi="ar-SA"/>
              </w:rPr>
              <w:t xml:space="preserve"> y </w:t>
            </w:r>
            <w:r>
              <w:rPr>
                <w:rFonts w:cs="" w:ascii="Consolas" w:hAnsi="Consolas"/>
                <w:color w:val="8B1A1A"/>
                <w:kern w:val="0"/>
                <w:sz w:val="18"/>
                <w:szCs w:val="22"/>
                <w:lang w:val="en-US" w:eastAsia="en-US" w:bidi="ar-SA"/>
              </w:rPr>
              <w:t>scripts/validar_entorno.sh</w:t>
            </w:r>
            <w:r>
              <w:rPr>
                <w:rFonts w:cs=""/>
                <w:b w:val="false"/>
                <w:kern w:val="0"/>
                <w:sz w:val="18"/>
                <w:szCs w:val="22"/>
                <w:lang w:val="en-US" w:eastAsia="en-US" w:bidi="ar-SA"/>
              </w:rPr>
              <w:t>: los tres objetivos quedaron en estado UP, la última muestra tenía 4,9 s de antigüedad y las reglas en estado inactive/ok.</w:t>
            </w:r>
          </w:p>
        </w:tc>
      </w:tr>
      <w:tr>
        <w:trPr/>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5</w:t>
            </w:r>
          </w:p>
        </w:tc>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Calentamiento</w:t>
            </w:r>
          </w:p>
        </w:tc>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 xml:space="preserve">60 s de tráfico (18:30:47) para llenar las ventanas de </w:t>
            </w:r>
            <w:r>
              <w:rPr>
                <w:rFonts w:cs="" w:ascii="Consolas" w:hAnsi="Consolas"/>
                <w:color w:val="8B1A1A"/>
                <w:kern w:val="0"/>
                <w:sz w:val="18"/>
                <w:szCs w:val="22"/>
                <w:lang w:val="en-US" w:eastAsia="en-US" w:bidi="ar-SA"/>
              </w:rPr>
              <w:t>rate()</w:t>
            </w:r>
            <w:r>
              <w:rPr>
                <w:rFonts w:cs=""/>
                <w:b w:val="false"/>
                <w:kern w:val="0"/>
                <w:sz w:val="18"/>
                <w:szCs w:val="22"/>
                <w:lang w:val="en-US" w:eastAsia="en-US" w:bidi="ar-SA"/>
              </w:rPr>
              <w:t>.</w:t>
            </w:r>
          </w:p>
        </w:tc>
      </w:tr>
      <w:tr>
        <w:trPr/>
        <w:tc>
          <w:tcPr>
            <w:tcW w:w="309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6</w:t>
            </w:r>
          </w:p>
        </w:tc>
        <w:tc>
          <w:tcPr>
            <w:tcW w:w="309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Línea base</w:t>
            </w:r>
          </w:p>
        </w:tc>
        <w:tc>
          <w:tcPr>
            <w:tcW w:w="309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ascii="Consolas" w:hAnsi="Consolas"/>
                <w:color w:val="8B1A1A"/>
                <w:kern w:val="0"/>
                <w:sz w:val="18"/>
                <w:szCs w:val="22"/>
                <w:lang w:val="en-US" w:eastAsia="en-US" w:bidi="ar-SA"/>
              </w:rPr>
              <w:t>ejecutar_baseline.sh 360</w:t>
            </w:r>
            <w:r>
              <w:rPr>
                <w:rFonts w:cs=""/>
                <w:b w:val="false"/>
                <w:kern w:val="0"/>
                <w:sz w:val="18"/>
                <w:szCs w:val="22"/>
                <w:lang w:val="en-US" w:eastAsia="en-US" w:bidi="ar-SA"/>
              </w:rPr>
              <w:t>: tráfico normal de 18:31:47 a 18:37:48.</w:t>
            </w:r>
          </w:p>
        </w:tc>
      </w:tr>
      <w:tr>
        <w:trPr/>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7</w:t>
            </w:r>
          </w:p>
        </w:tc>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Incidente</w:t>
            </w:r>
          </w:p>
        </w:tc>
        <w:tc>
          <w:tcPr>
            <w:tcW w:w="3099" w:type="dxa"/>
            <w:tcBorders/>
          </w:tcPr>
          <w:p>
            <w:pPr>
              <w:pStyle w:val="Normal"/>
              <w:widowControl/>
              <w:spacing w:lineRule="auto" w:line="240" w:before="0" w:after="20"/>
              <w:jc w:val="left"/>
              <w:rPr>
                <w:rFonts w:cs=""/>
                <w:kern w:val="0"/>
                <w:szCs w:val="22"/>
                <w:lang w:val="en-US" w:eastAsia="en-US" w:bidi="ar-SA"/>
              </w:rPr>
            </w:pPr>
            <w:r>
              <w:rPr>
                <w:rFonts w:cs="" w:ascii="Consolas" w:hAnsi="Consolas"/>
                <w:color w:val="8B1A1A"/>
                <w:kern w:val="0"/>
                <w:sz w:val="18"/>
                <w:szCs w:val="22"/>
                <w:lang w:val="en-US" w:eastAsia="en-US" w:bidi="ar-SA"/>
              </w:rPr>
              <w:t>ejecutar_incidente.sh 300</w:t>
            </w:r>
            <w:r>
              <w:rPr>
                <w:rFonts w:cs=""/>
                <w:b w:val="false"/>
                <w:kern w:val="0"/>
                <w:sz w:val="18"/>
                <w:szCs w:val="22"/>
                <w:lang w:val="en-US" w:eastAsia="en-US" w:bidi="ar-SA"/>
              </w:rPr>
              <w:t>: activa el fallo a las 18:37:48, mantiene el mismo tráfico y lo desactiva a las 18:42:50.</w:t>
            </w:r>
          </w:p>
        </w:tc>
      </w:tr>
      <w:tr>
        <w:trPr/>
        <w:tc>
          <w:tcPr>
            <w:tcW w:w="309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8</w:t>
            </w:r>
          </w:p>
        </w:tc>
        <w:tc>
          <w:tcPr>
            <w:tcW w:w="309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Recuperación</w:t>
            </w:r>
          </w:p>
        </w:tc>
        <w:tc>
          <w:tcPr>
            <w:tcW w:w="309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ascii="Consolas" w:hAnsi="Consolas"/>
                <w:color w:val="8B1A1A"/>
                <w:kern w:val="0"/>
                <w:sz w:val="18"/>
                <w:szCs w:val="22"/>
                <w:lang w:val="en-US" w:eastAsia="en-US" w:bidi="ar-SA"/>
              </w:rPr>
              <w:t>ejecutar_recuperacion.sh 360</w:t>
            </w:r>
            <w:r>
              <w:rPr>
                <w:rFonts w:cs=""/>
                <w:b w:val="false"/>
                <w:kern w:val="0"/>
                <w:sz w:val="18"/>
                <w:szCs w:val="22"/>
                <w:lang w:val="en-US" w:eastAsia="en-US" w:bidi="ar-SA"/>
              </w:rPr>
              <w:t>: tráfico normal de 18:42:50 a 18:48:50.</w:t>
            </w:r>
          </w:p>
        </w:tc>
      </w:tr>
      <w:tr>
        <w:trPr/>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9</w:t>
            </w:r>
          </w:p>
        </w:tc>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Exportación y evidencias</w:t>
            </w:r>
          </w:p>
        </w:tc>
        <w:tc>
          <w:tcPr>
            <w:tcW w:w="3099" w:type="dxa"/>
            <w:tcBorders/>
          </w:tcPr>
          <w:p>
            <w:pPr>
              <w:pStyle w:val="Normal"/>
              <w:widowControl/>
              <w:spacing w:lineRule="auto" w:line="240" w:before="0" w:after="20"/>
              <w:jc w:val="left"/>
              <w:rPr>
                <w:rFonts w:cs=""/>
                <w:kern w:val="0"/>
                <w:szCs w:val="22"/>
                <w:lang w:val="en-US" w:eastAsia="en-US" w:bidi="ar-SA"/>
              </w:rPr>
            </w:pPr>
            <w:r>
              <w:rPr>
                <w:rFonts w:cs="" w:ascii="Consolas" w:hAnsi="Consolas"/>
                <w:color w:val="8B1A1A"/>
                <w:kern w:val="0"/>
                <w:sz w:val="18"/>
                <w:szCs w:val="22"/>
                <w:lang w:val="en-US" w:eastAsia="en-US" w:bidi="ar-SA"/>
              </w:rPr>
              <w:t>exportar_metricas.sh</w:t>
            </w:r>
            <w:r>
              <w:rPr>
                <w:rFonts w:cs=""/>
                <w:b w:val="false"/>
                <w:kern w:val="0"/>
                <w:sz w:val="18"/>
                <w:szCs w:val="22"/>
                <w:lang w:val="en-US" w:eastAsia="en-US" w:bidi="ar-SA"/>
              </w:rPr>
              <w:t xml:space="preserve"> (series cada 5 s, 57 consultas PromQL por fase, transiciones de alertas), </w:t>
            </w:r>
            <w:r>
              <w:rPr>
                <w:rFonts w:cs="" w:ascii="Consolas" w:hAnsi="Consolas"/>
                <w:color w:val="8B1A1A"/>
                <w:kern w:val="0"/>
                <w:sz w:val="18"/>
                <w:szCs w:val="22"/>
                <w:lang w:val="en-US" w:eastAsia="en-US" w:bidi="ar-SA"/>
              </w:rPr>
              <w:t>graficar.py</w:t>
            </w:r>
            <w:r>
              <w:rPr>
                <w:rFonts w:cs=""/>
                <w:b w:val="false"/>
                <w:kern w:val="0"/>
                <w:sz w:val="18"/>
                <w:szCs w:val="22"/>
                <w:lang w:val="en-US" w:eastAsia="en-US" w:bidi="ar-SA"/>
              </w:rPr>
              <w:t xml:space="preserve"> (gráficos) y </w:t>
            </w:r>
            <w:r>
              <w:rPr>
                <w:rFonts w:cs="" w:ascii="Consolas" w:hAnsi="Consolas"/>
                <w:color w:val="8B1A1A"/>
                <w:kern w:val="0"/>
                <w:sz w:val="18"/>
                <w:szCs w:val="22"/>
                <w:lang w:val="en-US" w:eastAsia="en-US" w:bidi="ar-SA"/>
              </w:rPr>
              <w:t>capturas_prometheus.py</w:t>
            </w:r>
            <w:r>
              <w:rPr>
                <w:rFonts w:cs=""/>
                <w:b w:val="false"/>
                <w:kern w:val="0"/>
                <w:sz w:val="18"/>
                <w:szCs w:val="22"/>
                <w:lang w:val="en-US" w:eastAsia="en-US" w:bidi="ar-SA"/>
              </w:rPr>
              <w:t xml:space="preserve"> (capturas de la interfaz real).</w:t>
            </w:r>
          </w:p>
        </w:tc>
      </w:tr>
    </w:tbl>
    <w:p>
      <w:pPr>
        <w:pStyle w:val="Normal"/>
        <w:spacing w:before="0" w:after="40"/>
        <w:rPr/>
      </w:pPr>
      <w:r>
        <w:rPr/>
      </w:r>
    </w:p>
    <w:p>
      <w:pPr>
        <w:pStyle w:val="Normal"/>
        <w:spacing w:before="0" w:after="60"/>
        <w:rPr/>
      </w:pPr>
      <w:r>
        <w:rPr>
          <w:b/>
        </w:rPr>
        <w:t>Comandos para reproducir en GitHub Codespaces:</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298"/>
      </w:tblGrid>
      <w:tr>
        <w:trPr/>
        <w:tc>
          <w:tcPr>
            <w:tcW w:w="9298" w:type="dxa"/>
            <w:tcBorders/>
            <w:shd w:color="auto" w:fill="F3F5F8" w:val="clear"/>
          </w:tcPr>
          <w:p>
            <w:pPr>
              <w:pStyle w:val="Normal"/>
              <w:spacing w:lineRule="auto" w:line="240" w:before="0" w:after="0"/>
              <w:rPr/>
            </w:pPr>
            <w:r>
              <w:rPr>
                <w:rFonts w:ascii="Consolas" w:hAnsi="Consolas"/>
                <w:sz w:val="17"/>
              </w:rPr>
              <w:t>docker compose up -d --build</w:t>
              <w:br/>
              <w:t>bash scripts/validar_entorno.sh</w:t>
              <w:br/>
              <w:t>bash scripts/ejecutar_experimento.sh      # base 360 s -&gt; incidente 300 s -&gt; recuperación 360 s -&gt; exportación</w:t>
              <w:br/>
              <w:t>python3 scripts/graficar.py &amp;&amp; python3 scripts/capturas_prometheus.py</w:t>
              <w:br/>
              <w:t>python3 scripts/generar_informe.py</w:t>
              <w:br/>
              <w:t>docker compose down -v                    # y detener el Codespace</w:t>
            </w:r>
          </w:p>
        </w:tc>
      </w:tr>
    </w:tbl>
    <w:p>
      <w:pPr>
        <w:pStyle w:val="Normal"/>
        <w:spacing w:before="0" w:after="40"/>
        <w:rPr/>
      </w:pPr>
      <w:r>
        <w:rPr/>
      </w:r>
    </w:p>
    <w:p>
      <w:pPr>
        <w:pStyle w:val="Normal"/>
        <w:keepNext w:val="true"/>
        <w:spacing w:before="0" w:after="40"/>
        <w:jc w:val="center"/>
        <w:rPr/>
      </w:pPr>
      <w:r>
        <w:rPr/>
        <w:drawing>
          <wp:inline distT="0" distB="0" distL="0" distR="0">
            <wp:extent cx="5219700" cy="335534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219700" cy="3355340"/>
                    </a:xfrm>
                    <a:prstGeom prst="rect">
                      <a:avLst/>
                    </a:prstGeom>
                  </pic:spPr>
                </pic:pic>
              </a:graphicData>
            </a:graphic>
          </wp:inline>
        </w:drawing>
      </w:r>
    </w:p>
    <w:p>
      <w:pPr>
        <w:pStyle w:val="Normal"/>
        <w:keepNext w:val="true"/>
        <w:spacing w:before="0" w:after="20"/>
        <w:jc w:val="center"/>
        <w:rPr/>
      </w:pPr>
      <w:r>
        <w:rPr>
          <w:b/>
          <w:sz w:val="19"/>
        </w:rPr>
        <w:t xml:space="preserve">Figura 2. </w:t>
      </w:r>
      <w:r>
        <w:rPr>
          <w:b w:val="false"/>
          <w:i/>
          <w:sz w:val="19"/>
        </w:rPr>
        <w:t>Objetivos de recolección de Prometheus en estado UP</w:t>
      </w:r>
    </w:p>
    <w:p>
      <w:pPr>
        <w:pStyle w:val="Normal"/>
        <w:keepNext w:val="true"/>
        <w:spacing w:before="0" w:after="60"/>
        <w:jc w:val="center"/>
        <w:rPr/>
      </w:pPr>
      <w:r>
        <w:rPr>
          <w:b w:val="false"/>
          <w:i/>
          <w:color w:val="555555"/>
          <w:sz w:val="17"/>
        </w:rPr>
        <w:t>Fuente: captura auténtica de la interfaz web de Prometheus 3.5.0 del laboratorio (eje temporal en UTC; hora de Lima = UTC − 5 h).</w:t>
      </w:r>
    </w:p>
    <w:p>
      <w:pPr>
        <w:pStyle w:val="Normal"/>
        <w:spacing w:before="0" w:after="200"/>
        <w:jc w:val="both"/>
        <w:rPr/>
      </w:pPr>
      <w:r>
        <w:rPr>
          <w:b w:val="false"/>
          <w:sz w:val="20"/>
        </w:rPr>
        <w:t>Interpretación: los tres objetivos (catalogo-app, node y prometheus) se recolectan correctamente y sin errores, lo que confirma que existen datos recientes antes de iniciar las mediciones.</w:t>
      </w:r>
    </w:p>
    <w:p>
      <w:pPr>
        <w:pStyle w:val="Heading1"/>
        <w:rPr/>
      </w:pPr>
      <w:bookmarkStart w:id="10" w:name="__RefHeading___Toc3978_4040047475"/>
      <w:bookmarkEnd w:id="10"/>
      <w:r>
        <w:rPr/>
        <w:t>6. Resultados</w:t>
      </w:r>
    </w:p>
    <w:p>
      <w:pPr>
        <w:pStyle w:val="Heading2"/>
        <w:rPr/>
      </w:pPr>
      <w:bookmarkStart w:id="11" w:name="__RefHeading___Toc3980_4040047475"/>
      <w:bookmarkEnd w:id="11"/>
      <w:r>
        <w:rPr/>
        <w:t>6.1. Inventario de métricas</w:t>
      </w:r>
    </w:p>
    <w:p>
      <w:pPr>
        <w:pStyle w:val="Normal"/>
        <w:keepNext w:val="true"/>
        <w:spacing w:before="0" w:after="60"/>
        <w:rPr/>
      </w:pPr>
      <w:r>
        <w:rPr>
          <w:b/>
        </w:rPr>
        <w:t xml:space="preserve">Tabla 5. </w:t>
      </w:r>
      <w:r>
        <w:rPr>
          <w:b w:val="false"/>
          <w:i/>
        </w:rPr>
        <w:t>Inventario de métricas reales expuestas</w:t>
      </w:r>
    </w:p>
    <w:tbl>
      <w:tblPr>
        <w:tblStyle w:val="TableGrid"/>
        <w:tblW w:w="93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60"/>
        <w:gridCol w:w="1860"/>
        <w:gridCol w:w="1860"/>
        <w:gridCol w:w="1860"/>
        <w:gridCol w:w="1860"/>
      </w:tblGrid>
      <w:tr>
        <w:trPr>
          <w:tblHeader w:val="true"/>
        </w:trPr>
        <w:tc>
          <w:tcPr>
            <w:tcW w:w="1860"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7"/>
                <w:szCs w:val="22"/>
                <w:lang w:val="en-US" w:eastAsia="en-US" w:bidi="ar-SA"/>
              </w:rPr>
              <w:t>Métrica</w:t>
            </w:r>
          </w:p>
        </w:tc>
        <w:tc>
          <w:tcPr>
            <w:tcW w:w="1860"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7"/>
                <w:szCs w:val="22"/>
                <w:lang w:val="en-US" w:eastAsia="en-US" w:bidi="ar-SA"/>
              </w:rPr>
              <w:t>Qué representa</w:t>
            </w:r>
          </w:p>
        </w:tc>
        <w:tc>
          <w:tcPr>
            <w:tcW w:w="1860"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7"/>
                <w:szCs w:val="22"/>
                <w:lang w:val="en-US" w:eastAsia="en-US" w:bidi="ar-SA"/>
              </w:rPr>
              <w:t>Unidad / tipo</w:t>
            </w:r>
          </w:p>
        </w:tc>
        <w:tc>
          <w:tcPr>
            <w:tcW w:w="1860"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7"/>
                <w:szCs w:val="22"/>
                <w:lang w:val="en-US" w:eastAsia="en-US" w:bidi="ar-SA"/>
              </w:rPr>
              <w:t>Etiquetas relevantes</w:t>
            </w:r>
          </w:p>
        </w:tc>
        <w:tc>
          <w:tcPr>
            <w:tcW w:w="1860"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7"/>
                <w:szCs w:val="22"/>
                <w:lang w:val="en-US" w:eastAsia="en-US" w:bidi="ar-SA"/>
              </w:rPr>
              <w:t>Comportamiento esperado</w:t>
            </w:r>
          </w:p>
        </w:tc>
      </w:tr>
      <w:tr>
        <w:trPr/>
        <w:tc>
          <w:tcPr>
            <w:tcW w:w="1860" w:type="dxa"/>
            <w:tcBorders/>
          </w:tcPr>
          <w:p>
            <w:pPr>
              <w:pStyle w:val="Normal"/>
              <w:widowControl/>
              <w:spacing w:lineRule="auto" w:line="240" w:before="0" w:after="20"/>
              <w:jc w:val="left"/>
              <w:rPr>
                <w:rFonts w:cs=""/>
                <w:kern w:val="0"/>
                <w:szCs w:val="22"/>
                <w:lang w:val="en-US" w:eastAsia="en-US" w:bidi="ar-SA"/>
              </w:rPr>
            </w:pPr>
            <w:r>
              <w:rPr>
                <w:rFonts w:cs="" w:ascii="Consolas" w:hAnsi="Consolas"/>
                <w:color w:val="8B1A1A"/>
                <w:kern w:val="0"/>
                <w:sz w:val="17"/>
                <w:szCs w:val="22"/>
                <w:lang w:val="en-US" w:eastAsia="en-US" w:bidi="ar-SA"/>
              </w:rPr>
              <w:t>up</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Si Prometheus alcanzó el objetivo en el último scrape</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0/1 (gauge sintético)</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job, instance</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Constante en 1</w:t>
            </w:r>
          </w:p>
        </w:tc>
      </w:tr>
      <w:tr>
        <w:trPr/>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ascii="Consolas" w:hAnsi="Consolas"/>
                <w:color w:val="8B1A1A"/>
                <w:kern w:val="0"/>
                <w:sz w:val="17"/>
                <w:szCs w:val="22"/>
                <w:lang w:val="en-US" w:eastAsia="en-US" w:bidi="ar-SA"/>
              </w:rPr>
              <w:t>app_http_requests_total</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Peticiones HTTP atendidas</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peticiones (contador)</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method, endpoint, status</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Crece ≈ 8/s; 5xx casi nulos</w:t>
            </w:r>
          </w:p>
        </w:tc>
      </w:tr>
      <w:tr>
        <w:trPr/>
        <w:tc>
          <w:tcPr>
            <w:tcW w:w="1860" w:type="dxa"/>
            <w:tcBorders/>
          </w:tcPr>
          <w:p>
            <w:pPr>
              <w:pStyle w:val="Normal"/>
              <w:widowControl/>
              <w:spacing w:lineRule="auto" w:line="240" w:before="0" w:after="20"/>
              <w:jc w:val="left"/>
              <w:rPr>
                <w:rFonts w:cs=""/>
                <w:kern w:val="0"/>
                <w:szCs w:val="22"/>
                <w:lang w:val="en-US" w:eastAsia="en-US" w:bidi="ar-SA"/>
              </w:rPr>
            </w:pPr>
            <w:r>
              <w:rPr>
                <w:rFonts w:cs="" w:ascii="Consolas" w:hAnsi="Consolas"/>
                <w:color w:val="8B1A1A"/>
                <w:kern w:val="0"/>
                <w:sz w:val="17"/>
                <w:szCs w:val="22"/>
                <w:lang w:val="en-US" w:eastAsia="en-US" w:bidi="ar-SA"/>
              </w:rPr>
              <w:t>app_http_request_duration_seconds</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Distribución de la latencia de respuesta</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segundos (histograma)</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endpoint, le</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p95 &lt; 100 ms</w:t>
            </w:r>
          </w:p>
        </w:tc>
      </w:tr>
      <w:tr>
        <w:trPr/>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ascii="Consolas" w:hAnsi="Consolas"/>
                <w:color w:val="8B1A1A"/>
                <w:kern w:val="0"/>
                <w:sz w:val="17"/>
                <w:szCs w:val="22"/>
                <w:lang w:val="en-US" w:eastAsia="en-US" w:bidi="ar-SA"/>
              </w:rPr>
              <w:t>app_dependency_duration_seconds</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Latencia de llamadas a inventario-db</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segundos (histograma)</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dependency, le</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p95 ≈ 35–50 ms</w:t>
            </w:r>
          </w:p>
        </w:tc>
      </w:tr>
      <w:tr>
        <w:trPr/>
        <w:tc>
          <w:tcPr>
            <w:tcW w:w="1860" w:type="dxa"/>
            <w:tcBorders/>
          </w:tcPr>
          <w:p>
            <w:pPr>
              <w:pStyle w:val="Normal"/>
              <w:widowControl/>
              <w:spacing w:lineRule="auto" w:line="240" w:before="0" w:after="20"/>
              <w:jc w:val="left"/>
              <w:rPr>
                <w:rFonts w:cs=""/>
                <w:kern w:val="0"/>
                <w:szCs w:val="22"/>
                <w:lang w:val="en-US" w:eastAsia="en-US" w:bidi="ar-SA"/>
              </w:rPr>
            </w:pPr>
            <w:r>
              <w:rPr>
                <w:rFonts w:cs="" w:ascii="Consolas" w:hAnsi="Consolas"/>
                <w:color w:val="8B1A1A"/>
                <w:kern w:val="0"/>
                <w:sz w:val="17"/>
                <w:szCs w:val="22"/>
                <w:lang w:val="en-US" w:eastAsia="en-US" w:bidi="ar-SA"/>
              </w:rPr>
              <w:t>app_dependency_errors_total</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Errores de la dependencia</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errores (contador)</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dependency, reason</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 xml:space="preserve">≈ </w:t>
            </w:r>
            <w:r>
              <w:rPr>
                <w:rFonts w:cs=""/>
                <w:b w:val="false"/>
                <w:kern w:val="0"/>
                <w:sz w:val="17"/>
                <w:szCs w:val="22"/>
                <w:lang w:val="en-US" w:eastAsia="en-US" w:bidi="ar-SA"/>
              </w:rPr>
              <w:t>0,2 % transitorios</w:t>
            </w:r>
          </w:p>
        </w:tc>
      </w:tr>
      <w:tr>
        <w:trPr/>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ascii="Consolas" w:hAnsi="Consolas"/>
                <w:color w:val="8B1A1A"/>
                <w:kern w:val="0"/>
                <w:sz w:val="17"/>
                <w:szCs w:val="22"/>
                <w:lang w:val="en-US" w:eastAsia="en-US" w:bidi="ar-SA"/>
              </w:rPr>
              <w:t>app_http_inflight_requests</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Peticiones en curso</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peticiones (gauge)</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0–2</w:t>
            </w:r>
          </w:p>
        </w:tc>
      </w:tr>
      <w:tr>
        <w:trPr/>
        <w:tc>
          <w:tcPr>
            <w:tcW w:w="1860" w:type="dxa"/>
            <w:tcBorders/>
          </w:tcPr>
          <w:p>
            <w:pPr>
              <w:pStyle w:val="Normal"/>
              <w:widowControl/>
              <w:spacing w:lineRule="auto" w:line="240" w:before="0" w:after="20"/>
              <w:jc w:val="left"/>
              <w:rPr>
                <w:rFonts w:cs=""/>
                <w:kern w:val="0"/>
                <w:szCs w:val="22"/>
                <w:lang w:val="en-US" w:eastAsia="en-US" w:bidi="ar-SA"/>
              </w:rPr>
            </w:pPr>
            <w:r>
              <w:rPr>
                <w:rFonts w:cs="" w:ascii="Consolas" w:hAnsi="Consolas"/>
                <w:color w:val="8B1A1A"/>
                <w:kern w:val="0"/>
                <w:sz w:val="17"/>
                <w:szCs w:val="22"/>
                <w:lang w:val="en-US" w:eastAsia="en-US" w:bidi="ar-SA"/>
              </w:rPr>
              <w:t>node_cpu_seconds_total</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Tiempo de CPU por modo</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segundos (contador)</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cpu, mode</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idle ≈ 95 %</w:t>
            </w:r>
          </w:p>
        </w:tc>
      </w:tr>
      <w:tr>
        <w:trPr/>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ascii="Consolas" w:hAnsi="Consolas"/>
                <w:color w:val="8B1A1A"/>
                <w:kern w:val="0"/>
                <w:sz w:val="17"/>
                <w:szCs w:val="22"/>
                <w:lang w:val="en-US" w:eastAsia="en-US" w:bidi="ar-SA"/>
              </w:rPr>
              <w:t>node_memory_MemAvailable_bytes</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Memoria disponible del host</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bytes (gauge)</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instance</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&gt; 85 % del total</w:t>
            </w:r>
          </w:p>
        </w:tc>
      </w:tr>
      <w:tr>
        <w:trPr/>
        <w:tc>
          <w:tcPr>
            <w:tcW w:w="1860" w:type="dxa"/>
            <w:tcBorders/>
          </w:tcPr>
          <w:p>
            <w:pPr>
              <w:pStyle w:val="Normal"/>
              <w:widowControl/>
              <w:spacing w:lineRule="auto" w:line="240" w:before="0" w:after="20"/>
              <w:jc w:val="left"/>
              <w:rPr>
                <w:rFonts w:cs=""/>
                <w:kern w:val="0"/>
                <w:szCs w:val="22"/>
                <w:lang w:val="en-US" w:eastAsia="en-US" w:bidi="ar-SA"/>
              </w:rPr>
            </w:pPr>
            <w:r>
              <w:rPr>
                <w:rFonts w:cs="" w:ascii="Consolas" w:hAnsi="Consolas"/>
                <w:color w:val="8B1A1A"/>
                <w:kern w:val="0"/>
                <w:sz w:val="17"/>
                <w:szCs w:val="22"/>
                <w:lang w:val="en-US" w:eastAsia="en-US" w:bidi="ar-SA"/>
              </w:rPr>
              <w:t>node_disk_io_time_seconds_total</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Tiempo de disco ocupado</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segundos (contador)</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device</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Cercano a 0</w:t>
            </w:r>
          </w:p>
        </w:tc>
      </w:tr>
      <w:tr>
        <w:trPr/>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ascii="Consolas" w:hAnsi="Consolas"/>
                <w:color w:val="8B1A1A"/>
                <w:kern w:val="0"/>
                <w:sz w:val="17"/>
                <w:szCs w:val="22"/>
                <w:lang w:val="en-US" w:eastAsia="en-US" w:bidi="ar-SA"/>
              </w:rPr>
              <w:t>process_cpu_seconds_total</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CPU consumida por el proceso de la app</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segundos (contador)</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job</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 xml:space="preserve">≈ </w:t>
            </w:r>
            <w:r>
              <w:rPr>
                <w:rFonts w:cs=""/>
                <w:b w:val="false"/>
                <w:kern w:val="0"/>
                <w:sz w:val="17"/>
                <w:szCs w:val="22"/>
                <w:lang w:val="en-US" w:eastAsia="en-US" w:bidi="ar-SA"/>
              </w:rPr>
              <w:t>0,01 núcleos</w:t>
            </w:r>
          </w:p>
        </w:tc>
      </w:tr>
      <w:tr>
        <w:trPr/>
        <w:tc>
          <w:tcPr>
            <w:tcW w:w="1860" w:type="dxa"/>
            <w:tcBorders/>
          </w:tcPr>
          <w:p>
            <w:pPr>
              <w:pStyle w:val="Normal"/>
              <w:widowControl/>
              <w:spacing w:lineRule="auto" w:line="240" w:before="0" w:after="20"/>
              <w:jc w:val="left"/>
              <w:rPr>
                <w:rFonts w:cs=""/>
                <w:kern w:val="0"/>
                <w:szCs w:val="22"/>
                <w:lang w:val="en-US" w:eastAsia="en-US" w:bidi="ar-SA"/>
              </w:rPr>
            </w:pPr>
            <w:r>
              <w:rPr>
                <w:rFonts w:cs="" w:ascii="Consolas" w:hAnsi="Consolas"/>
                <w:color w:val="8B1A1A"/>
                <w:kern w:val="0"/>
                <w:sz w:val="17"/>
                <w:szCs w:val="22"/>
                <w:lang w:val="en-US" w:eastAsia="en-US" w:bidi="ar-SA"/>
              </w:rPr>
              <w:t>process_resident_memory_bytes</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Memoria residente de la app</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bytes (gauge)</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job</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 xml:space="preserve">≈ </w:t>
            </w:r>
            <w:r>
              <w:rPr>
                <w:rFonts w:cs=""/>
                <w:b w:val="false"/>
                <w:kern w:val="0"/>
                <w:sz w:val="17"/>
                <w:szCs w:val="22"/>
                <w:lang w:val="en-US" w:eastAsia="en-US" w:bidi="ar-SA"/>
              </w:rPr>
              <w:t>30–35 MB estable</w:t>
            </w:r>
          </w:p>
        </w:tc>
      </w:tr>
      <w:tr>
        <w:trPr/>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ascii="Consolas" w:hAnsi="Consolas"/>
                <w:color w:val="8B1A1A"/>
                <w:kern w:val="0"/>
                <w:sz w:val="17"/>
                <w:szCs w:val="22"/>
                <w:lang w:val="en-US" w:eastAsia="en-US" w:bidi="ar-SA"/>
              </w:rPr>
              <w:t>app_fault_injection_active</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Marcador del experimento (no se usa como evidencia diagnóstica)</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0/1 (gauge)</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0 salvo en el incidente</w:t>
            </w:r>
          </w:p>
        </w:tc>
      </w:tr>
    </w:tbl>
    <w:p>
      <w:pPr>
        <w:pStyle w:val="Normal"/>
        <w:spacing w:before="0" w:after="160"/>
        <w:rPr/>
      </w:pPr>
      <w:r>
        <w:rPr>
          <w:b w:val="false"/>
          <w:i/>
          <w:color w:val="555555"/>
          <w:sz w:val="17"/>
        </w:rPr>
        <w:t>Fuente: elaboración propia a partir del endpoint /metrics de la app y de node_exporter.</w:t>
      </w:r>
    </w:p>
    <w:p>
      <w:pPr>
        <w:pStyle w:val="Normal"/>
        <w:jc w:val="both"/>
        <w:rPr/>
      </w:pPr>
      <w:r>
        <w:rPr>
          <w:b w:val="false"/>
        </w:rPr>
        <w:t>Para el incidente se seleccionaron cinco métricas relacionadas: latencia de la dependencia, latencia HTTP, tasa de errores, CPU del host y memoria disponible. Las dos últimas sirven para contrastar la hipótesis de presión de recursos sugerida por la guía.</w:t>
      </w:r>
    </w:p>
    <w:p>
      <w:pPr>
        <w:pStyle w:val="Heading2"/>
        <w:rPr/>
      </w:pPr>
      <w:bookmarkStart w:id="12" w:name="__RefHeading___Toc3982_4040047475"/>
      <w:bookmarkEnd w:id="12"/>
      <w:r>
        <w:rPr/>
        <w:t>6.2. Línea base</w:t>
      </w:r>
    </w:p>
    <w:p>
      <w:pPr>
        <w:pStyle w:val="Normal"/>
        <w:jc w:val="both"/>
        <w:rPr/>
      </w:pPr>
      <w:r>
        <w:rPr>
          <w:b w:val="false"/>
        </w:rPr>
        <w:t xml:space="preserve">Intervalo: </w:t>
      </w:r>
      <w:r>
        <w:rPr>
          <w:b/>
        </w:rPr>
        <w:t>2026-10-16 18:31:47 a 18:37:48</w:t>
      </w:r>
      <w:r>
        <w:rPr>
          <w:b w:val="false"/>
        </w:rPr>
        <w:t xml:space="preserve"> (hora de Lima; 361 s). Con tráfico constante, el servicio atendió ≈ 2 886 peticiones (7,99 req/s), con latencia media de 24,1 ms, p95 de 54,7 ms y 0,035 % de respuestas 5xx (un error transitorio de la dependencia). La CPU del host promedió 3,8 %, la memoria disponible no bajó del 90,1 % y la concurrencia máxima fue 1. Este es el patrón de referencia.</w:t>
      </w:r>
    </w:p>
    <w:p>
      <w:pPr>
        <w:pStyle w:val="Normal"/>
        <w:keepNext w:val="true"/>
        <w:spacing w:before="0" w:after="40"/>
        <w:jc w:val="center"/>
        <w:rPr/>
      </w:pPr>
      <w:r>
        <w:rPr/>
        <w:drawing>
          <wp:inline distT="0" distB="0" distL="0" distR="0">
            <wp:extent cx="5904230" cy="153479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904230" cy="1534795"/>
                    </a:xfrm>
                    <a:prstGeom prst="rect">
                      <a:avLst/>
                    </a:prstGeom>
                  </pic:spPr>
                </pic:pic>
              </a:graphicData>
            </a:graphic>
          </wp:inline>
        </w:drawing>
      </w:r>
    </w:p>
    <w:p>
      <w:pPr>
        <w:pStyle w:val="Normal"/>
        <w:keepNext w:val="true"/>
        <w:spacing w:before="0" w:after="20"/>
        <w:jc w:val="center"/>
        <w:rPr/>
      </w:pPr>
      <w:r>
        <w:rPr>
          <w:b/>
          <w:sz w:val="19"/>
        </w:rPr>
        <w:t xml:space="preserve">Figura 3. </w:t>
      </w:r>
      <w:r>
        <w:rPr>
          <w:b w:val="false"/>
          <w:i/>
          <w:sz w:val="19"/>
        </w:rPr>
        <w:t>Disponibilidad de los objetivos durante todo el experimento (up)</w:t>
      </w:r>
    </w:p>
    <w:p>
      <w:pPr>
        <w:pStyle w:val="Normal"/>
        <w:keepNext w:val="true"/>
        <w:spacing w:before="0" w:after="60"/>
        <w:jc w:val="center"/>
        <w:rPr/>
      </w:pPr>
      <w:r>
        <w:rPr>
          <w:b w:val="false"/>
          <w:i/>
          <w:color w:val="555555"/>
          <w:sz w:val="17"/>
        </w:rPr>
        <w:t>Fuente: elaboración propia con datos reales de Prometheus 3.5.0 exportados del laboratorio.</w:t>
      </w:r>
    </w:p>
    <w:p>
      <w:pPr>
        <w:pStyle w:val="Normal"/>
        <w:spacing w:before="0" w:after="200"/>
        <w:jc w:val="both"/>
        <w:rPr/>
      </w:pPr>
      <w:r>
        <w:rPr>
          <w:b w:val="false"/>
          <w:sz w:val="20"/>
        </w:rPr>
        <w:t>Interpretación: up permaneció en 1 para la app y para node_exporter en las tres fases. El objetivo nunca dejó de responder a Prometheus, por lo que el incidente no fue una caída del servicio, sino una degradación.</w:t>
      </w:r>
    </w:p>
    <w:p>
      <w:pPr>
        <w:pStyle w:val="Normal"/>
        <w:keepNext w:val="true"/>
        <w:spacing w:before="0" w:after="40"/>
        <w:jc w:val="center"/>
        <w:rPr/>
      </w:pPr>
      <w:r>
        <w:rPr/>
        <w:drawing>
          <wp:inline distT="0" distB="0" distL="0" distR="0">
            <wp:extent cx="5219700" cy="305752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219700" cy="3057525"/>
                    </a:xfrm>
                    <a:prstGeom prst="rect">
                      <a:avLst/>
                    </a:prstGeom>
                  </pic:spPr>
                </pic:pic>
              </a:graphicData>
            </a:graphic>
          </wp:inline>
        </w:drawing>
      </w:r>
    </w:p>
    <w:p>
      <w:pPr>
        <w:pStyle w:val="Normal"/>
        <w:keepNext w:val="true"/>
        <w:spacing w:before="0" w:after="20"/>
        <w:jc w:val="center"/>
        <w:rPr/>
      </w:pPr>
      <w:r>
        <w:rPr>
          <w:b/>
          <w:sz w:val="19"/>
        </w:rPr>
        <w:t xml:space="preserve">Figura 4. </w:t>
      </w:r>
      <w:r>
        <w:rPr>
          <w:b w:val="false"/>
          <w:i/>
          <w:sz w:val="19"/>
        </w:rPr>
        <w:t>Latencia p95 (ventana de 1 min) durante la línea base en la interfaz de Prometheus</w:t>
      </w:r>
    </w:p>
    <w:p>
      <w:pPr>
        <w:pStyle w:val="Normal"/>
        <w:keepNext w:val="true"/>
        <w:spacing w:before="0" w:after="60"/>
        <w:jc w:val="center"/>
        <w:rPr/>
      </w:pPr>
      <w:r>
        <w:rPr>
          <w:b w:val="false"/>
          <w:i/>
          <w:color w:val="555555"/>
          <w:sz w:val="17"/>
        </w:rPr>
        <w:t>Fuente: captura auténtica de la interfaz web de Prometheus 3.5.0 del laboratorio (eje temporal en UTC; hora de Lima = UTC − 5 h).</w:t>
      </w:r>
    </w:p>
    <w:p>
      <w:pPr>
        <w:pStyle w:val="Normal"/>
        <w:spacing w:before="0" w:after="200"/>
        <w:jc w:val="both"/>
        <w:rPr/>
      </w:pPr>
      <w:r>
        <w:rPr>
          <w:b w:val="false"/>
          <w:sz w:val="20"/>
        </w:rPr>
        <w:t>Interpretación: el p95 oscila entre unos 50 y 70 ms sin tendencia, consistente con la latencia normal de la dependencia (p95 de 46,7 ms).</w:t>
      </w:r>
    </w:p>
    <w:p>
      <w:pPr>
        <w:pStyle w:val="Heading2"/>
        <w:rPr/>
      </w:pPr>
      <w:bookmarkStart w:id="13" w:name="__RefHeading___Toc3984_4040047475"/>
      <w:bookmarkEnd w:id="13"/>
      <w:r>
        <w:rPr/>
        <w:t>6.3. Incidente</w:t>
      </w:r>
    </w:p>
    <w:p>
      <w:pPr>
        <w:pStyle w:val="Normal"/>
        <w:jc w:val="both"/>
        <w:rPr/>
      </w:pPr>
      <w:r>
        <w:rPr>
          <w:b/>
        </w:rPr>
        <w:t>Cambio introducido:</w:t>
      </w:r>
      <w:r>
        <w:rPr>
          <w:b w:val="false"/>
        </w:rPr>
        <w:t xml:space="preserve"> a las 18:37:48 se activó el modo de fallo de inventario-db (latencia de 0,6–1,4 s y 30 % de timeouts), sin modificar el tráfico ni los recursos. </w:t>
      </w:r>
      <w:r>
        <w:rPr>
          <w:b/>
        </w:rPr>
        <w:t>Duración:</w:t>
      </w:r>
      <w:r>
        <w:rPr>
          <w:b w:val="false"/>
        </w:rPr>
        <w:t xml:space="preserve"> 302 s. </w:t>
      </w:r>
      <w:r>
        <w:rPr>
          <w:b/>
        </w:rPr>
        <w:t>Recuperación:</w:t>
      </w:r>
      <w:r>
        <w:rPr>
          <w:b w:val="false"/>
        </w:rPr>
        <w:t xml:space="preserve"> a las 18:42:50 se desactivó el fallo. El generador de tráfico registró, desde el lado del cliente, 2 400 peticiones, 778 errores (32,4 %) y latencia media de 1,063 s, coherente con lo medido por Prometheus.</w:t>
      </w:r>
    </w:p>
    <w:p>
      <w:pPr>
        <w:pStyle w:val="Normal"/>
        <w:keepNext w:val="true"/>
        <w:spacing w:before="0" w:after="60"/>
        <w:rPr/>
      </w:pPr>
      <w:r>
        <w:rPr>
          <w:b/>
        </w:rPr>
        <w:t xml:space="preserve">Tabla 6. </w:t>
      </w:r>
      <w:r>
        <w:rPr>
          <w:b w:val="false"/>
          <w:i/>
        </w:rPr>
        <w:t>Comparación de indicadores por fase (consultas evaluadas sobre toda la ventana de cada fase)</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24"/>
        <w:gridCol w:w="2324"/>
        <w:gridCol w:w="2324"/>
        <w:gridCol w:w="2324"/>
      </w:tblGrid>
      <w:tr>
        <w:trPr>
          <w:tblHeader w:val="true"/>
        </w:trPr>
        <w:tc>
          <w:tcPr>
            <w:tcW w:w="2324"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7"/>
                <w:szCs w:val="22"/>
                <w:lang w:val="en-US" w:eastAsia="en-US" w:bidi="ar-SA"/>
              </w:rPr>
              <w:t>Indicador (consulta)</w:t>
            </w:r>
          </w:p>
        </w:tc>
        <w:tc>
          <w:tcPr>
            <w:tcW w:w="2324"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7"/>
                <w:szCs w:val="22"/>
                <w:lang w:val="en-US" w:eastAsia="en-US" w:bidi="ar-SA"/>
              </w:rPr>
              <w:t>Línea base</w:t>
            </w:r>
          </w:p>
        </w:tc>
        <w:tc>
          <w:tcPr>
            <w:tcW w:w="2324"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7"/>
                <w:szCs w:val="22"/>
                <w:lang w:val="en-US" w:eastAsia="en-US" w:bidi="ar-SA"/>
              </w:rPr>
              <w:t>Incidente</w:t>
            </w:r>
          </w:p>
        </w:tc>
        <w:tc>
          <w:tcPr>
            <w:tcW w:w="2324"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7"/>
                <w:szCs w:val="22"/>
                <w:lang w:val="en-US" w:eastAsia="en-US" w:bidi="ar-SA"/>
              </w:rPr>
              <w:t>Recuperación</w:t>
            </w:r>
          </w:p>
        </w:tc>
      </w:tr>
      <w:tr>
        <w:trPr/>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Peticiones por segundo (Q2b)</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7,99</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8,01</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8,00</w:t>
            </w:r>
          </w:p>
        </w:tc>
      </w:tr>
      <w:tr>
        <w:trPr/>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Errores 5xx (Q3)</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0,035 %</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32,38 %</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0,176 %</w:t>
            </w:r>
          </w:p>
        </w:tc>
      </w:tr>
      <w:tr>
        <w:trPr/>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Latencia media HTTP (Q4a)</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24,1 ms</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1 059,9 ms</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23,7 ms</w:t>
            </w:r>
          </w:p>
        </w:tc>
      </w:tr>
      <w:tr>
        <w:trPr/>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Latencia p95 HTTP (Q4b)</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54,7 ms</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2 195,8 ms</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55,9 ms</w:t>
            </w:r>
          </w:p>
        </w:tc>
      </w:tr>
      <w:tr>
        <w:trPr/>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Máximo del p95 de 1 min (Q5)</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71,8 ms</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2 263,2 ms</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2 265,6 ms *</w:t>
            </w:r>
          </w:p>
        </w:tc>
      </w:tr>
      <w:tr>
        <w:trPr/>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p95 de inventario-db (Q6)</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46,7 ms</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1 449,4 ms</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46,6 ms</w:t>
            </w:r>
          </w:p>
        </w:tc>
      </w:tr>
      <w:tr>
        <w:trPr/>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Errores de inventario-db (Q7)</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 xml:space="preserve">≈ </w:t>
            </w:r>
            <w:r>
              <w:rPr>
                <w:rFonts w:cs=""/>
                <w:b w:val="false"/>
                <w:kern w:val="0"/>
                <w:sz w:val="17"/>
                <w:szCs w:val="22"/>
                <w:lang w:val="en-US" w:eastAsia="en-US" w:bidi="ar-SA"/>
              </w:rPr>
              <w:t>1</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 xml:space="preserve">≈ </w:t>
            </w:r>
            <w:r>
              <w:rPr>
                <w:rFonts w:cs=""/>
                <w:b w:val="false"/>
                <w:kern w:val="0"/>
                <w:sz w:val="17"/>
                <w:szCs w:val="22"/>
                <w:lang w:val="en-US" w:eastAsia="en-US" w:bidi="ar-SA"/>
              </w:rPr>
              <w:t>781</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 xml:space="preserve">≈ </w:t>
            </w:r>
            <w:r>
              <w:rPr>
                <w:rFonts w:cs=""/>
                <w:b w:val="false"/>
                <w:kern w:val="0"/>
                <w:sz w:val="17"/>
                <w:szCs w:val="22"/>
                <w:lang w:val="en-US" w:eastAsia="en-US" w:bidi="ar-SA"/>
              </w:rPr>
              <w:t>5</w:t>
            </w:r>
          </w:p>
        </w:tc>
      </w:tr>
      <w:tr>
        <w:trPr/>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CPU host media / máx. 1 min (Q8a/b)</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3,8 % / 7,6 %</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2,7 % / 4,1 %</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2,6 % / 3,9 %</w:t>
            </w:r>
          </w:p>
        </w:tc>
      </w:tr>
      <w:tr>
        <w:trPr/>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CPU del proceso app (Q8c)</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0,0115 núcleos</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0,0116 núcleos</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0,0115 núcleos</w:t>
            </w:r>
          </w:p>
        </w:tc>
      </w:tr>
      <w:tr>
        <w:trPr/>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Memoria disponible mínima (Q9a)</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90,1 %</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91,6 %</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92,0 %</w:t>
            </w:r>
          </w:p>
        </w:tc>
      </w:tr>
      <w:tr>
        <w:trPr/>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RSS máx. de la app (Q9b)</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32,2 MB</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33,6 MB</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33,9 MB</w:t>
            </w:r>
          </w:p>
        </w:tc>
      </w:tr>
      <w:tr>
        <w:trPr/>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Concurrencia máxima (Q10)</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1</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10</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1</w:t>
            </w:r>
          </w:p>
        </w:tc>
      </w:tr>
      <w:tr>
        <w:trPr/>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Utilización máx. de E/S de disco (Q11)</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1,11 %</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0,04 %</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0,04 %</w:t>
            </w:r>
          </w:p>
        </w:tc>
      </w:tr>
      <w:tr>
        <w:trPr/>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Disponibilidad mínima up (Q1)</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1</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1</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1</w:t>
            </w:r>
          </w:p>
        </w:tc>
      </w:tr>
    </w:tbl>
    <w:p>
      <w:pPr>
        <w:pStyle w:val="Normal"/>
        <w:spacing w:before="0" w:after="160"/>
        <w:rPr/>
      </w:pPr>
      <w:r>
        <w:rPr>
          <w:b w:val="false"/>
          <w:i/>
          <w:color w:val="555555"/>
          <w:sz w:val="17"/>
        </w:rPr>
        <w:t>Fuente: resultados/resumen_fases.csv. (*) El máximo de la recuperación incluye el primer minuto, cuya ventana rate[1m] todavía contiene muestras del incidente. Los conteos con «≈» provienen de increase(), que extrapola.</w:t>
      </w:r>
    </w:p>
    <w:p>
      <w:pPr>
        <w:pStyle w:val="Normal"/>
        <w:keepNext w:val="true"/>
        <w:spacing w:before="0" w:after="40"/>
        <w:jc w:val="center"/>
        <w:rPr/>
      </w:pPr>
      <w:r>
        <w:rPr/>
        <w:drawing>
          <wp:inline distT="0" distB="0" distL="0" distR="0">
            <wp:extent cx="5904230" cy="212534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904230" cy="2125345"/>
                    </a:xfrm>
                    <a:prstGeom prst="rect">
                      <a:avLst/>
                    </a:prstGeom>
                  </pic:spPr>
                </pic:pic>
              </a:graphicData>
            </a:graphic>
          </wp:inline>
        </w:drawing>
      </w:r>
    </w:p>
    <w:p>
      <w:pPr>
        <w:pStyle w:val="Normal"/>
        <w:keepNext w:val="true"/>
        <w:spacing w:before="0" w:after="20"/>
        <w:jc w:val="center"/>
        <w:rPr/>
      </w:pPr>
      <w:r>
        <w:rPr>
          <w:b/>
          <w:sz w:val="19"/>
        </w:rPr>
        <w:t xml:space="preserve">Figura 5. </w:t>
      </w:r>
      <w:r>
        <w:rPr>
          <w:b w:val="false"/>
          <w:i/>
          <w:sz w:val="19"/>
        </w:rPr>
        <w:t>Tasa de peticiones por código de estado</w:t>
      </w:r>
    </w:p>
    <w:p>
      <w:pPr>
        <w:pStyle w:val="Normal"/>
        <w:keepNext w:val="true"/>
        <w:spacing w:before="0" w:after="60"/>
        <w:jc w:val="center"/>
        <w:rPr/>
      </w:pPr>
      <w:r>
        <w:rPr>
          <w:b w:val="false"/>
          <w:i/>
          <w:color w:val="555555"/>
          <w:sz w:val="17"/>
        </w:rPr>
        <w:t>Fuente: elaboración propia con datos reales de Prometheus 3.5.0 exportados del laboratorio.</w:t>
      </w:r>
    </w:p>
    <w:p>
      <w:pPr>
        <w:pStyle w:val="Normal"/>
        <w:spacing w:before="0" w:after="200"/>
        <w:jc w:val="both"/>
        <w:rPr/>
      </w:pPr>
      <w:r>
        <w:rPr>
          <w:b w:val="false"/>
          <w:sz w:val="20"/>
        </w:rPr>
        <w:t>Interpretación: el tráfico total se mantuvo en ≈ 8 req/s en las tres fases; durante el incidente una parte de las respuestas pasó de 2xx a 5xx. Que la carga no cambiara descarta un pico de tráfico como causa.</w:t>
      </w:r>
    </w:p>
    <w:p>
      <w:pPr>
        <w:pStyle w:val="Normal"/>
        <w:keepNext w:val="true"/>
        <w:spacing w:before="0" w:after="40"/>
        <w:jc w:val="center"/>
        <w:rPr/>
      </w:pPr>
      <w:r>
        <w:rPr/>
        <w:drawing>
          <wp:inline distT="0" distB="0" distL="0" distR="0">
            <wp:extent cx="5904230" cy="200723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904230" cy="2007235"/>
                    </a:xfrm>
                    <a:prstGeom prst="rect">
                      <a:avLst/>
                    </a:prstGeom>
                  </pic:spPr>
                </pic:pic>
              </a:graphicData>
            </a:graphic>
          </wp:inline>
        </w:drawing>
      </w:r>
    </w:p>
    <w:p>
      <w:pPr>
        <w:pStyle w:val="Normal"/>
        <w:keepNext w:val="true"/>
        <w:spacing w:before="0" w:after="20"/>
        <w:jc w:val="center"/>
        <w:rPr/>
      </w:pPr>
      <w:r>
        <w:rPr>
          <w:b/>
          <w:sz w:val="19"/>
        </w:rPr>
        <w:t xml:space="preserve">Figura 6. </w:t>
      </w:r>
      <w:r>
        <w:rPr>
          <w:b w:val="false"/>
          <w:i/>
          <w:sz w:val="19"/>
        </w:rPr>
        <w:t>Proporción de respuestas 5xx con el umbral de alerta</w:t>
      </w:r>
    </w:p>
    <w:p>
      <w:pPr>
        <w:pStyle w:val="Normal"/>
        <w:keepNext w:val="true"/>
        <w:spacing w:before="0" w:after="60"/>
        <w:jc w:val="center"/>
        <w:rPr/>
      </w:pPr>
      <w:r>
        <w:rPr>
          <w:b w:val="false"/>
          <w:i/>
          <w:color w:val="555555"/>
          <w:sz w:val="17"/>
        </w:rPr>
        <w:t>Fuente: elaboración propia con datos reales de Prometheus 3.5.0 exportados del laboratorio.</w:t>
      </w:r>
    </w:p>
    <w:p>
      <w:pPr>
        <w:pStyle w:val="Normal"/>
        <w:spacing w:before="0" w:after="200"/>
        <w:jc w:val="both"/>
        <w:rPr/>
      </w:pPr>
      <w:r>
        <w:rPr>
          <w:b w:val="false"/>
          <w:sz w:val="20"/>
        </w:rPr>
        <w:t>Interpretación: la proporción subió desde ≈ 0 % hasta estabilizarse en 31–35 % (promedio de la fase 32,4 %) y volvió a la base en unos 60 s tras desactivar el fallo; la rampa de subida y bajada refleja la ventana de 1 minuto de rate().</w:t>
      </w:r>
    </w:p>
    <w:p>
      <w:pPr>
        <w:pStyle w:val="Normal"/>
        <w:keepNext w:val="true"/>
        <w:spacing w:before="0" w:after="40"/>
        <w:jc w:val="center"/>
        <w:rPr/>
      </w:pPr>
      <w:r>
        <w:rPr/>
        <w:drawing>
          <wp:inline distT="0" distB="0" distL="0" distR="0">
            <wp:extent cx="5904230" cy="212534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904230" cy="2125345"/>
                    </a:xfrm>
                    <a:prstGeom prst="rect">
                      <a:avLst/>
                    </a:prstGeom>
                  </pic:spPr>
                </pic:pic>
              </a:graphicData>
            </a:graphic>
          </wp:inline>
        </w:drawing>
      </w:r>
    </w:p>
    <w:p>
      <w:pPr>
        <w:pStyle w:val="Normal"/>
        <w:keepNext w:val="true"/>
        <w:spacing w:before="0" w:after="20"/>
        <w:jc w:val="center"/>
        <w:rPr/>
      </w:pPr>
      <w:r>
        <w:rPr>
          <w:b/>
          <w:sz w:val="19"/>
        </w:rPr>
        <w:t xml:space="preserve">Figura 7. </w:t>
      </w:r>
      <w:r>
        <w:rPr>
          <w:b w:val="false"/>
          <w:i/>
          <w:sz w:val="19"/>
        </w:rPr>
        <w:t>Latencia HTTP: percentiles p50, p95 y p99</w:t>
      </w:r>
    </w:p>
    <w:p>
      <w:pPr>
        <w:pStyle w:val="Normal"/>
        <w:keepNext w:val="true"/>
        <w:spacing w:before="0" w:after="60"/>
        <w:jc w:val="center"/>
        <w:rPr/>
      </w:pPr>
      <w:r>
        <w:rPr>
          <w:b w:val="false"/>
          <w:i/>
          <w:color w:val="555555"/>
          <w:sz w:val="17"/>
        </w:rPr>
        <w:t>Fuente: elaboración propia con datos reales de Prometheus 3.5.0 exportados del laboratorio.</w:t>
      </w:r>
    </w:p>
    <w:p>
      <w:pPr>
        <w:pStyle w:val="Normal"/>
        <w:spacing w:before="0" w:after="200"/>
        <w:jc w:val="both"/>
        <w:rPr/>
      </w:pPr>
      <w:r>
        <w:rPr>
          <w:b w:val="false"/>
          <w:sz w:val="20"/>
        </w:rPr>
        <w:t>Interpretación: los tres percentiles saltaron en el mismo intervalo de 5 s en que se activó el fallo; el p95 se mantuvo cerca de 2,2 s. Como los percentiles se estiman por interpolación entre cubetas (1,5 y 2,5 s), su valor es aproximado, pero el cambio de magnitud (≈ 40 veces) es inequívoco.</w:t>
      </w:r>
    </w:p>
    <w:p>
      <w:pPr>
        <w:pStyle w:val="Normal"/>
        <w:keepNext w:val="true"/>
        <w:spacing w:before="0" w:after="40"/>
        <w:jc w:val="center"/>
        <w:rPr/>
      </w:pPr>
      <w:r>
        <w:rPr/>
        <w:drawing>
          <wp:inline distT="0" distB="0" distL="0" distR="0">
            <wp:extent cx="5904230" cy="212534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904230" cy="2125345"/>
                    </a:xfrm>
                    <a:prstGeom prst="rect">
                      <a:avLst/>
                    </a:prstGeom>
                  </pic:spPr>
                </pic:pic>
              </a:graphicData>
            </a:graphic>
          </wp:inline>
        </w:drawing>
      </w:r>
    </w:p>
    <w:p>
      <w:pPr>
        <w:pStyle w:val="Normal"/>
        <w:keepNext w:val="true"/>
        <w:spacing w:before="0" w:after="20"/>
        <w:jc w:val="center"/>
        <w:rPr/>
      </w:pPr>
      <w:r>
        <w:rPr>
          <w:b/>
          <w:sz w:val="19"/>
        </w:rPr>
        <w:t xml:space="preserve">Figura 8. </w:t>
      </w:r>
      <w:r>
        <w:rPr>
          <w:b w:val="false"/>
          <w:i/>
          <w:sz w:val="19"/>
        </w:rPr>
        <w:t>Latencia p95 y errores por segundo de inventario-db</w:t>
      </w:r>
    </w:p>
    <w:p>
      <w:pPr>
        <w:pStyle w:val="Normal"/>
        <w:keepNext w:val="true"/>
        <w:spacing w:before="0" w:after="60"/>
        <w:jc w:val="center"/>
        <w:rPr/>
      </w:pPr>
      <w:r>
        <w:rPr>
          <w:b w:val="false"/>
          <w:i/>
          <w:color w:val="555555"/>
          <w:sz w:val="17"/>
        </w:rPr>
        <w:t>Fuente: elaboración propia con datos reales de Prometheus 3.5.0 exportados del laboratorio.</w:t>
      </w:r>
    </w:p>
    <w:p>
      <w:pPr>
        <w:pStyle w:val="Normal"/>
        <w:spacing w:before="0" w:after="200"/>
        <w:jc w:val="both"/>
        <w:rPr/>
      </w:pPr>
      <w:r>
        <w:rPr>
          <w:b w:val="false"/>
          <w:sz w:val="20"/>
        </w:rPr>
        <w:t>Interpretación: el p95 de la dependencia pasó de 46,7 ms a 1 449,4 ms y aparecieron ≈ 2,6 errores/s de timeout. Es la señal más cercana al origen del fallo y la primera en superar su umbral.</w:t>
      </w:r>
    </w:p>
    <w:p>
      <w:pPr>
        <w:pStyle w:val="Normal"/>
        <w:keepNext w:val="true"/>
        <w:spacing w:before="0" w:after="40"/>
        <w:jc w:val="center"/>
        <w:rPr/>
      </w:pPr>
      <w:r>
        <w:rPr/>
        <w:drawing>
          <wp:inline distT="0" distB="0" distL="0" distR="0">
            <wp:extent cx="5904230" cy="436880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5904230" cy="4368800"/>
                    </a:xfrm>
                    <a:prstGeom prst="rect">
                      <a:avLst/>
                    </a:prstGeom>
                  </pic:spPr>
                </pic:pic>
              </a:graphicData>
            </a:graphic>
          </wp:inline>
        </w:drawing>
      </w:r>
    </w:p>
    <w:p>
      <w:pPr>
        <w:pStyle w:val="Normal"/>
        <w:keepNext w:val="true"/>
        <w:spacing w:before="0" w:after="20"/>
        <w:jc w:val="center"/>
        <w:rPr/>
      </w:pPr>
      <w:r>
        <w:rPr>
          <w:b/>
          <w:sz w:val="19"/>
        </w:rPr>
        <w:t xml:space="preserve">Figura 9. </w:t>
      </w:r>
      <w:r>
        <w:rPr>
          <w:b w:val="false"/>
          <w:i/>
          <w:sz w:val="19"/>
        </w:rPr>
        <w:t>CPU y memoria del host y del proceso de la aplicación</w:t>
      </w:r>
    </w:p>
    <w:p>
      <w:pPr>
        <w:pStyle w:val="Normal"/>
        <w:keepNext w:val="true"/>
        <w:spacing w:before="0" w:after="60"/>
        <w:jc w:val="center"/>
        <w:rPr/>
      </w:pPr>
      <w:r>
        <w:rPr>
          <w:b w:val="false"/>
          <w:i/>
          <w:color w:val="555555"/>
          <w:sz w:val="17"/>
        </w:rPr>
        <w:t>Fuente: elaboración propia con datos reales de Prometheus 3.5.0 exportados del laboratorio.</w:t>
      </w:r>
    </w:p>
    <w:p>
      <w:pPr>
        <w:pStyle w:val="Normal"/>
        <w:spacing w:before="0" w:after="200"/>
        <w:jc w:val="both"/>
        <w:rPr/>
      </w:pPr>
      <w:r>
        <w:rPr>
          <w:b w:val="false"/>
          <w:sz w:val="20"/>
        </w:rPr>
        <w:t>Interpretación: la CPU del host promedió 2,7 % durante el incidente (menos que en la línea base) y el proceso de la app consumió lo mismo en las tres fases (≈ 0,012 núcleos). La memoria disponible y el RSS no cambiaron de forma relevante. El pico de CPU antes de las 18:31 corresponde al arranque de los servicios, fuera del experimento.</w:t>
      </w:r>
    </w:p>
    <w:p>
      <w:pPr>
        <w:pStyle w:val="Normal"/>
        <w:keepNext w:val="true"/>
        <w:spacing w:before="0" w:after="40"/>
        <w:jc w:val="center"/>
        <w:rPr/>
      </w:pPr>
      <w:r>
        <w:rPr/>
        <w:drawing>
          <wp:inline distT="0" distB="0" distL="0" distR="0">
            <wp:extent cx="5904230" cy="188912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5904230" cy="1889125"/>
                    </a:xfrm>
                    <a:prstGeom prst="rect">
                      <a:avLst/>
                    </a:prstGeom>
                  </pic:spPr>
                </pic:pic>
              </a:graphicData>
            </a:graphic>
          </wp:inline>
        </w:drawing>
      </w:r>
    </w:p>
    <w:p>
      <w:pPr>
        <w:pStyle w:val="Normal"/>
        <w:keepNext w:val="true"/>
        <w:spacing w:before="0" w:after="20"/>
        <w:jc w:val="center"/>
        <w:rPr/>
      </w:pPr>
      <w:r>
        <w:rPr>
          <w:b/>
          <w:sz w:val="19"/>
        </w:rPr>
        <w:t xml:space="preserve">Figura 10. </w:t>
      </w:r>
      <w:r>
        <w:rPr>
          <w:b w:val="false"/>
          <w:i/>
          <w:sz w:val="19"/>
        </w:rPr>
        <w:t>Peticiones en curso</w:t>
      </w:r>
    </w:p>
    <w:p>
      <w:pPr>
        <w:pStyle w:val="Normal"/>
        <w:keepNext w:val="true"/>
        <w:spacing w:before="0" w:after="60"/>
        <w:jc w:val="center"/>
        <w:rPr/>
      </w:pPr>
      <w:r>
        <w:rPr>
          <w:b w:val="false"/>
          <w:i/>
          <w:color w:val="555555"/>
          <w:sz w:val="17"/>
        </w:rPr>
        <w:t>Fuente: elaboración propia con datos reales de Prometheus 3.5.0 exportados del laboratorio.</w:t>
      </w:r>
    </w:p>
    <w:p>
      <w:pPr>
        <w:pStyle w:val="Normal"/>
        <w:spacing w:before="0" w:after="200"/>
        <w:jc w:val="both"/>
        <w:rPr/>
      </w:pPr>
      <w:r>
        <w:rPr>
          <w:b w:val="false"/>
          <w:sz w:val="20"/>
        </w:rPr>
        <w:t>Interpretación: la concurrencia subió de 1 a un máximo de 10. Por la ley de Little, 8 req/s × 1,06 s ≈ 8,5 peticiones simultáneas: el aumento es consecuencia de respuestas más lentas, no de más tráfico.</w:t>
      </w:r>
    </w:p>
    <w:p>
      <w:pPr>
        <w:pStyle w:val="Normal"/>
        <w:keepNext w:val="true"/>
        <w:spacing w:before="0" w:after="40"/>
        <w:jc w:val="center"/>
        <w:rPr/>
      </w:pPr>
      <w:r>
        <w:rPr/>
        <w:drawing>
          <wp:inline distT="0" distB="0" distL="0" distR="0">
            <wp:extent cx="5219700" cy="305752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5219700" cy="3057525"/>
                    </a:xfrm>
                    <a:prstGeom prst="rect">
                      <a:avLst/>
                    </a:prstGeom>
                  </pic:spPr>
                </pic:pic>
              </a:graphicData>
            </a:graphic>
          </wp:inline>
        </w:drawing>
      </w:r>
    </w:p>
    <w:p>
      <w:pPr>
        <w:pStyle w:val="Normal"/>
        <w:keepNext w:val="true"/>
        <w:spacing w:before="0" w:after="20"/>
        <w:jc w:val="center"/>
        <w:rPr/>
      </w:pPr>
      <w:r>
        <w:rPr>
          <w:b/>
          <w:sz w:val="19"/>
        </w:rPr>
        <w:t xml:space="preserve">Figura 11. </w:t>
      </w:r>
      <w:r>
        <w:rPr>
          <w:b w:val="false"/>
          <w:i/>
          <w:sz w:val="19"/>
        </w:rPr>
        <w:t>p95 de inventario-db en la interfaz de Prometheus (regla de registro)</w:t>
      </w:r>
    </w:p>
    <w:p>
      <w:pPr>
        <w:pStyle w:val="Normal"/>
        <w:keepNext w:val="true"/>
        <w:spacing w:before="0" w:after="60"/>
        <w:jc w:val="center"/>
        <w:rPr/>
      </w:pPr>
      <w:r>
        <w:rPr>
          <w:b w:val="false"/>
          <w:i/>
          <w:color w:val="555555"/>
          <w:sz w:val="17"/>
        </w:rPr>
        <w:t>Fuente: captura auténtica de la interfaz web de Prometheus 3.5.0 del laboratorio (eje temporal en UTC; hora de Lima = UTC − 5 h).</w:t>
      </w:r>
    </w:p>
    <w:p>
      <w:pPr>
        <w:pStyle w:val="Normal"/>
        <w:spacing w:before="0" w:after="200"/>
        <w:jc w:val="both"/>
        <w:rPr/>
      </w:pPr>
      <w:r>
        <w:rPr>
          <w:b w:val="false"/>
          <w:sz w:val="20"/>
        </w:rPr>
        <w:t>Interpretación: la serie job:app_dependency_latency_seconds:p95_1m reproduce el escalón observado en los datos exportados, lo que confirma la trazabilidad entre la TSDB, las consultas y los gráficos.</w:t>
      </w:r>
    </w:p>
    <w:p>
      <w:pPr>
        <w:pStyle w:val="Heading2"/>
        <w:rPr/>
      </w:pPr>
      <w:bookmarkStart w:id="14" w:name="__RefHeading___Toc3986_4040047475"/>
      <w:bookmarkEnd w:id="14"/>
      <w:r>
        <w:rPr/>
        <w:t>6.4. Recuperación</w:t>
      </w:r>
    </w:p>
    <w:p>
      <w:pPr>
        <w:pStyle w:val="Normal"/>
        <w:jc w:val="both"/>
        <w:rPr/>
      </w:pPr>
      <w:r>
        <w:rPr>
          <w:b w:val="false"/>
        </w:rPr>
        <w:t>Tras desactivar el fallo a las 18:42:50, la latencia de la dependencia volvió a su nivel normal en el siguiente intervalo de recolección, y las señales basadas en ventanas de 1 minuto regresaron a la base en unos 60 s. En la fase de recuperación completa el p95 HTTP fue 55,9 ms (base: 54,7 ms) y los errores 0,18 %, valores equivalentes a la línea base. Los pocos errores restantes se explican por la tasa transitoria normal de la dependencia y por peticiones iniciadas durante el fallo que terminaron después del corte.</w:t>
      </w:r>
    </w:p>
    <w:p>
      <w:pPr>
        <w:pStyle w:val="Normal"/>
        <w:keepNext w:val="true"/>
        <w:spacing w:before="0" w:after="40"/>
        <w:jc w:val="center"/>
        <w:rPr/>
      </w:pPr>
      <w:r>
        <w:rPr/>
        <w:drawing>
          <wp:inline distT="0" distB="0" distL="0" distR="0">
            <wp:extent cx="5219700" cy="3057525"/>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5219700" cy="3057525"/>
                    </a:xfrm>
                    <a:prstGeom prst="rect">
                      <a:avLst/>
                    </a:prstGeom>
                  </pic:spPr>
                </pic:pic>
              </a:graphicData>
            </a:graphic>
          </wp:inline>
        </w:drawing>
      </w:r>
    </w:p>
    <w:p>
      <w:pPr>
        <w:pStyle w:val="Normal"/>
        <w:keepNext w:val="true"/>
        <w:spacing w:before="0" w:after="20"/>
        <w:jc w:val="center"/>
        <w:rPr/>
      </w:pPr>
      <w:r>
        <w:rPr>
          <w:b/>
          <w:sz w:val="19"/>
        </w:rPr>
        <w:t xml:space="preserve">Figura 12. </w:t>
      </w:r>
      <w:r>
        <w:rPr>
          <w:b w:val="false"/>
          <w:i/>
          <w:sz w:val="19"/>
        </w:rPr>
        <w:t>Ciclo completo de la latencia p95: línea base, incidente y recuperación</w:t>
      </w:r>
    </w:p>
    <w:p>
      <w:pPr>
        <w:pStyle w:val="Normal"/>
        <w:keepNext w:val="true"/>
        <w:spacing w:before="0" w:after="60"/>
        <w:jc w:val="center"/>
        <w:rPr/>
      </w:pPr>
      <w:r>
        <w:rPr>
          <w:b w:val="false"/>
          <w:i/>
          <w:color w:val="555555"/>
          <w:sz w:val="17"/>
        </w:rPr>
        <w:t>Fuente: captura auténtica de la interfaz web de Prometheus 3.5.0 del laboratorio (eje temporal en UTC; hora de Lima = UTC − 5 h).</w:t>
      </w:r>
    </w:p>
    <w:p>
      <w:pPr>
        <w:pStyle w:val="Normal"/>
        <w:spacing w:before="0" w:after="200"/>
        <w:jc w:val="both"/>
        <w:rPr/>
      </w:pPr>
      <w:r>
        <w:rPr>
          <w:b w:val="false"/>
          <w:sz w:val="20"/>
        </w:rPr>
        <w:t>Interpretación: la captura de la interfaz de Prometheus muestra el escalón de ≈ 0,05 s a ≈ 2,2 s y el retorno completo al nivel inicial, sin degradación residual.</w:t>
      </w:r>
    </w:p>
    <w:p>
      <w:pPr>
        <w:pStyle w:val="Heading2"/>
        <w:rPr/>
      </w:pPr>
      <w:bookmarkStart w:id="15" w:name="__RefHeading___Toc3988_4040047475"/>
      <w:bookmarkEnd w:id="15"/>
      <w:r>
        <w:rPr/>
        <w:t>6.5. Consultas PromQL</w:t>
      </w:r>
    </w:p>
    <w:p>
      <w:pPr>
        <w:pStyle w:val="Normal"/>
        <w:jc w:val="both"/>
        <w:rPr/>
      </w:pPr>
      <w:r>
        <w:rPr>
          <w:b w:val="false"/>
        </w:rPr>
        <w:t xml:space="preserve">Cada consulta se evaluó con la API de Prometheus al final de cada fase, usando como ventana de rango la duración completa de la fase (Δ = 361 s, 302 s y 360 s). Los resultados completos están en </w:t>
      </w:r>
      <w:r>
        <w:rPr>
          <w:rFonts w:ascii="Consolas" w:hAnsi="Consolas"/>
          <w:color w:val="8B1A1A"/>
          <w:sz w:val="19"/>
        </w:rPr>
        <w:t>resultados/consultas_promql.json</w:t>
      </w:r>
      <w:r>
        <w:rPr>
          <w:b w:val="false"/>
        </w:rPr>
        <w:t xml:space="preserve"> (57 evaluaciones).</w:t>
      </w:r>
    </w:p>
    <w:p>
      <w:pPr>
        <w:pStyle w:val="Normal"/>
        <w:keepNext w:val="true"/>
        <w:spacing w:before="0" w:after="60"/>
        <w:rPr/>
      </w:pPr>
      <w:r>
        <w:rPr>
          <w:b/>
        </w:rPr>
        <w:t xml:space="preserve">Tabla 7. </w:t>
      </w:r>
      <w:r>
        <w:rPr>
          <w:b w:val="false"/>
          <w:i/>
        </w:rPr>
        <w:t>Consultas PromQL principales, resultados e interpretación</w:t>
      </w:r>
    </w:p>
    <w:tbl>
      <w:tblPr>
        <w:tblStyle w:val="TableGrid"/>
        <w:tblW w:w="93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60"/>
        <w:gridCol w:w="1860"/>
        <w:gridCol w:w="1860"/>
        <w:gridCol w:w="1860"/>
        <w:gridCol w:w="1860"/>
      </w:tblGrid>
      <w:tr>
        <w:trPr>
          <w:tblHeader w:val="true"/>
        </w:trPr>
        <w:tc>
          <w:tcPr>
            <w:tcW w:w="1860"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6"/>
                <w:szCs w:val="22"/>
                <w:lang w:val="en-US" w:eastAsia="en-US" w:bidi="ar-SA"/>
              </w:rPr>
              <w:t>ID</w:t>
            </w:r>
          </w:p>
        </w:tc>
        <w:tc>
          <w:tcPr>
            <w:tcW w:w="1860"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6"/>
                <w:szCs w:val="22"/>
                <w:lang w:val="en-US" w:eastAsia="en-US" w:bidi="ar-SA"/>
              </w:rPr>
              <w:t>PromQL</w:t>
            </w:r>
          </w:p>
        </w:tc>
        <w:tc>
          <w:tcPr>
            <w:tcW w:w="1860"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6"/>
                <w:szCs w:val="22"/>
                <w:lang w:val="en-US" w:eastAsia="en-US" w:bidi="ar-SA"/>
              </w:rPr>
              <w:t>Objetivo</w:t>
            </w:r>
          </w:p>
        </w:tc>
        <w:tc>
          <w:tcPr>
            <w:tcW w:w="1860"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6"/>
                <w:szCs w:val="22"/>
                <w:lang w:val="en-US" w:eastAsia="en-US" w:bidi="ar-SA"/>
              </w:rPr>
              <w:t>Resultado (base / incidente / recuperación)</w:t>
            </w:r>
          </w:p>
        </w:tc>
        <w:tc>
          <w:tcPr>
            <w:tcW w:w="1860"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6"/>
                <w:szCs w:val="22"/>
                <w:lang w:val="en-US" w:eastAsia="en-US" w:bidi="ar-SA"/>
              </w:rPr>
              <w:t>Interpretación</w:t>
            </w:r>
          </w:p>
        </w:tc>
      </w:tr>
      <w:tr>
        <w:trPr/>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Q1</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min_over_time(up{job="catalogo-app"}[Δ])</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Disponibilidad del objetivo</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1 / 1 / 1</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El objetivo nunca dejó de ser recolectado.</w:t>
            </w:r>
          </w:p>
        </w:tc>
      </w:tr>
      <w:tr>
        <w:trPr/>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Q2b</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sum(rate(app_http_requests_total[Δ]))</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Tasa por segundo (rate)</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7,99 / 8,01 / 8,00</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La carga fue constante.</w:t>
            </w:r>
          </w:p>
        </w:tc>
      </w:tr>
      <w:tr>
        <w:trPr/>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Q2c</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sum by (endpoint, status) (rate(app_http_requests_total[Δ]))</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Tasa por endpoint y estado</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503 en incidente: productos 1,65/s; checkout 0,94/s; raíz 0</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Solo fallan los endpoints que usan inventario-db.</w:t>
            </w:r>
          </w:p>
        </w:tc>
      </w:tr>
      <w:tr>
        <w:trPr/>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Q3</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sum(increase(…{status=~"5.."}[Δ])) / sum(increase(…[Δ]))</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Tasa de errores</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0,035 % / 32,38 % / 0,18 %</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Unas 900 veces más errores en el incidente.</w:t>
            </w:r>
          </w:p>
        </w:tc>
      </w:tr>
      <w:tr>
        <w:trPr/>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Q4b</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histogram_quantile(0.95, sum by (le) (rate(…_bucket[Δ])))</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Latencia p95</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54,7 ms / 2 195,8 ms / 55,9 ms</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Degradación severa y reversible.</w:t>
            </w:r>
          </w:p>
        </w:tc>
      </w:tr>
      <w:tr>
        <w:trPr/>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Q4c</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histogram_quantile(0.95, sum by (endpoint, le) (rate(…_bucket[Δ])))</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Agrupación by endpoint</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raíz 9,5 ms en las 3 fases; checkout 91 ms → 2 490 ms</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La ruta sin dependencia no se degradó; checkout (2 llamadas) es la más afectada.</w:t>
            </w:r>
          </w:p>
        </w:tc>
      </w:tr>
      <w:tr>
        <w:trPr/>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Q5</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max_over_time(job:app_http_latency_seconds:p95_1m[Δ])</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Máximo temporal</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71,8 ms / 2 263,2 ms</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Pico del incidente ≈ 31 veces el pico base.</w:t>
            </w:r>
          </w:p>
        </w:tc>
      </w:tr>
      <w:tr>
        <w:trPr/>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Q6</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histogram_quantile(0.95, sum by (le) (rate(app_dependency_duration_seconds_bucket[Δ])))</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Latencia de dependencia</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46,7 ms / 1 449,4 ms / 46,6 ms</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Origen de la latencia observada.</w:t>
            </w:r>
          </w:p>
        </w:tc>
      </w:tr>
      <w:tr>
        <w:trPr/>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Q8a</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1 - avg by (instance) (rate(node_cpu_seconds_total{mode="idle"}[Δ]))</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Uso de CPU (avg by)</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3,8 % / 2,7 % / 2,6 %</w:t>
            </w:r>
          </w:p>
        </w:tc>
        <w:tc>
          <w:tcPr>
            <w:tcW w:w="1860" w:type="dxa"/>
            <w:tcBorders/>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Sin presión de CPU.</w:t>
            </w:r>
          </w:p>
        </w:tc>
      </w:tr>
      <w:tr>
        <w:trPr/>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Q9a</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min_over_time((MemAvailable / MemTotal)[Δ:5s])</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Uso de memoria (subconsulta)</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90,1 % / 91,6 % / 92,0 %</w:t>
            </w:r>
          </w:p>
        </w:tc>
        <w:tc>
          <w:tcPr>
            <w:tcW w:w="186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6"/>
                <w:szCs w:val="22"/>
                <w:lang w:val="en-US" w:eastAsia="en-US" w:bidi="ar-SA"/>
              </w:rPr>
              <w:t>Sin presión de memoria.</w:t>
            </w:r>
          </w:p>
        </w:tc>
      </w:tr>
    </w:tbl>
    <w:p>
      <w:pPr>
        <w:pStyle w:val="Normal"/>
        <w:spacing w:before="0" w:after="160"/>
        <w:rPr/>
      </w:pPr>
      <w:r>
        <w:rPr>
          <w:b w:val="false"/>
          <w:i/>
          <w:color w:val="555555"/>
          <w:sz w:val="17"/>
        </w:rPr>
        <w:t>Fuente: resultados/consultas_promql.json. «…» abrevia el nombre de métrica indicado en el Anexo A.</w:t>
      </w:r>
    </w:p>
    <w:p>
      <w:pPr>
        <w:pStyle w:val="Normal"/>
        <w:keepNext w:val="true"/>
        <w:spacing w:before="0" w:after="40"/>
        <w:jc w:val="center"/>
        <w:rPr/>
      </w:pPr>
      <w:r>
        <w:rPr/>
        <w:drawing>
          <wp:inline distT="0" distB="0" distL="0" distR="0">
            <wp:extent cx="5219700" cy="3057525"/>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5219700" cy="3057525"/>
                    </a:xfrm>
                    <a:prstGeom prst="rect">
                      <a:avLst/>
                    </a:prstGeom>
                  </pic:spPr>
                </pic:pic>
              </a:graphicData>
            </a:graphic>
          </wp:inline>
        </w:drawing>
      </w:r>
    </w:p>
    <w:p>
      <w:pPr>
        <w:pStyle w:val="Normal"/>
        <w:keepNext w:val="true"/>
        <w:spacing w:before="0" w:after="20"/>
        <w:jc w:val="center"/>
        <w:rPr/>
      </w:pPr>
      <w:r>
        <w:rPr>
          <w:b/>
          <w:sz w:val="19"/>
        </w:rPr>
        <w:t xml:space="preserve">Figura 13. </w:t>
      </w:r>
      <w:r>
        <w:rPr>
          <w:b w:val="false"/>
          <w:i/>
          <w:sz w:val="19"/>
        </w:rPr>
        <w:t>Consulta max_over_time sobre el p95 en la interfaz de Prometheus</w:t>
      </w:r>
    </w:p>
    <w:p>
      <w:pPr>
        <w:pStyle w:val="Normal"/>
        <w:keepNext w:val="true"/>
        <w:spacing w:before="0" w:after="60"/>
        <w:jc w:val="center"/>
        <w:rPr/>
      </w:pPr>
      <w:r>
        <w:rPr>
          <w:b w:val="false"/>
          <w:i/>
          <w:color w:val="555555"/>
          <w:sz w:val="17"/>
        </w:rPr>
        <w:t>Fuente: captura auténtica de la interfaz web de Prometheus 3.5.0 del laboratorio (eje temporal en UTC; hora de Lima = UTC − 5 h).</w:t>
      </w:r>
    </w:p>
    <w:p>
      <w:pPr>
        <w:pStyle w:val="Normal"/>
        <w:spacing w:before="0" w:after="200"/>
        <w:jc w:val="both"/>
        <w:rPr/>
      </w:pPr>
      <w:r>
        <w:rPr>
          <w:b w:val="false"/>
          <w:sz w:val="20"/>
        </w:rPr>
        <w:t>Interpretación: max_over_time con ventana de 5 min conserva el pico durante 5 minutos después del incidente; es útil para revisar periodos pasados sin perder máximos breves, pero no debe usarse para detectar la recuperación en tiempo real.</w:t>
      </w:r>
    </w:p>
    <w:p>
      <w:pPr>
        <w:pStyle w:val="Heading2"/>
        <w:rPr/>
      </w:pPr>
      <w:bookmarkStart w:id="16" w:name="__RefHeading___Toc3990_4040047475"/>
      <w:bookmarkEnd w:id="16"/>
      <w:r>
        <w:rPr/>
        <w:t>6.6. Alertas</w:t>
      </w:r>
    </w:p>
    <w:p>
      <w:pPr>
        <w:pStyle w:val="Normal"/>
        <w:keepNext w:val="true"/>
        <w:spacing w:before="0" w:after="60"/>
        <w:rPr/>
      </w:pPr>
      <w:r>
        <w:rPr>
          <w:b/>
        </w:rPr>
        <w:t xml:space="preserve">Tabla 8. </w:t>
      </w:r>
      <w:r>
        <w:rPr>
          <w:b w:val="false"/>
          <w:i/>
        </w:rPr>
        <w:t>Transiciones de las alertas durante el experimento (hora de Lima)</w:t>
      </w:r>
    </w:p>
    <w:tbl>
      <w:tblPr>
        <w:tblStyle w:val="TableGrid"/>
        <w:tblW w:w="93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550"/>
        <w:gridCol w:w="1549"/>
        <w:gridCol w:w="1551"/>
        <w:gridCol w:w="1550"/>
        <w:gridCol w:w="1549"/>
        <w:gridCol w:w="1550"/>
      </w:tblGrid>
      <w:tr>
        <w:trPr>
          <w:tblHeader w:val="true"/>
        </w:trPr>
        <w:tc>
          <w:tcPr>
            <w:tcW w:w="1550"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7"/>
                <w:szCs w:val="22"/>
                <w:lang w:val="en-US" w:eastAsia="en-US" w:bidi="ar-SA"/>
              </w:rPr>
              <w:t>Alerta</w:t>
            </w:r>
          </w:p>
        </w:tc>
        <w:tc>
          <w:tcPr>
            <w:tcW w:w="1549"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7"/>
                <w:szCs w:val="22"/>
                <w:lang w:val="en-US" w:eastAsia="en-US" w:bidi="ar-SA"/>
              </w:rPr>
              <w:t>Condición (for)</w:t>
            </w:r>
          </w:p>
        </w:tc>
        <w:tc>
          <w:tcPr>
            <w:tcW w:w="1551"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7"/>
                <w:szCs w:val="22"/>
                <w:lang w:val="en-US" w:eastAsia="en-US" w:bidi="ar-SA"/>
              </w:rPr>
              <w:t>Pending desde</w:t>
            </w:r>
          </w:p>
        </w:tc>
        <w:tc>
          <w:tcPr>
            <w:tcW w:w="1550"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7"/>
                <w:szCs w:val="22"/>
                <w:lang w:val="en-US" w:eastAsia="en-US" w:bidi="ar-SA"/>
              </w:rPr>
              <w:t>Firing desde</w:t>
            </w:r>
          </w:p>
        </w:tc>
        <w:tc>
          <w:tcPr>
            <w:tcW w:w="1549"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7"/>
                <w:szCs w:val="22"/>
                <w:lang w:val="en-US" w:eastAsia="en-US" w:bidi="ar-SA"/>
              </w:rPr>
              <w:t>Firing hasta</w:t>
            </w:r>
          </w:p>
        </w:tc>
        <w:tc>
          <w:tcPr>
            <w:tcW w:w="1550"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7"/>
                <w:szCs w:val="22"/>
                <w:lang w:val="en-US" w:eastAsia="en-US" w:bidi="ar-SA"/>
              </w:rPr>
              <w:t>Resultado</w:t>
            </w:r>
          </w:p>
        </w:tc>
      </w:tr>
      <w:tr>
        <w:trPr/>
        <w:tc>
          <w:tcPr>
            <w:tcW w:w="1550"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DependenciaLenta</w:t>
            </w:r>
          </w:p>
        </w:tc>
        <w:tc>
          <w:tcPr>
            <w:tcW w:w="1549"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p95 dependencia &gt; 250 ms (1 m)</w:t>
            </w:r>
          </w:p>
        </w:tc>
        <w:tc>
          <w:tcPr>
            <w:tcW w:w="1551"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18:38:02</w:t>
            </w:r>
          </w:p>
        </w:tc>
        <w:tc>
          <w:tcPr>
            <w:tcW w:w="1550"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18:39:02</w:t>
            </w:r>
          </w:p>
        </w:tc>
        <w:tc>
          <w:tcPr>
            <w:tcW w:w="1549"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18:43:47</w:t>
            </w:r>
          </w:p>
        </w:tc>
        <w:tc>
          <w:tcPr>
            <w:tcW w:w="1550"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Disparó</w:t>
            </w:r>
          </w:p>
        </w:tc>
      </w:tr>
      <w:tr>
        <w:trPr/>
        <w:tc>
          <w:tcPr>
            <w:tcW w:w="155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LatenciaP95Alta</w:t>
            </w:r>
          </w:p>
        </w:tc>
        <w:tc>
          <w:tcPr>
            <w:tcW w:w="154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p95 HTTP &gt; 500 ms (1 m)</w:t>
            </w:r>
          </w:p>
        </w:tc>
        <w:tc>
          <w:tcPr>
            <w:tcW w:w="1551"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18:38:02</w:t>
            </w:r>
          </w:p>
        </w:tc>
        <w:tc>
          <w:tcPr>
            <w:tcW w:w="155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18:39:02</w:t>
            </w:r>
          </w:p>
        </w:tc>
        <w:tc>
          <w:tcPr>
            <w:tcW w:w="154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18:43:47</w:t>
            </w:r>
          </w:p>
        </w:tc>
        <w:tc>
          <w:tcPr>
            <w:tcW w:w="155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Disparó</w:t>
            </w:r>
          </w:p>
        </w:tc>
      </w:tr>
      <w:tr>
        <w:trPr/>
        <w:tc>
          <w:tcPr>
            <w:tcW w:w="1550"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TasaErroresAlta</w:t>
            </w:r>
          </w:p>
        </w:tc>
        <w:tc>
          <w:tcPr>
            <w:tcW w:w="1549"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5xx &gt; 5 % (1 m)</w:t>
            </w:r>
          </w:p>
        </w:tc>
        <w:tc>
          <w:tcPr>
            <w:tcW w:w="1551"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18:38:07</w:t>
            </w:r>
          </w:p>
        </w:tc>
        <w:tc>
          <w:tcPr>
            <w:tcW w:w="1550"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18:39:07</w:t>
            </w:r>
          </w:p>
        </w:tc>
        <w:tc>
          <w:tcPr>
            <w:tcW w:w="1549"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18:43:42</w:t>
            </w:r>
          </w:p>
        </w:tc>
        <w:tc>
          <w:tcPr>
            <w:tcW w:w="1550"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Disparó</w:t>
            </w:r>
          </w:p>
        </w:tc>
      </w:tr>
      <w:tr>
        <w:trPr/>
        <w:tc>
          <w:tcPr>
            <w:tcW w:w="155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CPUHostAlta</w:t>
            </w:r>
          </w:p>
        </w:tc>
        <w:tc>
          <w:tcPr>
            <w:tcW w:w="154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CPU host &gt; 85 % (2 m)</w:t>
            </w:r>
          </w:p>
        </w:tc>
        <w:tc>
          <w:tcPr>
            <w:tcW w:w="1551"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w:t>
            </w:r>
          </w:p>
        </w:tc>
        <w:tc>
          <w:tcPr>
            <w:tcW w:w="155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w:t>
            </w:r>
          </w:p>
        </w:tc>
        <w:tc>
          <w:tcPr>
            <w:tcW w:w="154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w:t>
            </w:r>
          </w:p>
        </w:tc>
        <w:tc>
          <w:tcPr>
            <w:tcW w:w="155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No disparó (correcto)</w:t>
            </w:r>
          </w:p>
        </w:tc>
      </w:tr>
      <w:tr>
        <w:trPr/>
        <w:tc>
          <w:tcPr>
            <w:tcW w:w="1550"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MemoriaHostBaja</w:t>
            </w:r>
          </w:p>
        </w:tc>
        <w:tc>
          <w:tcPr>
            <w:tcW w:w="1549"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Mem. disponible &lt; 10 % (2 m)</w:t>
            </w:r>
          </w:p>
        </w:tc>
        <w:tc>
          <w:tcPr>
            <w:tcW w:w="1551"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w:t>
            </w:r>
          </w:p>
        </w:tc>
        <w:tc>
          <w:tcPr>
            <w:tcW w:w="1550"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w:t>
            </w:r>
          </w:p>
        </w:tc>
        <w:tc>
          <w:tcPr>
            <w:tcW w:w="1549"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w:t>
            </w:r>
          </w:p>
        </w:tc>
        <w:tc>
          <w:tcPr>
            <w:tcW w:w="1550"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No disparó (correcto)</w:t>
            </w:r>
          </w:p>
        </w:tc>
      </w:tr>
      <w:tr>
        <w:trPr/>
        <w:tc>
          <w:tcPr>
            <w:tcW w:w="155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ObjetivoCaido</w:t>
            </w:r>
          </w:p>
        </w:tc>
        <w:tc>
          <w:tcPr>
            <w:tcW w:w="154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up == 0 (30 s)</w:t>
            </w:r>
          </w:p>
        </w:tc>
        <w:tc>
          <w:tcPr>
            <w:tcW w:w="1551"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w:t>
            </w:r>
          </w:p>
        </w:tc>
        <w:tc>
          <w:tcPr>
            <w:tcW w:w="155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w:t>
            </w:r>
          </w:p>
        </w:tc>
        <w:tc>
          <w:tcPr>
            <w:tcW w:w="154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w:t>
            </w:r>
          </w:p>
        </w:tc>
        <w:tc>
          <w:tcPr>
            <w:tcW w:w="1550"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No disparó (correcto)</w:t>
            </w:r>
          </w:p>
        </w:tc>
      </w:tr>
    </w:tbl>
    <w:p>
      <w:pPr>
        <w:pStyle w:val="Normal"/>
        <w:spacing w:before="0" w:after="160"/>
        <w:rPr/>
      </w:pPr>
      <w:r>
        <w:rPr>
          <w:b w:val="false"/>
          <w:i/>
          <w:color w:val="555555"/>
          <w:sz w:val="17"/>
        </w:rPr>
        <w:t>Fuente: resultados/alertas_transiciones.json (serie ALERTS de Prometheus, paso 5 s).</w:t>
      </w:r>
    </w:p>
    <w:p>
      <w:pPr>
        <w:pStyle w:val="Normal"/>
        <w:jc w:val="both"/>
        <w:rPr/>
      </w:pPr>
      <w:r>
        <w:rPr>
          <w:b w:val="false"/>
        </w:rPr>
        <w:t xml:space="preserve">Las alertas pasaron a *pending* 14–19 s después de activar el fallo y a *firing* unos 74–79 s después (por la cláusula </w:t>
      </w:r>
      <w:r>
        <w:rPr>
          <w:rFonts w:ascii="Consolas" w:hAnsi="Consolas"/>
          <w:color w:val="8B1A1A"/>
          <w:sz w:val="19"/>
        </w:rPr>
        <w:t>for: 1m</w:t>
      </w:r>
      <w:r>
        <w:rPr>
          <w:b w:val="false"/>
        </w:rPr>
        <w:t>). Se resolvieron entre 52 y 57 s después de desactivar el fallo, cuando las ventanas de 1 minuto dejaron de contener muestras del incidente. Las alertas de recursos no se activaron, lo que coincide con los datos de CPU y memoria.</w:t>
      </w:r>
    </w:p>
    <w:p>
      <w:pPr>
        <w:pStyle w:val="Normal"/>
        <w:keepNext w:val="true"/>
        <w:spacing w:before="0" w:after="40"/>
        <w:jc w:val="center"/>
        <w:rPr/>
      </w:pPr>
      <w:r>
        <w:rPr/>
        <w:drawing>
          <wp:inline distT="0" distB="0" distL="0" distR="0">
            <wp:extent cx="5904230" cy="1534795"/>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5904230" cy="1534795"/>
                    </a:xfrm>
                    <a:prstGeom prst="rect">
                      <a:avLst/>
                    </a:prstGeom>
                  </pic:spPr>
                </pic:pic>
              </a:graphicData>
            </a:graphic>
          </wp:inline>
        </w:drawing>
      </w:r>
    </w:p>
    <w:p>
      <w:pPr>
        <w:pStyle w:val="Normal"/>
        <w:keepNext w:val="true"/>
        <w:spacing w:before="0" w:after="20"/>
        <w:jc w:val="center"/>
        <w:rPr/>
      </w:pPr>
      <w:r>
        <w:rPr>
          <w:b/>
          <w:sz w:val="19"/>
        </w:rPr>
        <w:t xml:space="preserve">Figura 14. </w:t>
      </w:r>
      <w:r>
        <w:rPr>
          <w:b w:val="false"/>
          <w:i/>
          <w:sz w:val="19"/>
        </w:rPr>
        <w:t>Número de alertas en estado firing</w:t>
      </w:r>
    </w:p>
    <w:p>
      <w:pPr>
        <w:pStyle w:val="Normal"/>
        <w:keepNext w:val="true"/>
        <w:spacing w:before="0" w:after="60"/>
        <w:jc w:val="center"/>
        <w:rPr/>
      </w:pPr>
      <w:r>
        <w:rPr>
          <w:b w:val="false"/>
          <w:i/>
          <w:color w:val="555555"/>
          <w:sz w:val="17"/>
        </w:rPr>
        <w:t>Fuente: elaboración propia con datos reales de Prometheus 3.5.0 exportados del laboratorio.</w:t>
      </w:r>
    </w:p>
    <w:p>
      <w:pPr>
        <w:pStyle w:val="Normal"/>
        <w:spacing w:before="0" w:after="200"/>
        <w:jc w:val="both"/>
        <w:rPr/>
      </w:pPr>
      <w:r>
        <w:rPr>
          <w:b w:val="false"/>
          <w:sz w:val="20"/>
        </w:rPr>
        <w:t>Interpretación: las tres alertas de servicio estuvieron activas solo durante el incidente (más el desfase de las ventanas); fuera de él el conteo es 0, es decir, no hubo falsos positivos en la línea base ni en la recuperación.</w:t>
      </w:r>
    </w:p>
    <w:p>
      <w:pPr>
        <w:pStyle w:val="Normal"/>
        <w:keepNext w:val="true"/>
        <w:spacing w:before="0" w:after="40"/>
        <w:jc w:val="center"/>
        <w:rPr/>
      </w:pPr>
      <w:r>
        <w:rPr/>
        <w:drawing>
          <wp:inline distT="0" distB="0" distL="0" distR="0">
            <wp:extent cx="5219700" cy="3057525"/>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6"/>
                    <a:stretch>
                      <a:fillRect/>
                    </a:stretch>
                  </pic:blipFill>
                  <pic:spPr bwMode="auto">
                    <a:xfrm>
                      <a:off x="0" y="0"/>
                      <a:ext cx="5219700" cy="3057525"/>
                    </a:xfrm>
                    <a:prstGeom prst="rect">
                      <a:avLst/>
                    </a:prstGeom>
                  </pic:spPr>
                </pic:pic>
              </a:graphicData>
            </a:graphic>
          </wp:inline>
        </w:drawing>
      </w:r>
    </w:p>
    <w:p>
      <w:pPr>
        <w:pStyle w:val="Normal"/>
        <w:keepNext w:val="true"/>
        <w:spacing w:before="0" w:after="20"/>
        <w:jc w:val="center"/>
        <w:rPr/>
      </w:pPr>
      <w:r>
        <w:rPr>
          <w:b/>
          <w:sz w:val="19"/>
        </w:rPr>
        <w:t xml:space="preserve">Figura 15. </w:t>
      </w:r>
      <w:r>
        <w:rPr>
          <w:b w:val="false"/>
          <w:i/>
          <w:sz w:val="19"/>
        </w:rPr>
        <w:t>Alertas por estado: sum by (alertstate) (ALERTS), gráfico apilado</w:t>
      </w:r>
    </w:p>
    <w:p>
      <w:pPr>
        <w:pStyle w:val="Normal"/>
        <w:keepNext w:val="true"/>
        <w:spacing w:before="0" w:after="60"/>
        <w:jc w:val="center"/>
        <w:rPr/>
      </w:pPr>
      <w:r>
        <w:rPr>
          <w:b w:val="false"/>
          <w:i/>
          <w:color w:val="555555"/>
          <w:sz w:val="17"/>
        </w:rPr>
        <w:t>Fuente: captura auténtica de la interfaz web de Prometheus 3.5.0 del laboratorio (eje temporal en UTC; hora de Lima = UTC − 5 h).</w:t>
      </w:r>
    </w:p>
    <w:p>
      <w:pPr>
        <w:pStyle w:val="Normal"/>
        <w:spacing w:before="0" w:after="200"/>
        <w:jc w:val="both"/>
        <w:rPr/>
      </w:pPr>
      <w:r>
        <w:rPr>
          <w:b w:val="false"/>
          <w:sz w:val="20"/>
        </w:rPr>
        <w:t>Interpretación: (azul: pending; verde: firing). Unos segundos después del inicio aparecen alertas en pending y, un minuto después, las tres pasan a firing; desaparecen cerca de un minuto después de retirar el fallo. Verifica que las reglas se evaluaron en el entorno real.</w:t>
      </w:r>
    </w:p>
    <w:p>
      <w:pPr>
        <w:pStyle w:val="Heading1"/>
        <w:rPr/>
      </w:pPr>
      <w:bookmarkStart w:id="17" w:name="__RefHeading___Toc3992_4040047475"/>
      <w:bookmarkEnd w:id="17"/>
      <w:r>
        <w:rPr/>
        <w:t>7. Análisis del fallo</w:t>
      </w:r>
    </w:p>
    <w:p>
      <w:pPr>
        <w:pStyle w:val="Heading2"/>
        <w:rPr/>
      </w:pPr>
      <w:bookmarkStart w:id="18" w:name="__RefHeading___Toc3994_4040047475"/>
      <w:bookmarkEnd w:id="18"/>
      <w:r>
        <w:rPr/>
        <w:t>7.1. Línea temporal</w:t>
      </w:r>
    </w:p>
    <w:p>
      <w:pPr>
        <w:pStyle w:val="Normal"/>
        <w:keepNext w:val="true"/>
        <w:spacing w:before="0" w:after="60"/>
        <w:rPr/>
      </w:pPr>
      <w:r>
        <w:rPr>
          <w:b/>
        </w:rPr>
        <w:t xml:space="preserve">Tabla 9. </w:t>
      </w:r>
      <w:r>
        <w:rPr>
          <w:b w:val="false"/>
          <w:i/>
        </w:rPr>
        <w:t>Línea temporal del incidente</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99"/>
        <w:gridCol w:w="3099"/>
        <w:gridCol w:w="3099"/>
      </w:tblGrid>
      <w:tr>
        <w:trPr>
          <w:tblHeader w:val="true"/>
        </w:trPr>
        <w:tc>
          <w:tcPr>
            <w:tcW w:w="3099"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8"/>
                <w:szCs w:val="22"/>
                <w:lang w:val="en-US" w:eastAsia="en-US" w:bidi="ar-SA"/>
              </w:rPr>
              <w:t>Hora (Lima)</w:t>
            </w:r>
          </w:p>
        </w:tc>
        <w:tc>
          <w:tcPr>
            <w:tcW w:w="3099"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8"/>
                <w:szCs w:val="22"/>
                <w:lang w:val="en-US" w:eastAsia="en-US" w:bidi="ar-SA"/>
              </w:rPr>
              <w:t>Evento u observación</w:t>
            </w:r>
          </w:p>
        </w:tc>
        <w:tc>
          <w:tcPr>
            <w:tcW w:w="3099"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8"/>
                <w:szCs w:val="22"/>
                <w:lang w:val="en-US" w:eastAsia="en-US" w:bidi="ar-SA"/>
              </w:rPr>
              <w:t>Fuente</w:t>
            </w:r>
          </w:p>
        </w:tc>
      </w:tr>
      <w:tr>
        <w:trPr/>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18:31:47</w:t>
            </w:r>
          </w:p>
        </w:tc>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Inicio de la línea base; señales estables</w:t>
            </w:r>
          </w:p>
        </w:tc>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timeline.csv</w:t>
            </w:r>
          </w:p>
        </w:tc>
      </w:tr>
      <w:tr>
        <w:trPr/>
        <w:tc>
          <w:tcPr>
            <w:tcW w:w="309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18:37:48</w:t>
            </w:r>
          </w:p>
        </w:tc>
        <w:tc>
          <w:tcPr>
            <w:tcW w:w="309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Se activa el fallo de inventario-db (cambio declarado)</w:t>
            </w:r>
          </w:p>
        </w:tc>
        <w:tc>
          <w:tcPr>
            <w:tcW w:w="309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timeline.csv</w:t>
            </w:r>
          </w:p>
        </w:tc>
      </w:tr>
      <w:tr>
        <w:trPr/>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18:37:48–18:37:53</w:t>
            </w:r>
          </w:p>
        </w:tc>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p95 de la dependencia y p95 HTTP aumentan en el mismo intervalo de recolección</w:t>
            </w:r>
          </w:p>
        </w:tc>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Figuras 7, 8 y 16</w:t>
            </w:r>
          </w:p>
        </w:tc>
      </w:tr>
      <w:tr>
        <w:trPr/>
        <w:tc>
          <w:tcPr>
            <w:tcW w:w="309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18:38:02</w:t>
            </w:r>
          </w:p>
        </w:tc>
        <w:tc>
          <w:tcPr>
            <w:tcW w:w="309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LatenciaP95Alta y DependenciaLenta en pending</w:t>
            </w:r>
          </w:p>
        </w:tc>
        <w:tc>
          <w:tcPr>
            <w:tcW w:w="309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ALERTS</w:t>
            </w:r>
          </w:p>
        </w:tc>
      </w:tr>
      <w:tr>
        <w:trPr/>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 xml:space="preserve">≈ </w:t>
            </w:r>
            <w:r>
              <w:rPr>
                <w:rFonts w:cs=""/>
                <w:b w:val="false"/>
                <w:kern w:val="0"/>
                <w:sz w:val="18"/>
                <w:szCs w:val="22"/>
                <w:lang w:val="en-US" w:eastAsia="en-US" w:bidi="ar-SA"/>
              </w:rPr>
              <w:t>18:38:50</w:t>
            </w:r>
          </w:p>
        </w:tc>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La proporción de 5xx se estabiliza en 31–35 % (fin de la rampa de 1 min)</w:t>
            </w:r>
          </w:p>
        </w:tc>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Figura 6</w:t>
            </w:r>
          </w:p>
        </w:tc>
      </w:tr>
      <w:tr>
        <w:trPr/>
        <w:tc>
          <w:tcPr>
            <w:tcW w:w="309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18:39:02</w:t>
            </w:r>
          </w:p>
        </w:tc>
        <w:tc>
          <w:tcPr>
            <w:tcW w:w="309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DependenciaLenta y LatenciaP95Alta en firing</w:t>
            </w:r>
          </w:p>
        </w:tc>
        <w:tc>
          <w:tcPr>
            <w:tcW w:w="309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ALERTS</w:t>
            </w:r>
          </w:p>
        </w:tc>
      </w:tr>
      <w:tr>
        <w:trPr/>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18:39:07</w:t>
            </w:r>
          </w:p>
        </w:tc>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TasaErroresAlta en firing</w:t>
            </w:r>
          </w:p>
        </w:tc>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ALERTS</w:t>
            </w:r>
          </w:p>
        </w:tc>
      </w:tr>
      <w:tr>
        <w:trPr/>
        <w:tc>
          <w:tcPr>
            <w:tcW w:w="309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18:42:50</w:t>
            </w:r>
          </w:p>
        </w:tc>
        <w:tc>
          <w:tcPr>
            <w:tcW w:w="309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Se desactiva el fallo; la latencia de la dependencia se normaliza</w:t>
            </w:r>
          </w:p>
        </w:tc>
        <w:tc>
          <w:tcPr>
            <w:tcW w:w="309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timeline.csv</w:t>
            </w:r>
          </w:p>
        </w:tc>
      </w:tr>
      <w:tr>
        <w:trPr/>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18:43:42–18:43:47</w:t>
            </w:r>
          </w:p>
        </w:tc>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Se resuelven las tres alertas</w:t>
            </w:r>
          </w:p>
        </w:tc>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ALERTS</w:t>
            </w:r>
          </w:p>
        </w:tc>
      </w:tr>
      <w:tr>
        <w:trPr/>
        <w:tc>
          <w:tcPr>
            <w:tcW w:w="309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18:48:50</w:t>
            </w:r>
          </w:p>
        </w:tc>
        <w:tc>
          <w:tcPr>
            <w:tcW w:w="309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Fin de la recuperación; indicadores iguales a la línea base</w:t>
            </w:r>
          </w:p>
        </w:tc>
        <w:tc>
          <w:tcPr>
            <w:tcW w:w="309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Tabla 6</w:t>
            </w:r>
          </w:p>
        </w:tc>
      </w:tr>
    </w:tbl>
    <w:p>
      <w:pPr>
        <w:pStyle w:val="Normal"/>
        <w:spacing w:before="0" w:after="40"/>
        <w:rPr/>
      </w:pPr>
      <w:r>
        <w:rPr/>
      </w:r>
    </w:p>
    <w:p>
      <w:pPr>
        <w:pStyle w:val="Heading2"/>
        <w:rPr/>
      </w:pPr>
      <w:bookmarkStart w:id="19" w:name="__RefHeading___Toc3996_4040047475"/>
      <w:bookmarkEnd w:id="19"/>
      <w:r>
        <w:rPr/>
        <w:t>7.2. Hoja de análisis del incidente</w:t>
      </w:r>
    </w:p>
    <w:p>
      <w:pPr>
        <w:pStyle w:val="Normal"/>
        <w:keepNext w:val="true"/>
        <w:spacing w:before="0" w:after="60"/>
        <w:rPr/>
      </w:pPr>
      <w:r>
        <w:rPr>
          <w:b/>
        </w:rPr>
        <w:t xml:space="preserve">Tabla 10. </w:t>
      </w:r>
      <w:r>
        <w:rPr>
          <w:b w:val="false"/>
          <w:i/>
        </w:rPr>
        <w:t>Hoja de análisis del incidente (formato de la guía)</w:t>
      </w:r>
    </w:p>
    <w:tbl>
      <w:tblPr>
        <w:tblStyle w:val="TableGrid"/>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49"/>
        <w:gridCol w:w="4648"/>
      </w:tblGrid>
      <w:tr>
        <w:trPr>
          <w:tblHeader w:val="true"/>
        </w:trPr>
        <w:tc>
          <w:tcPr>
            <w:tcW w:w="4649"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8"/>
                <w:szCs w:val="22"/>
                <w:lang w:val="en-US" w:eastAsia="en-US" w:bidi="ar-SA"/>
              </w:rPr>
              <w:t>Elemento</w:t>
            </w:r>
          </w:p>
        </w:tc>
        <w:tc>
          <w:tcPr>
            <w:tcW w:w="4648"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8"/>
                <w:szCs w:val="22"/>
                <w:lang w:val="en-US" w:eastAsia="en-US" w:bidi="ar-SA"/>
              </w:rPr>
              <w:t>Registro del estudiante</w:t>
            </w:r>
          </w:p>
        </w:tc>
      </w:tr>
      <w:tr>
        <w:trPr/>
        <w:tc>
          <w:tcPr>
            <w:tcW w:w="464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Intervalo analizado</w:t>
            </w:r>
          </w:p>
        </w:tc>
        <w:tc>
          <w:tcPr>
            <w:tcW w:w="4648"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16/10/2026, 18:31:47 a 18:48:50 (Lima); incidente 18:37:48–18:42:50 (302 s).</w:t>
            </w:r>
          </w:p>
        </w:tc>
      </w:tr>
      <w:tr>
        <w:trPr/>
        <w:tc>
          <w:tcPr>
            <w:tcW w:w="464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Síntoma observable</w:t>
            </w:r>
          </w:p>
        </w:tc>
        <w:tc>
          <w:tcPr>
            <w:tcW w:w="4648"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Respuestas lentas e intermitentes: p95 de 54,7 ms a 2,20 s y 32,4 % de respuestas 503, con tráfico constante y servicio alcanzable (up = 1).</w:t>
            </w:r>
          </w:p>
        </w:tc>
      </w:tr>
      <w:tr>
        <w:trPr/>
        <w:tc>
          <w:tcPr>
            <w:tcW w:w="464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Métrica 1 y hallazgo</w:t>
            </w:r>
          </w:p>
        </w:tc>
        <w:tc>
          <w:tcPr>
            <w:tcW w:w="4648" w:type="dxa"/>
            <w:tcBorders/>
          </w:tcPr>
          <w:p>
            <w:pPr>
              <w:pStyle w:val="Normal"/>
              <w:widowControl/>
              <w:spacing w:lineRule="auto" w:line="240" w:before="0" w:after="20"/>
              <w:jc w:val="left"/>
              <w:rPr>
                <w:rFonts w:cs=""/>
                <w:kern w:val="0"/>
                <w:szCs w:val="22"/>
                <w:lang w:val="en-US" w:eastAsia="en-US" w:bidi="ar-SA"/>
              </w:rPr>
            </w:pPr>
            <w:r>
              <w:rPr>
                <w:rFonts w:cs="" w:ascii="Consolas" w:hAnsi="Consolas"/>
                <w:color w:val="8B1A1A"/>
                <w:kern w:val="0"/>
                <w:sz w:val="18"/>
                <w:szCs w:val="22"/>
                <w:lang w:val="en-US" w:eastAsia="en-US" w:bidi="ar-SA"/>
              </w:rPr>
              <w:t>app_dependency_duration_seconds</w:t>
            </w:r>
            <w:r>
              <w:rPr>
                <w:rFonts w:cs=""/>
                <w:b w:val="false"/>
                <w:kern w:val="0"/>
                <w:sz w:val="18"/>
                <w:szCs w:val="22"/>
                <w:lang w:val="en-US" w:eastAsia="en-US" w:bidi="ar-SA"/>
              </w:rPr>
              <w:t xml:space="preserve"> (p95): de 46,7 ms a 1 449,4 ms (≈ 31×), con ≈ 781 errores de timeout de inventario-db.</w:t>
            </w:r>
          </w:p>
        </w:tc>
      </w:tr>
      <w:tr>
        <w:trPr/>
        <w:tc>
          <w:tcPr>
            <w:tcW w:w="464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Métrica 2 y hallazgo</w:t>
            </w:r>
          </w:p>
        </w:tc>
        <w:tc>
          <w:tcPr>
            <w:tcW w:w="4648"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ascii="Consolas" w:hAnsi="Consolas"/>
                <w:color w:val="8B1A1A"/>
                <w:kern w:val="0"/>
                <w:sz w:val="18"/>
                <w:szCs w:val="22"/>
                <w:lang w:val="en-US" w:eastAsia="en-US" w:bidi="ar-SA"/>
              </w:rPr>
              <w:t>app_http_request_duration_seconds</w:t>
            </w:r>
            <w:r>
              <w:rPr>
                <w:rFonts w:cs=""/>
                <w:b w:val="false"/>
                <w:kern w:val="0"/>
                <w:sz w:val="18"/>
                <w:szCs w:val="22"/>
                <w:lang w:val="en-US" w:eastAsia="en-US" w:bidi="ar-SA"/>
              </w:rPr>
              <w:t xml:space="preserve"> (p95): de 54,7 ms a 2 195,8 ms; por endpoint, la raíz (sin dependencia) se mantuvo en 9,5 ms y checkout (dos llamadas) llegó a 2,49 s.</w:t>
            </w:r>
          </w:p>
        </w:tc>
      </w:tr>
      <w:tr>
        <w:trPr/>
        <w:tc>
          <w:tcPr>
            <w:tcW w:w="464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Métrica 3 y hallazgo</w:t>
            </w:r>
          </w:p>
        </w:tc>
        <w:tc>
          <w:tcPr>
            <w:tcW w:w="4648" w:type="dxa"/>
            <w:tcBorders/>
          </w:tcPr>
          <w:p>
            <w:pPr>
              <w:pStyle w:val="Normal"/>
              <w:widowControl/>
              <w:spacing w:lineRule="auto" w:line="240" w:before="0" w:after="20"/>
              <w:jc w:val="left"/>
              <w:rPr>
                <w:rFonts w:cs=""/>
                <w:kern w:val="0"/>
                <w:szCs w:val="22"/>
                <w:lang w:val="en-US" w:eastAsia="en-US" w:bidi="ar-SA"/>
              </w:rPr>
            </w:pPr>
            <w:r>
              <w:rPr>
                <w:rFonts w:cs="" w:ascii="Consolas" w:hAnsi="Consolas"/>
                <w:color w:val="8B1A1A"/>
                <w:kern w:val="0"/>
                <w:sz w:val="18"/>
                <w:szCs w:val="22"/>
                <w:lang w:val="en-US" w:eastAsia="en-US" w:bidi="ar-SA"/>
              </w:rPr>
              <w:t>app_http_requests_total</w:t>
            </w:r>
            <w:r>
              <w:rPr>
                <w:rFonts w:cs=""/>
                <w:b w:val="false"/>
                <w:kern w:val="0"/>
                <w:sz w:val="18"/>
                <w:szCs w:val="22"/>
                <w:lang w:val="en-US" w:eastAsia="en-US" w:bidi="ar-SA"/>
              </w:rPr>
              <w:t xml:space="preserve"> (ratio 5xx): de 0,035 % a 32,4 %; los 503 aparecen solo en /api/productos y /api/checkout.</w:t>
            </w:r>
          </w:p>
        </w:tc>
      </w:tr>
      <w:tr>
        <w:trPr/>
        <w:tc>
          <w:tcPr>
            <w:tcW w:w="464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Métricas de contraste</w:t>
            </w:r>
          </w:p>
        </w:tc>
        <w:tc>
          <w:tcPr>
            <w:tcW w:w="4648"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CPU del host 2,7 % (máx. 4,1 %), CPU de la app invariable, memoria disponible ≥ 91,6 %, E/S de disco ≈ 0 %.</w:t>
            </w:r>
          </w:p>
        </w:tc>
      </w:tr>
      <w:tr>
        <w:trPr/>
        <w:tc>
          <w:tcPr>
            <w:tcW w:w="464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Relación temporal entre señales</w:t>
            </w:r>
          </w:p>
        </w:tc>
        <w:tc>
          <w:tcPr>
            <w:tcW w:w="4648"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La latencia de la dependencia y la latencia HTTP cambian en el mismo intervalo de 5 s; los errores crecen en rampa durante el minuto siguiente (efecto de la ventana de rate). Las tres señales vuelven a la base al retirar el fallo. CPU y memoria no cambian en ningún momento.</w:t>
            </w:r>
          </w:p>
        </w:tc>
      </w:tr>
      <w:tr>
        <w:trPr/>
        <w:tc>
          <w:tcPr>
            <w:tcW w:w="464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Hipótesis más consistente</w:t>
            </w:r>
          </w:p>
        </w:tc>
        <w:tc>
          <w:tcPr>
            <w:tcW w:w="4648"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Fallo de la dependencia inventario-db (latencia alta y timeouts) que se propaga a los endpoints que la consultan.</w:t>
            </w:r>
          </w:p>
        </w:tc>
      </w:tr>
      <w:tr>
        <w:trPr/>
        <w:tc>
          <w:tcPr>
            <w:tcW w:w="464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Evidencia que contradice alternativas</w:t>
            </w:r>
          </w:p>
        </w:tc>
        <w:tc>
          <w:tcPr>
            <w:tcW w:w="4648"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CPU: el uso del host bajó (3,8 % → 2,7 %) y el proceso no varió. Memoria: sin descenso. E/S: utilización máxima 0,04 %. Pico de tráfico: la tasa fue 8 req/s en todas las fases. Fallo general del host: la ruta raíz no se degradó.</w:t>
            </w:r>
          </w:p>
        </w:tc>
      </w:tr>
      <w:tr>
        <w:trPr/>
        <w:tc>
          <w:tcPr>
            <w:tcW w:w="464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Acción inmediata propuesta</w:t>
            </w:r>
          </w:p>
        </w:tc>
        <w:tc>
          <w:tcPr>
            <w:tcW w:w="4648"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Aislar la dependencia: timeout de 300 ms y cortacircuitos con respuesta degradada (catálogo en caché) y revisar o conmutar inventario-db. No escalar CPU ni memoria.</w:t>
            </w:r>
          </w:p>
        </w:tc>
      </w:tr>
      <w:tr>
        <w:trPr/>
        <w:tc>
          <w:tcPr>
            <w:tcW w:w="464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Medida preventiva propuesta</w:t>
            </w:r>
          </w:p>
        </w:tc>
        <w:tc>
          <w:tcPr>
            <w:tcW w:w="4648"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Alertar sobre la latencia y los errores de la dependencia, definir un SLO con alertas por tasa de consumo del presupuesto de errores y añadir trazas distribuidas.</w:t>
            </w:r>
          </w:p>
        </w:tc>
      </w:tr>
    </w:tbl>
    <w:p>
      <w:pPr>
        <w:pStyle w:val="Normal"/>
        <w:spacing w:before="0" w:after="40"/>
        <w:rPr/>
      </w:pPr>
      <w:r>
        <w:rPr/>
      </w:r>
    </w:p>
    <w:p>
      <w:pPr>
        <w:pStyle w:val="Heading2"/>
        <w:rPr/>
      </w:pPr>
      <w:bookmarkStart w:id="20" w:name="__RefHeading___Toc3998_4040047475"/>
      <w:bookmarkEnd w:id="20"/>
      <w:r>
        <w:rPr/>
        <w:t>7.3. Correlación de señales y contraste de hipótesis</w:t>
      </w:r>
    </w:p>
    <w:p>
      <w:pPr>
        <w:pStyle w:val="Normal"/>
        <w:keepNext w:val="true"/>
        <w:spacing w:before="0" w:after="40"/>
        <w:jc w:val="center"/>
        <w:rPr/>
      </w:pPr>
      <w:r>
        <w:rPr/>
        <w:drawing>
          <wp:inline distT="0" distB="0" distL="0" distR="0">
            <wp:extent cx="5904230" cy="4959350"/>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17"/>
                    <a:stretch>
                      <a:fillRect/>
                    </a:stretch>
                  </pic:blipFill>
                  <pic:spPr bwMode="auto">
                    <a:xfrm>
                      <a:off x="0" y="0"/>
                      <a:ext cx="5904230" cy="4959350"/>
                    </a:xfrm>
                    <a:prstGeom prst="rect">
                      <a:avLst/>
                    </a:prstGeom>
                  </pic:spPr>
                </pic:pic>
              </a:graphicData>
            </a:graphic>
          </wp:inline>
        </w:drawing>
      </w:r>
    </w:p>
    <w:p>
      <w:pPr>
        <w:pStyle w:val="Normal"/>
        <w:keepNext w:val="true"/>
        <w:spacing w:before="0" w:after="20"/>
        <w:jc w:val="center"/>
        <w:rPr/>
      </w:pPr>
      <w:r>
        <w:rPr>
          <w:b/>
          <w:sz w:val="19"/>
        </w:rPr>
        <w:t xml:space="preserve">Figura 16. </w:t>
      </w:r>
      <w:r>
        <w:rPr>
          <w:b w:val="false"/>
          <w:i/>
          <w:sz w:val="19"/>
        </w:rPr>
        <w:t>Correlación temporal de tres señales del servicio y una señal de contraste</w:t>
      </w:r>
    </w:p>
    <w:p>
      <w:pPr>
        <w:pStyle w:val="Normal"/>
        <w:keepNext w:val="true"/>
        <w:spacing w:before="0" w:after="60"/>
        <w:jc w:val="center"/>
        <w:rPr/>
      </w:pPr>
      <w:r>
        <w:rPr>
          <w:b w:val="false"/>
          <w:i/>
          <w:color w:val="555555"/>
          <w:sz w:val="17"/>
        </w:rPr>
        <w:t>Fuente: elaboración propia con datos reales de Prometheus 3.5.0 exportados del laboratorio.</w:t>
      </w:r>
    </w:p>
    <w:p>
      <w:pPr>
        <w:pStyle w:val="Normal"/>
        <w:spacing w:before="0" w:after="200"/>
        <w:jc w:val="both"/>
        <w:rPr/>
      </w:pPr>
      <w:r>
        <w:rPr>
          <w:b w:val="false"/>
          <w:sz w:val="20"/>
        </w:rPr>
        <w:t>Interpretación: las señales 1 a 3 cambian juntas al inicio y al final del fallo, con la dependencia como primera en reaccionar; la señal 4 (CPU del host) permanece plana. Hechos observados: coincidencia temporal y selectividad por endpoint. Inferencia: la dependencia es la causa más consistente.</w:t>
      </w:r>
    </w:p>
    <w:p>
      <w:pPr>
        <w:pStyle w:val="Normal"/>
        <w:keepNext w:val="true"/>
        <w:spacing w:before="0" w:after="60"/>
        <w:rPr/>
      </w:pPr>
      <w:r>
        <w:rPr>
          <w:b/>
        </w:rPr>
        <w:t xml:space="preserve">Tabla 11. </w:t>
      </w:r>
      <w:r>
        <w:rPr>
          <w:b w:val="false"/>
          <w:i/>
        </w:rPr>
        <w:t>Contraste de hipótesis con la evidencia</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24"/>
        <w:gridCol w:w="2324"/>
        <w:gridCol w:w="2324"/>
        <w:gridCol w:w="2324"/>
      </w:tblGrid>
      <w:tr>
        <w:trPr>
          <w:tblHeader w:val="true"/>
        </w:trPr>
        <w:tc>
          <w:tcPr>
            <w:tcW w:w="2324"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7"/>
                <w:szCs w:val="22"/>
                <w:lang w:val="en-US" w:eastAsia="en-US" w:bidi="ar-SA"/>
              </w:rPr>
              <w:t>Hipótesis de la guía</w:t>
            </w:r>
          </w:p>
        </w:tc>
        <w:tc>
          <w:tcPr>
            <w:tcW w:w="2324"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7"/>
                <w:szCs w:val="22"/>
                <w:lang w:val="en-US" w:eastAsia="en-US" w:bidi="ar-SA"/>
              </w:rPr>
              <w:t>Métricas revisadas</w:t>
            </w:r>
          </w:p>
        </w:tc>
        <w:tc>
          <w:tcPr>
            <w:tcW w:w="2324"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7"/>
                <w:szCs w:val="22"/>
                <w:lang w:val="en-US" w:eastAsia="en-US" w:bidi="ar-SA"/>
              </w:rPr>
              <w:t>Criterio de contraste</w:t>
            </w:r>
          </w:p>
        </w:tc>
        <w:tc>
          <w:tcPr>
            <w:tcW w:w="2324"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7"/>
                <w:szCs w:val="22"/>
                <w:lang w:val="en-US" w:eastAsia="en-US" w:bidi="ar-SA"/>
              </w:rPr>
              <w:t>Resultado</w:t>
            </w:r>
          </w:p>
        </w:tc>
      </w:tr>
      <w:tr>
        <w:trPr/>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Saturación de CPU</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node_cpu_seconds_total, process_cpu_seconds_total, latencia</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Coincidencia entre presión de CPU y degradación</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kern w:val="0"/>
                <w:sz w:val="17"/>
                <w:szCs w:val="22"/>
                <w:lang w:val="en-US" w:eastAsia="en-US" w:bidi="ar-SA"/>
              </w:rPr>
              <w:t>Descartada.</w:t>
            </w:r>
            <w:r>
              <w:rPr>
                <w:rFonts w:cs=""/>
                <w:b w:val="false"/>
                <w:kern w:val="0"/>
                <w:sz w:val="17"/>
                <w:szCs w:val="22"/>
                <w:lang w:val="en-US" w:eastAsia="en-US" w:bidi="ar-SA"/>
              </w:rPr>
              <w:t xml:space="preserve"> CPU host 2,7 % (base 3,8 %); proceso sin cambios.</w:t>
            </w:r>
          </w:p>
        </w:tc>
      </w:tr>
      <w:tr>
        <w:trPr/>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Presión de memoria</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node_memory_MemAvailable_bytes, process_resident_memory_bytes</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Descenso sostenido cerca del incidente</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kern w:val="0"/>
                <w:sz w:val="17"/>
                <w:szCs w:val="22"/>
                <w:lang w:val="en-US" w:eastAsia="en-US" w:bidi="ar-SA"/>
              </w:rPr>
              <w:t>Descartada.</w:t>
            </w:r>
            <w:r>
              <w:rPr>
                <w:rFonts w:cs=""/>
                <w:b w:val="false"/>
                <w:kern w:val="0"/>
                <w:sz w:val="17"/>
                <w:szCs w:val="22"/>
                <w:lang w:val="en-US" w:eastAsia="en-US" w:bidi="ar-SA"/>
              </w:rPr>
              <w:t xml:space="preserve"> Disponible ≥ 91,6 %; RSS +1,4 MB.</w:t>
            </w:r>
          </w:p>
        </w:tc>
      </w:tr>
      <w:tr>
        <w:trPr/>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Problema de E/S o almacenamiento</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node_disk_io_time_seconds_total</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Cambio anómalo coincidente</w:t>
            </w:r>
          </w:p>
        </w:tc>
        <w:tc>
          <w:tcPr>
            <w:tcW w:w="2324" w:type="dxa"/>
            <w:tcBorders/>
          </w:tcPr>
          <w:p>
            <w:pPr>
              <w:pStyle w:val="Normal"/>
              <w:widowControl/>
              <w:spacing w:lineRule="auto" w:line="240" w:before="0" w:after="20"/>
              <w:jc w:val="left"/>
              <w:rPr>
                <w:rFonts w:cs=""/>
                <w:kern w:val="0"/>
                <w:szCs w:val="22"/>
                <w:lang w:val="en-US" w:eastAsia="en-US" w:bidi="ar-SA"/>
              </w:rPr>
            </w:pPr>
            <w:r>
              <w:rPr>
                <w:rFonts w:cs=""/>
                <w:b/>
                <w:kern w:val="0"/>
                <w:sz w:val="17"/>
                <w:szCs w:val="22"/>
                <w:lang w:val="en-US" w:eastAsia="en-US" w:bidi="ar-SA"/>
              </w:rPr>
              <w:t>Descartada.</w:t>
            </w:r>
            <w:r>
              <w:rPr>
                <w:rFonts w:cs=""/>
                <w:b w:val="false"/>
                <w:kern w:val="0"/>
                <w:sz w:val="17"/>
                <w:szCs w:val="22"/>
                <w:lang w:val="en-US" w:eastAsia="en-US" w:bidi="ar-SA"/>
              </w:rPr>
              <w:t xml:space="preserve"> Utilización máxima 0,04 %.</w:t>
            </w:r>
          </w:p>
        </w:tc>
      </w:tr>
      <w:tr>
        <w:trPr/>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Fallo de servicio o dependencia</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up, errores, latencia, latencia/errores de inventario-db, concurrencia</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Cambio correlacionado en el servicio</w:t>
            </w:r>
          </w:p>
        </w:tc>
        <w:tc>
          <w:tcPr>
            <w:tcW w:w="2324"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kern w:val="0"/>
                <w:sz w:val="17"/>
                <w:szCs w:val="22"/>
                <w:lang w:val="en-US" w:eastAsia="en-US" w:bidi="ar-SA"/>
              </w:rPr>
              <w:t>Confirmada.</w:t>
            </w:r>
            <w:r>
              <w:rPr>
                <w:rFonts w:cs=""/>
                <w:b w:val="false"/>
                <w:kern w:val="0"/>
                <w:sz w:val="17"/>
                <w:szCs w:val="22"/>
                <w:lang w:val="en-US" w:eastAsia="en-US" w:bidi="ar-SA"/>
              </w:rPr>
              <w:t xml:space="preserve"> up = 1, pero la dependencia aumenta su p95 31× y concentra los errores.</w:t>
            </w:r>
          </w:p>
        </w:tc>
      </w:tr>
    </w:tbl>
    <w:p>
      <w:pPr>
        <w:pStyle w:val="Normal"/>
        <w:spacing w:before="0" w:after="40"/>
        <w:rPr/>
      </w:pPr>
      <w:r>
        <w:rPr/>
      </w:r>
    </w:p>
    <w:p>
      <w:pPr>
        <w:pStyle w:val="Heading2"/>
        <w:rPr/>
      </w:pPr>
      <w:bookmarkStart w:id="21" w:name="__RefHeading___Toc4000_4040047475"/>
      <w:bookmarkEnd w:id="21"/>
      <w:r>
        <w:rPr/>
        <w:t>7.4. Diagnóstico argumentado</w:t>
      </w:r>
    </w:p>
    <w:p>
      <w:pPr>
        <w:pStyle w:val="Normal"/>
        <w:jc w:val="both"/>
        <w:rPr/>
      </w:pPr>
      <w:r>
        <w:rPr>
          <w:b w:val="false"/>
        </w:rPr>
        <w:t xml:space="preserve">Se distinguen tres niveles. </w:t>
      </w:r>
      <w:r>
        <w:rPr>
          <w:b/>
        </w:rPr>
        <w:t>Hechos observados:</w:t>
      </w:r>
      <w:r>
        <w:rPr>
          <w:b w:val="false"/>
        </w:rPr>
        <w:t xml:space="preserve"> el servicio siguió disponible (up = 1) y recibió la misma carga, pero su latencia y su proporción de errores aumentaron en el mismo intervalo en que lo hizo la latencia de inventario-db; la ruta que no usa la dependencia no cambió; los recursos del host no variaron. </w:t>
      </w:r>
      <w:r>
        <w:rPr>
          <w:b/>
        </w:rPr>
        <w:t>Inferencia:</w:t>
      </w:r>
      <w:r>
        <w:rPr>
          <w:b w:val="false"/>
        </w:rPr>
        <w:t xml:space="preserve"> la degradación se origina en la dependencia y se propaga a los endpoints que la consultan; checkout, que hace dos llamadas, sufre más. El aumento de concurrencia es un efecto (ley de Little), no una causa. </w:t>
      </w:r>
      <w:r>
        <w:rPr>
          <w:b/>
        </w:rPr>
        <w:t>Contexto:</w:t>
      </w:r>
      <w:r>
        <w:rPr>
          <w:b w:val="false"/>
        </w:rPr>
        <w:t xml:space="preserve"> el cambio declarado del experimento fue precisamente la degradación de inventario-db, por lo que el diagnóstico coincide con la causa real. El marcador </w:t>
      </w:r>
      <w:r>
        <w:rPr>
          <w:rFonts w:ascii="Consolas" w:hAnsi="Consolas"/>
          <w:color w:val="8B1A1A"/>
          <w:sz w:val="19"/>
        </w:rPr>
        <w:t>app_fault_injection_active</w:t>
      </w:r>
      <w:r>
        <w:rPr>
          <w:b w:val="false"/>
        </w:rPr>
        <w:t xml:space="preserve"> no se usó como evidencia, para que el razonamiento dependa solo de las señales que estarían disponibles en un incidente real.</w:t>
      </w:r>
    </w:p>
    <w:p>
      <w:pPr>
        <w:pStyle w:val="Normal"/>
        <w:jc w:val="both"/>
        <w:rPr/>
      </w:pPr>
      <w:r>
        <w:rPr>
          <w:b w:val="false"/>
        </w:rPr>
        <w:t>La sospecha inicial de la guía, «presión de recursos», no se confirmó: este caso muestra que una gráfica de latencia por sí sola no identifica la causa, y que escalar CPU o memoria no habría resuelto el problema.</w:t>
      </w:r>
    </w:p>
    <w:p>
      <w:pPr>
        <w:pStyle w:val="Heading2"/>
        <w:rPr/>
      </w:pPr>
      <w:bookmarkStart w:id="22" w:name="__RefHeading___Toc4002_4040047475"/>
      <w:bookmarkEnd w:id="22"/>
      <w:r>
        <w:rPr/>
        <w:t>7.5. Limitaciones del análisis</w:t>
      </w:r>
    </w:p>
    <w:p>
      <w:pPr>
        <w:pStyle w:val="ListBullet"/>
        <w:numPr>
          <w:ilvl w:val="0"/>
          <w:numId w:val="1"/>
        </w:numPr>
        <w:spacing w:before="0" w:after="60"/>
        <w:contextualSpacing/>
        <w:jc w:val="both"/>
        <w:rPr/>
      </w:pPr>
      <w:r>
        <w:rPr>
          <w:b w:val="false"/>
        </w:rPr>
        <w:t>La dependencia es simulada dentro del proceso de la app; en un sistema real habría red, base de datos y conexiones con métricas propias.</w:t>
      </w:r>
    </w:p>
    <w:p>
      <w:pPr>
        <w:pStyle w:val="ListBullet"/>
        <w:numPr>
          <w:ilvl w:val="0"/>
          <w:numId w:val="1"/>
        </w:numPr>
        <w:spacing w:before="0" w:after="60"/>
        <w:contextualSpacing/>
        <w:jc w:val="both"/>
        <w:rPr/>
      </w:pPr>
      <w:r>
        <w:rPr>
          <w:b w:val="false"/>
        </w:rPr>
        <w:t>Los percentiles se estiman por interpolación lineal dentro de las cubetas del histograma; los valores de p95 son aproximados.</w:t>
      </w:r>
    </w:p>
    <w:p>
      <w:pPr>
        <w:pStyle w:val="ListBullet"/>
        <w:numPr>
          <w:ilvl w:val="0"/>
          <w:numId w:val="1"/>
        </w:numPr>
        <w:spacing w:before="0" w:after="60"/>
        <w:contextualSpacing/>
        <w:jc w:val="both"/>
        <w:rPr/>
      </w:pPr>
      <w:r>
        <w:rPr>
          <w:b w:val="false"/>
        </w:rPr>
        <w:t>Las ventanas de 1 minuto de rate() suavizan y retrasan las señales hasta unos 60 s; los errores muestran una rampa que no existió en la realidad.</w:t>
      </w:r>
    </w:p>
    <w:p>
      <w:pPr>
        <w:pStyle w:val="ListBullet"/>
        <w:numPr>
          <w:ilvl w:val="0"/>
          <w:numId w:val="1"/>
        </w:numPr>
        <w:spacing w:before="0" w:after="60"/>
        <w:contextualSpacing/>
        <w:jc w:val="both"/>
        <w:rPr/>
      </w:pPr>
      <w:r>
        <w:rPr>
          <w:b w:val="false"/>
        </w:rPr>
        <w:t>El experimento se ejecutó una vez, en un solo host y durante cinco minutos; no se evaluaron variaciones de carga ni fallos parciales.</w:t>
      </w:r>
    </w:p>
    <w:p>
      <w:pPr>
        <w:pStyle w:val="ListBullet"/>
        <w:numPr>
          <w:ilvl w:val="0"/>
          <w:numId w:val="1"/>
        </w:numPr>
        <w:spacing w:before="0" w:after="60"/>
        <w:contextualSpacing/>
        <w:jc w:val="both"/>
        <w:rPr/>
      </w:pPr>
      <w:r>
        <w:rPr>
          <w:b w:val="false"/>
        </w:rPr>
        <w:t>node_exporter mide la VM compartida del entorno. Grafana no pudo ejecutarse en ese entorno, por lo que no se incluyen capturas de sus paneles.</w:t>
      </w:r>
    </w:p>
    <w:p>
      <w:pPr>
        <w:pStyle w:val="ListBullet"/>
        <w:numPr>
          <w:ilvl w:val="0"/>
          <w:numId w:val="1"/>
        </w:numPr>
        <w:spacing w:before="0" w:after="60"/>
        <w:contextualSpacing/>
        <w:jc w:val="both"/>
        <w:rPr/>
      </w:pPr>
      <w:r>
        <w:rPr>
          <w:b w:val="false"/>
        </w:rPr>
        <w:t>increase() extrapola en los bordes de la ventana, por lo que los conteos por fase son aproximados.</w:t>
      </w:r>
    </w:p>
    <w:p>
      <w:pPr>
        <w:pStyle w:val="Heading1"/>
        <w:rPr/>
      </w:pPr>
      <w:bookmarkStart w:id="23" w:name="__RefHeading___Toc4004_4040047475"/>
      <w:bookmarkEnd w:id="23"/>
      <w:r>
        <w:rPr/>
        <w:t>8. Propuesta de mejora</w:t>
      </w:r>
    </w:p>
    <w:p>
      <w:pPr>
        <w:pStyle w:val="Heading2"/>
        <w:rPr/>
      </w:pPr>
      <w:bookmarkStart w:id="24" w:name="__RefHeading___Toc4006_4040047475"/>
      <w:bookmarkEnd w:id="24"/>
      <w:r>
        <w:rPr/>
        <w:t>8.1. Acción correctiva inmediata</w:t>
      </w:r>
    </w:p>
    <w:p>
      <w:pPr>
        <w:pStyle w:val="ListBullet"/>
        <w:numPr>
          <w:ilvl w:val="0"/>
          <w:numId w:val="1"/>
        </w:numPr>
        <w:spacing w:before="0" w:after="60"/>
        <w:contextualSpacing/>
        <w:jc w:val="both"/>
        <w:rPr/>
      </w:pPr>
      <w:r>
        <w:rPr>
          <w:b w:val="false"/>
        </w:rPr>
        <w:t>Aplicar un timeout de 300 ms a cada llamada a inventario-db (≈ 6 veces su p95 normal de 47 ms) para limitar la latencia que se propaga.</w:t>
      </w:r>
    </w:p>
    <w:p>
      <w:pPr>
        <w:pStyle w:val="ListBullet"/>
        <w:numPr>
          <w:ilvl w:val="0"/>
          <w:numId w:val="1"/>
        </w:numPr>
        <w:spacing w:before="0" w:after="60"/>
        <w:contextualSpacing/>
        <w:jc w:val="both"/>
        <w:rPr/>
      </w:pPr>
      <w:r>
        <w:rPr>
          <w:b w:val="false"/>
        </w:rPr>
        <w:t>Activar un cortacircuitos (*circuit breaker*) que, ante más de un 20 % de fallos en 30 s, responda con datos en caché o una respuesta degradada en lugar de 503.</w:t>
      </w:r>
    </w:p>
    <w:p>
      <w:pPr>
        <w:pStyle w:val="ListBullet"/>
        <w:numPr>
          <w:ilvl w:val="0"/>
          <w:numId w:val="1"/>
        </w:numPr>
        <w:spacing w:before="0" w:after="60"/>
        <w:contextualSpacing/>
        <w:jc w:val="both"/>
        <w:rPr/>
      </w:pPr>
      <w:r>
        <w:rPr>
          <w:b w:val="false"/>
        </w:rPr>
        <w:t>Revisar inventario-db (conexiones, consultas lentas, despliegues recientes) y, si existe, conmutar a una réplica sana.</w:t>
      </w:r>
    </w:p>
    <w:p>
      <w:pPr>
        <w:pStyle w:val="ListBullet"/>
        <w:numPr>
          <w:ilvl w:val="0"/>
          <w:numId w:val="1"/>
        </w:numPr>
        <w:spacing w:before="0" w:after="60"/>
        <w:contextualSpacing/>
        <w:jc w:val="both"/>
        <w:rPr/>
      </w:pPr>
      <w:r>
        <w:rPr>
          <w:b w:val="false"/>
        </w:rPr>
        <w:t>No escalar CPU ni memoria de la app: los datos muestran que no son el cuello de botella.</w:t>
      </w:r>
    </w:p>
    <w:p>
      <w:pPr>
        <w:pStyle w:val="Heading2"/>
        <w:rPr/>
      </w:pPr>
      <w:bookmarkStart w:id="25" w:name="__RefHeading___Toc4008_4040047475"/>
      <w:bookmarkEnd w:id="25"/>
      <w:r>
        <w:rPr/>
        <w:t>8.2. Medidas preventivas</w:t>
      </w:r>
    </w:p>
    <w:p>
      <w:pPr>
        <w:pStyle w:val="ListBullet"/>
        <w:numPr>
          <w:ilvl w:val="0"/>
          <w:numId w:val="1"/>
        </w:numPr>
        <w:spacing w:before="0" w:after="60"/>
        <w:contextualSpacing/>
        <w:jc w:val="both"/>
        <w:rPr/>
      </w:pPr>
      <w:r>
        <w:rPr>
          <w:b w:val="false"/>
        </w:rPr>
        <w:t>Definir un SLO, por ejemplo 99 % de respuestas exitosas y p95 &lt; 300 ms en 30 días, y alertar por tasa de consumo del presupuesto de errores (Beyer et al., 2016).</w:t>
      </w:r>
    </w:p>
    <w:p>
      <w:pPr>
        <w:pStyle w:val="ListBullet"/>
        <w:numPr>
          <w:ilvl w:val="0"/>
          <w:numId w:val="1"/>
        </w:numPr>
        <w:spacing w:before="0" w:after="60"/>
        <w:contextualSpacing/>
        <w:jc w:val="both"/>
        <w:rPr/>
      </w:pPr>
      <w:r>
        <w:rPr>
          <w:b w:val="false"/>
        </w:rPr>
        <w:t>Reintentos con espera exponencial y aleatoriedad (*jitter*) solo para operaciones idempotentes, con límite de reintentos para no amplificar la carga.</w:t>
      </w:r>
    </w:p>
    <w:p>
      <w:pPr>
        <w:pStyle w:val="ListBullet"/>
        <w:numPr>
          <w:ilvl w:val="0"/>
          <w:numId w:val="1"/>
        </w:numPr>
        <w:spacing w:before="0" w:after="60"/>
        <w:contextualSpacing/>
        <w:jc w:val="both"/>
        <w:rPr/>
      </w:pPr>
      <w:r>
        <w:rPr>
          <w:b w:val="false"/>
        </w:rPr>
        <w:t>Aislar recursos por dependencia (*bulkhead*): un grupo de hilos dedicado evita que una dependencia lenta agote la capacidad del servicio.</w:t>
      </w:r>
    </w:p>
    <w:p>
      <w:pPr>
        <w:pStyle w:val="ListBullet"/>
        <w:numPr>
          <w:ilvl w:val="0"/>
          <w:numId w:val="1"/>
        </w:numPr>
        <w:spacing w:before="0" w:after="60"/>
        <w:contextualSpacing/>
        <w:jc w:val="both"/>
        <w:rPr/>
      </w:pPr>
      <w:r>
        <w:rPr>
          <w:b w:val="false"/>
        </w:rPr>
        <w:t>Añadir trazas distribuidas y métricas propias de la base de datos para reducir la incertidumbre en futuros diagnósticos.</w:t>
      </w:r>
    </w:p>
    <w:p>
      <w:pPr>
        <w:pStyle w:val="ListBullet"/>
        <w:numPr>
          <w:ilvl w:val="0"/>
          <w:numId w:val="1"/>
        </w:numPr>
        <w:spacing w:before="0" w:after="60"/>
        <w:contextualSpacing/>
        <w:jc w:val="both"/>
        <w:rPr/>
      </w:pPr>
      <w:r>
        <w:rPr>
          <w:b w:val="false"/>
        </w:rPr>
        <w:t>Probar periódicamente este escenario (prueba de caos controlada) con los scripts del repositorio.</w:t>
      </w:r>
    </w:p>
    <w:p>
      <w:pPr>
        <w:pStyle w:val="Heading2"/>
        <w:rPr/>
      </w:pPr>
      <w:bookmarkStart w:id="26" w:name="__RefHeading___Toc4010_4040047475"/>
      <w:bookmarkEnd w:id="26"/>
      <w:r>
        <w:rPr/>
        <w:t>8.3. Reglas de alerta y umbrales justificados</w:t>
      </w:r>
    </w:p>
    <w:p>
      <w:pPr>
        <w:pStyle w:val="Normal"/>
        <w:keepNext w:val="true"/>
        <w:spacing w:before="0" w:after="60"/>
        <w:rPr/>
      </w:pPr>
      <w:r>
        <w:rPr>
          <w:b/>
        </w:rPr>
        <w:t xml:space="preserve">Tabla 12. </w:t>
      </w:r>
      <w:r>
        <w:rPr>
          <w:b w:val="false"/>
          <w:i/>
        </w:rPr>
        <w:t>Reglas de alerta implementadas y propuestas</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99"/>
        <w:gridCol w:w="3099"/>
        <w:gridCol w:w="3099"/>
      </w:tblGrid>
      <w:tr>
        <w:trPr>
          <w:tblHeader w:val="true"/>
        </w:trPr>
        <w:tc>
          <w:tcPr>
            <w:tcW w:w="3099"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8"/>
                <w:szCs w:val="22"/>
                <w:lang w:val="en-US" w:eastAsia="en-US" w:bidi="ar-SA"/>
              </w:rPr>
              <w:t>Alerta</w:t>
            </w:r>
          </w:p>
        </w:tc>
        <w:tc>
          <w:tcPr>
            <w:tcW w:w="3099"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8"/>
                <w:szCs w:val="22"/>
                <w:lang w:val="en-US" w:eastAsia="en-US" w:bidi="ar-SA"/>
              </w:rPr>
              <w:t>Condición</w:t>
            </w:r>
          </w:p>
        </w:tc>
        <w:tc>
          <w:tcPr>
            <w:tcW w:w="3099"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8"/>
                <w:szCs w:val="22"/>
                <w:lang w:val="en-US" w:eastAsia="en-US" w:bidi="ar-SA"/>
              </w:rPr>
              <w:t>Justificación del umbral</w:t>
            </w:r>
          </w:p>
        </w:tc>
      </w:tr>
      <w:tr>
        <w:trPr/>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DependenciaLenta</w:t>
            </w:r>
          </w:p>
        </w:tc>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p95 inventario-db &gt; 250 ms durante 1 m</w:t>
            </w:r>
          </w:p>
        </w:tc>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 xml:space="preserve">≈ </w:t>
            </w:r>
            <w:r>
              <w:rPr>
                <w:rFonts w:cs=""/>
                <w:b w:val="false"/>
                <w:kern w:val="0"/>
                <w:sz w:val="18"/>
                <w:szCs w:val="22"/>
                <w:lang w:val="en-US" w:eastAsia="en-US" w:bidi="ar-SA"/>
              </w:rPr>
              <w:t>5× el p95 base (46,7 ms); es la señal más cercana a la causa.</w:t>
            </w:r>
          </w:p>
        </w:tc>
      </w:tr>
      <w:tr>
        <w:trPr/>
        <w:tc>
          <w:tcPr>
            <w:tcW w:w="309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LatenciaP95Alta</w:t>
            </w:r>
          </w:p>
        </w:tc>
        <w:tc>
          <w:tcPr>
            <w:tcW w:w="309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p95 HTTP &gt; 500 ms durante 1 m</w:t>
            </w:r>
          </w:p>
        </w:tc>
        <w:tc>
          <w:tcPr>
            <w:tcW w:w="309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 xml:space="preserve">≈ </w:t>
            </w:r>
            <w:r>
              <w:rPr>
                <w:rFonts w:cs=""/>
                <w:b w:val="false"/>
                <w:kern w:val="0"/>
                <w:sz w:val="18"/>
                <w:szCs w:val="22"/>
                <w:lang w:val="en-US" w:eastAsia="en-US" w:bidi="ar-SA"/>
              </w:rPr>
              <w:t>9× el p95 base (54,7 ms); mide el impacto en el usuario.</w:t>
            </w:r>
          </w:p>
        </w:tc>
      </w:tr>
      <w:tr>
        <w:trPr/>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TasaErroresAlta</w:t>
            </w:r>
          </w:p>
        </w:tc>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5xx &gt; 5 % durante 1 m</w:t>
            </w:r>
          </w:p>
        </w:tc>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La base es &lt; 0,2 %; 5 % evita falsos positivos por errores transitorios.</w:t>
            </w:r>
          </w:p>
        </w:tc>
      </w:tr>
      <w:tr>
        <w:trPr/>
        <w:tc>
          <w:tcPr>
            <w:tcW w:w="309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CPUHostAlta / MemoriaHostBaja</w:t>
            </w:r>
          </w:p>
        </w:tc>
        <w:tc>
          <w:tcPr>
            <w:tcW w:w="309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CPU &gt; 85 % 2 m / memoria &lt; 10 % 2 m</w:t>
            </w:r>
          </w:p>
        </w:tc>
        <w:tc>
          <w:tcPr>
            <w:tcW w:w="309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Detectan presión de recursos; sirven para descartarla rápidamente.</w:t>
            </w:r>
          </w:p>
        </w:tc>
      </w:tr>
      <w:tr>
        <w:trPr/>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ConsumoPresupuestoRapido (propuesta)</w:t>
            </w:r>
          </w:p>
        </w:tc>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ratio 5xx 5 m &gt; 14,4 × 1 % y ratio 1 h &gt; 14,4 × 1 %</w:t>
            </w:r>
          </w:p>
        </w:tc>
        <w:tc>
          <w:tcPr>
            <w:tcW w:w="309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Alerta multiventana por tasa de consumo del SLO del 99 %.</w:t>
            </w:r>
          </w:p>
        </w:tc>
      </w:tr>
    </w:tbl>
    <w:p>
      <w:pPr>
        <w:pStyle w:val="Normal"/>
        <w:spacing w:before="0" w:after="40"/>
        <w:rPr/>
      </w:pPr>
      <w:r>
        <w:rPr/>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298"/>
      </w:tblGrid>
      <w:tr>
        <w:trPr/>
        <w:tc>
          <w:tcPr>
            <w:tcW w:w="9298" w:type="dxa"/>
            <w:tcBorders/>
            <w:shd w:color="auto" w:fill="F3F5F8" w:val="clear"/>
          </w:tcPr>
          <w:p>
            <w:pPr>
              <w:pStyle w:val="Normal"/>
              <w:spacing w:lineRule="auto" w:line="240" w:before="0" w:after="0"/>
              <w:rPr/>
            </w:pPr>
            <w:r>
              <w:rPr>
                <w:rFonts w:ascii="Consolas" w:hAnsi="Consolas"/>
                <w:sz w:val="17"/>
              </w:rPr>
              <w:t>- alert: ConsumoPresupuestoRapido      # propuesta para el SLO de 99 % de éxito</w:t>
              <w:br/>
              <w:t xml:space="preserve">  expr: |</w:t>
              <w:br/>
              <w:t xml:space="preserve">    ( sum(rate(app_http_requests_total{status=~"5.."}[5m])) / sum(rate(app_http_requests_total[5m])) &gt; 14.4 * 0.01 )</w:t>
              <w:br/>
              <w:t xml:space="preserve">    and</w:t>
              <w:br/>
              <w:t xml:space="preserve">    ( sum(rate(app_http_requests_total{status=~"5.."}[1h])) / sum(rate(app_http_requests_total[1h])) &gt; 14.4 * 0.01 )</w:t>
              <w:br/>
              <w:t xml:space="preserve">  for: 2m</w:t>
              <w:br/>
              <w:t xml:space="preserve">  labels: {severity: critical}</w:t>
            </w:r>
          </w:p>
        </w:tc>
      </w:tr>
    </w:tbl>
    <w:p>
      <w:pPr>
        <w:pStyle w:val="Normal"/>
        <w:spacing w:before="0" w:after="40"/>
        <w:rPr/>
      </w:pPr>
      <w:r>
        <w:rPr/>
      </w:r>
    </w:p>
    <w:p>
      <w:pPr>
        <w:pStyle w:val="Heading2"/>
        <w:rPr/>
      </w:pPr>
      <w:bookmarkStart w:id="27" w:name="__RefHeading___Toc4012_4040047475"/>
      <w:bookmarkEnd w:id="27"/>
      <w:r>
        <w:rPr/>
        <w:t>8.4. Métricas de seguimiento y verificación de la recuperación</w:t>
      </w:r>
    </w:p>
    <w:p>
      <w:pPr>
        <w:pStyle w:val="Normal"/>
        <w:jc w:val="both"/>
        <w:rPr/>
      </w:pPr>
      <w:r>
        <w:rPr>
          <w:b w:val="false"/>
        </w:rPr>
        <w:t xml:space="preserve">Se seguirán </w:t>
      </w:r>
      <w:r>
        <w:rPr>
          <w:rFonts w:ascii="Consolas" w:hAnsi="Consolas"/>
          <w:color w:val="8B1A1A"/>
          <w:sz w:val="19"/>
        </w:rPr>
        <w:t>job:app_dependency_latency_seconds:p95_1m</w:t>
      </w:r>
      <w:r>
        <w:rPr>
          <w:b w:val="false"/>
        </w:rPr>
        <w:t xml:space="preserve">, </w:t>
      </w:r>
      <w:r>
        <w:rPr>
          <w:rFonts w:ascii="Consolas" w:hAnsi="Consolas"/>
          <w:color w:val="8B1A1A"/>
          <w:sz w:val="19"/>
        </w:rPr>
        <w:t>job:app_http_latency_seconds:p95_1m</w:t>
      </w:r>
      <w:r>
        <w:rPr>
          <w:b w:val="false"/>
        </w:rPr>
        <w:t xml:space="preserve">, </w:t>
      </w:r>
      <w:r>
        <w:rPr>
          <w:rFonts w:ascii="Consolas" w:hAnsi="Consolas"/>
          <w:color w:val="8B1A1A"/>
          <w:sz w:val="19"/>
        </w:rPr>
        <w:t>job:app_http_errors:ratio_rate1m</w:t>
      </w:r>
      <w:r>
        <w:rPr>
          <w:b w:val="false"/>
        </w:rPr>
        <w:t xml:space="preserve">, </w:t>
      </w:r>
      <w:r>
        <w:rPr>
          <w:rFonts w:ascii="Consolas" w:hAnsi="Consolas"/>
          <w:color w:val="8B1A1A"/>
          <w:sz w:val="19"/>
        </w:rPr>
        <w:t>app_http_inflight_requests</w:t>
      </w:r>
      <w:r>
        <w:rPr>
          <w:b w:val="false"/>
        </w:rPr>
        <w:t xml:space="preserve"> y la serie </w:t>
      </w:r>
      <w:r>
        <w:rPr>
          <w:rFonts w:ascii="Consolas" w:hAnsi="Consolas"/>
          <w:color w:val="8B1A1A"/>
          <w:sz w:val="19"/>
        </w:rPr>
        <w:t>ALERTS</w:t>
      </w:r>
      <w:r>
        <w:rPr>
          <w:b w:val="false"/>
        </w:rPr>
        <w:t>. La recuperación se considera verificada cuando, durante 5 minutos consecutivos: (1) el ratio de 5xx es &lt; 1 %; (2) el p95 HTTP es &lt; 100 ms; (3) el p95 de la dependencia es &lt; 100 ms; (4) la concurrencia vuelve a 0–2; y (5) no hay alertas en firing. En este laboratorio los cinco criterios se cumplieron en la fase de recuperación (Tabla 6 y Figura 12).</w:t>
      </w:r>
    </w:p>
    <w:p>
      <w:pPr>
        <w:pStyle w:val="Heading1"/>
        <w:rPr/>
      </w:pPr>
      <w:bookmarkStart w:id="28" w:name="__RefHeading___Toc4014_4040047475"/>
      <w:bookmarkEnd w:id="28"/>
      <w:r>
        <w:rPr/>
        <w:t>9. Conclusiones</w:t>
      </w:r>
    </w:p>
    <w:p>
      <w:pPr>
        <w:pStyle w:val="ListNumber"/>
        <w:numPr>
          <w:ilvl w:val="0"/>
          <w:numId w:val="4"/>
        </w:numPr>
        <w:spacing w:before="0" w:after="60"/>
        <w:contextualSpacing/>
        <w:jc w:val="both"/>
        <w:rPr/>
      </w:pPr>
      <w:r>
        <w:rPr>
          <w:b w:val="false"/>
        </w:rPr>
        <w:t>La arquitectura Prometheus/TSDB + PromQL + reglas de alerta permitió observar el incidente con resolución de 5 s y trazar cada conclusión hasta una consulta concreta: tres alertas de servicio dispararon unos 75 s después del inicio y se resolvieron menos de un minuto después de la corrección, sin falsos positivos en las fases normales (Tabla 8).</w:t>
      </w:r>
    </w:p>
    <w:p>
      <w:pPr>
        <w:pStyle w:val="ListNumber"/>
        <w:numPr>
          <w:ilvl w:val="0"/>
          <w:numId w:val="4"/>
        </w:numPr>
        <w:spacing w:before="0" w:after="60"/>
        <w:contextualSpacing/>
        <w:jc w:val="both"/>
        <w:rPr/>
      </w:pPr>
      <w:r>
        <w:rPr>
          <w:b w:val="false"/>
        </w:rPr>
        <w:t>La correlación de tres señales identificó la causa: la latencia de inventario-db subió ≈ 31 veces en el mismo intervalo que la latencia HTTP (p95 de 54,7 ms a 2,20 s) y los errores (32,4 %), mientras la ruta sin dependencia no cambió (Tabla 7 y Figura 16).</w:t>
      </w:r>
    </w:p>
    <w:p>
      <w:pPr>
        <w:pStyle w:val="ListNumber"/>
        <w:numPr>
          <w:ilvl w:val="0"/>
          <w:numId w:val="4"/>
        </w:numPr>
        <w:spacing w:before="0" w:after="60"/>
        <w:contextualSpacing/>
        <w:jc w:val="both"/>
        <w:rPr/>
      </w:pPr>
      <w:r>
        <w:rPr>
          <w:b w:val="false"/>
        </w:rPr>
        <w:t>La hipótesis de presión de recursos fue descartada con datos: CPU del host de 2,7 %, memoria disponible ≥ 91,6 % y E/S casi nula durante el incidente. Escalar recursos no habría resuelto el problema.</w:t>
      </w:r>
    </w:p>
    <w:p>
      <w:pPr>
        <w:pStyle w:val="ListNumber"/>
        <w:numPr>
          <w:ilvl w:val="0"/>
          <w:numId w:val="4"/>
        </w:numPr>
        <w:spacing w:before="0" w:after="60"/>
        <w:contextualSpacing/>
        <w:jc w:val="both"/>
        <w:rPr/>
      </w:pPr>
      <w:r>
        <w:rPr>
          <w:b w:val="false"/>
        </w:rPr>
        <w:t>Las métricas de dependencias y los percentiles de latencia son más útiles que las de infraestructura para detectar este tipo de fallo; por ello se recomienda alertar sobre la dependencia y proteger el servicio con timeouts y cortacircuitos.</w:t>
      </w:r>
    </w:p>
    <w:p>
      <w:pPr>
        <w:pStyle w:val="Heading1"/>
        <w:rPr/>
      </w:pPr>
      <w:bookmarkStart w:id="29" w:name="__RefHeading___Toc4016_4040047475"/>
      <w:bookmarkEnd w:id="29"/>
      <w:r>
        <w:rPr/>
        <w:t>10. Referencias bibliográficas</w:t>
      </w:r>
    </w:p>
    <w:p>
      <w:pPr>
        <w:pStyle w:val="Normal"/>
        <w:spacing w:before="0" w:after="120"/>
        <w:ind w:hanging="720" w:left="720"/>
        <w:rPr/>
      </w:pPr>
      <w:r>
        <w:rPr/>
        <w:t xml:space="preserve">Beyer, B., Jones, C., Petoff, J., &amp; Murphy, N. R. (Eds.). (2016). </w:t>
      </w:r>
      <w:r>
        <w:rPr>
          <w:i/>
        </w:rPr>
        <w:t>Site reliability engineering: How Google runs production systems</w:t>
      </w:r>
      <w:r>
        <w:rPr/>
        <w:t>. O'Reilly Media. https://sre.google/sre-book/monitoring-distributed-systems/</w:t>
      </w:r>
    </w:p>
    <w:p>
      <w:pPr>
        <w:pStyle w:val="Normal"/>
        <w:spacing w:before="0" w:after="120"/>
        <w:ind w:hanging="720" w:left="720"/>
        <w:rPr/>
      </w:pPr>
      <w:r>
        <w:rPr/>
        <w:t xml:space="preserve">Docker Inc. (2026). </w:t>
      </w:r>
      <w:r>
        <w:rPr>
          <w:i/>
        </w:rPr>
        <w:t>Docker Compose overview</w:t>
      </w:r>
      <w:r>
        <w:rPr/>
        <w:t>. Docker Docs. https://docs.docker.com/compose/</w:t>
      </w:r>
    </w:p>
    <w:p>
      <w:pPr>
        <w:pStyle w:val="Normal"/>
        <w:spacing w:before="0" w:after="120"/>
        <w:ind w:hanging="720" w:left="720"/>
        <w:rPr/>
      </w:pPr>
      <w:r>
        <w:rPr/>
        <w:t xml:space="preserve">GitHub. (2026). </w:t>
      </w:r>
      <w:r>
        <w:rPr>
          <w:i/>
        </w:rPr>
        <w:t>GitHub Codespaces overview</w:t>
      </w:r>
      <w:r>
        <w:rPr/>
        <w:t>. GitHub Docs. https://docs.github.com/en/codespaces/overview</w:t>
      </w:r>
    </w:p>
    <w:p>
      <w:pPr>
        <w:pStyle w:val="Normal"/>
        <w:spacing w:before="0" w:after="120"/>
        <w:ind w:hanging="720" w:left="720"/>
        <w:rPr/>
      </w:pPr>
      <w:r>
        <w:rPr/>
        <w:t xml:space="preserve">Grafana Labs. (2026a). </w:t>
      </w:r>
      <w:r>
        <w:rPr>
          <w:i/>
        </w:rPr>
        <w:t>Prometheus data source</w:t>
      </w:r>
      <w:r>
        <w:rPr/>
        <w:t>. Grafana documentation. https://grafana.com/docs/grafana/latest/datasources/prometheus/</w:t>
      </w:r>
    </w:p>
    <w:p>
      <w:pPr>
        <w:pStyle w:val="Normal"/>
        <w:spacing w:before="0" w:after="120"/>
        <w:ind w:hanging="720" w:left="720"/>
        <w:rPr/>
      </w:pPr>
      <w:r>
        <w:rPr/>
        <w:t xml:space="preserve">Grafana Labs. (2026b). </w:t>
      </w:r>
      <w:r>
        <w:rPr>
          <w:i/>
        </w:rPr>
        <w:t>Provision Grafana</w:t>
      </w:r>
      <w:r>
        <w:rPr/>
        <w:t>. Grafana documentation. https://grafana.com/docs/grafana/latest/administration/provisioning/</w:t>
      </w:r>
    </w:p>
    <w:p>
      <w:pPr>
        <w:pStyle w:val="Normal"/>
        <w:spacing w:before="0" w:after="120"/>
        <w:ind w:hanging="720" w:left="720"/>
        <w:rPr/>
      </w:pPr>
      <w:r>
        <w:rPr/>
        <w:t xml:space="preserve">Majors, C., Fong-Jones, L., &amp; Miranda, G. (2022). </w:t>
      </w:r>
      <w:r>
        <w:rPr>
          <w:i/>
        </w:rPr>
        <w:t>Observability engineering: Achieving production excellence</w:t>
      </w:r>
      <w:r>
        <w:rPr/>
        <w:t>. O'Reilly Media.</w:t>
      </w:r>
    </w:p>
    <w:p>
      <w:pPr>
        <w:pStyle w:val="Normal"/>
        <w:spacing w:before="0" w:after="120"/>
        <w:ind w:hanging="720" w:left="720"/>
        <w:rPr/>
      </w:pPr>
      <w:r>
        <w:rPr/>
        <w:t xml:space="preserve">Prometheus Authors. (2026a). </w:t>
      </w:r>
      <w:r>
        <w:rPr>
          <w:i/>
        </w:rPr>
        <w:t>Overview</w:t>
      </w:r>
      <w:r>
        <w:rPr/>
        <w:t>. Prometheus documentation. https://prometheus.io/docs/introduction/overview/</w:t>
      </w:r>
    </w:p>
    <w:p>
      <w:pPr>
        <w:pStyle w:val="Normal"/>
        <w:spacing w:before="0" w:after="120"/>
        <w:ind w:hanging="720" w:left="720"/>
        <w:rPr/>
      </w:pPr>
      <w:r>
        <w:rPr/>
        <w:t xml:space="preserve">Prometheus Authors. (2026b). </w:t>
      </w:r>
      <w:r>
        <w:rPr>
          <w:i/>
        </w:rPr>
        <w:t>Data model</w:t>
      </w:r>
      <w:r>
        <w:rPr/>
        <w:t>. Prometheus documentation. https://prometheus.io/docs/concepts/data_model/</w:t>
      </w:r>
    </w:p>
    <w:p>
      <w:pPr>
        <w:pStyle w:val="Normal"/>
        <w:spacing w:before="0" w:after="120"/>
        <w:ind w:hanging="720" w:left="720"/>
        <w:rPr/>
      </w:pPr>
      <w:r>
        <w:rPr/>
        <w:t xml:space="preserve">Prometheus Authors. (2026c). </w:t>
      </w:r>
      <w:r>
        <w:rPr>
          <w:i/>
        </w:rPr>
        <w:t>Querying Prometheus</w:t>
      </w:r>
      <w:r>
        <w:rPr/>
        <w:t>. Prometheus documentation. https://prometheus.io/docs/prometheus/latest/querying/basics/</w:t>
      </w:r>
    </w:p>
    <w:p>
      <w:pPr>
        <w:pStyle w:val="Normal"/>
        <w:spacing w:before="0" w:after="120"/>
        <w:ind w:hanging="720" w:left="720"/>
        <w:rPr/>
      </w:pPr>
      <w:r>
        <w:rPr/>
        <w:t xml:space="preserve">Prometheus Authors. (2026d). </w:t>
      </w:r>
      <w:r>
        <w:rPr>
          <w:i/>
        </w:rPr>
        <w:t>Storage</w:t>
      </w:r>
      <w:r>
        <w:rPr/>
        <w:t>. Prometheus documentation. https://prometheus.io/docs/prometheus/latest/storage/</w:t>
      </w:r>
    </w:p>
    <w:p>
      <w:pPr>
        <w:pStyle w:val="Normal"/>
        <w:spacing w:before="0" w:after="120"/>
        <w:ind w:hanging="720" w:left="720"/>
        <w:rPr/>
      </w:pPr>
      <w:r>
        <w:rPr/>
        <w:t xml:space="preserve">Prometheus Authors. (2026e). </w:t>
      </w:r>
      <w:r>
        <w:rPr>
          <w:i/>
        </w:rPr>
        <w:t>Alerting rules</w:t>
      </w:r>
      <w:r>
        <w:rPr/>
        <w:t>. Prometheus documentation. https://prometheus.io/docs/prometheus/latest/configuration/alerting_rules/</w:t>
      </w:r>
    </w:p>
    <w:p>
      <w:pPr>
        <w:pStyle w:val="Normal"/>
        <w:spacing w:before="0" w:after="120"/>
        <w:ind w:hanging="720" w:left="720"/>
        <w:rPr/>
      </w:pPr>
      <w:r>
        <w:rPr/>
        <w:t xml:space="preserve">Prometheus Authors. (2026f). </w:t>
      </w:r>
      <w:r>
        <w:rPr>
          <w:i/>
        </w:rPr>
        <w:t>Histograms and summaries</w:t>
      </w:r>
      <w:r>
        <w:rPr/>
        <w:t>. Prometheus documentation. https://prometheus.io/docs/practices/histograms/</w:t>
      </w:r>
    </w:p>
    <w:p>
      <w:pPr>
        <w:pStyle w:val="Normal"/>
        <w:spacing w:before="0" w:after="120"/>
        <w:ind w:hanging="720" w:left="720"/>
        <w:rPr/>
      </w:pPr>
      <w:r>
        <w:rPr/>
        <w:t xml:space="preserve">Prometheus Authors. (2026g). </w:t>
      </w:r>
      <w:r>
        <w:rPr>
          <w:i/>
        </w:rPr>
        <w:t>Node exporter</w:t>
      </w:r>
      <w:r>
        <w:rPr/>
        <w:t xml:space="preserve"> [Software]. GitHub. https://github.com/prometheus/node_exporter</w:t>
      </w:r>
    </w:p>
    <w:p>
      <w:pPr>
        <w:pStyle w:val="Heading1"/>
        <w:rPr/>
      </w:pPr>
      <w:bookmarkStart w:id="30" w:name="__RefHeading___Toc4018_4040047475"/>
      <w:bookmarkEnd w:id="30"/>
      <w:r>
        <w:rPr/>
        <w:t>11. Cierre y metacognición</w:t>
      </w:r>
    </w:p>
    <w:p>
      <w:pPr>
        <w:pStyle w:val="Normal"/>
        <w:spacing w:before="0" w:after="40"/>
        <w:rPr/>
      </w:pPr>
      <w:r>
        <w:rPr>
          <w:b/>
        </w:rPr>
        <w:t>1. ¿Qué métrica fue más útil para detectar o explicar el incidente y por qué?</w:t>
      </w:r>
    </w:p>
    <w:p>
      <w:pPr>
        <w:pStyle w:val="Normal"/>
        <w:jc w:val="both"/>
        <w:rPr/>
      </w:pPr>
      <w:r>
        <w:rPr>
          <w:b w:val="false"/>
        </w:rPr>
        <w:t>La latencia p95 de la dependencia (</w:t>
      </w:r>
      <w:r>
        <w:rPr>
          <w:rFonts w:ascii="Consolas" w:hAnsi="Consolas"/>
          <w:color w:val="8B1A1A"/>
          <w:sz w:val="19"/>
        </w:rPr>
        <w:t>app_dependency_duration_seconds</w:t>
      </w:r>
      <w:r>
        <w:rPr>
          <w:b w:val="false"/>
        </w:rPr>
        <w:t>). La latencia HTTP y los errores mostraron que el servicio estaba degradado, pero no por qué. La latencia de inventario-db cambió primero, en el mismo intervalo de 5 s, y en una magnitud (≈ 31×) que explica por sí sola la latencia de los endpoints que la consultan. Además, su alerta fue la más específica: apunta a la causa y no solo al síntoma.</w:t>
      </w:r>
    </w:p>
    <w:p>
      <w:pPr>
        <w:pStyle w:val="Normal"/>
        <w:spacing w:before="0" w:after="40"/>
        <w:rPr/>
      </w:pPr>
      <w:r>
        <w:rPr>
          <w:b/>
        </w:rPr>
        <w:t>2. ¿Qué hipótesis inicial fue confirmada o descartada por los datos?</w:t>
      </w:r>
    </w:p>
    <w:p>
      <w:pPr>
        <w:pStyle w:val="Normal"/>
        <w:jc w:val="both"/>
        <w:rPr/>
      </w:pPr>
      <w:r>
        <w:rPr>
          <w:b w:val="false"/>
        </w:rPr>
        <w:t>La hipótesis inicial sugerida por el caso, presión de recursos (CPU o memoria), quedó descartada: la CPU del host bajó de 3,8 % a 2,7 %, el proceso de la app consumió lo mismo y la memoria disponible no bajó del 91 %. Se confirmó la hipótesis de fallo de una dependencia, sustentada por la coincidencia temporal y porque la ruta que no la usa no se degradó.</w:t>
      </w:r>
    </w:p>
    <w:p>
      <w:pPr>
        <w:pStyle w:val="Normal"/>
        <w:spacing w:before="0" w:after="40"/>
        <w:rPr/>
      </w:pPr>
      <w:r>
        <w:rPr>
          <w:b/>
        </w:rPr>
        <w:t>3. ¿Qué información adicional habría reducido la incertidumbre del diagnóstico?</w:t>
      </w:r>
    </w:p>
    <w:p>
      <w:pPr>
        <w:pStyle w:val="Normal"/>
        <w:jc w:val="both"/>
        <w:rPr/>
      </w:pPr>
      <w:r>
        <w:rPr>
          <w:b w:val="false"/>
        </w:rPr>
        <w:t>Trazas distribuidas que muestren el tiempo de cada petición dentro de inventario-db, métricas propias de la base de datos (conexiones, consultas lentas, bloqueos) y un registro de cambios o despliegues. También ayudarían histogramas nativos o cubetas más finas para estimar los percentiles con más precisión y varias repeticiones del experimento para medir la variabilidad.</w:t>
      </w:r>
    </w:p>
    <w:p>
      <w:pPr>
        <w:pStyle w:val="Normal"/>
        <w:spacing w:before="0" w:after="40"/>
        <w:rPr/>
      </w:pPr>
      <w:r>
        <w:rPr>
          <w:b/>
        </w:rPr>
        <w:t>4. ¿Cómo automatizaría la detección temprana de un evento similar?</w:t>
      </w:r>
    </w:p>
    <w:p>
      <w:pPr>
        <w:pStyle w:val="Normal"/>
        <w:jc w:val="both"/>
        <w:rPr/>
      </w:pPr>
      <w:r>
        <w:rPr>
          <w:b w:val="false"/>
        </w:rPr>
        <w:t>Con las reglas ya probadas (DependenciaLenta, LatenciaP95Alta, TasaErroresAlta) enviadas mediante Alertmanager a un canal del equipo, más una alerta por tasa de consumo del SLO. Se añadirían sondas sintéticas periódicas contra los endpoints críticos, un runbook enlazado en cada alerta que indique revisar primero la dependencia y una prueba de caos programada para comprobar que las alertas siguen funcionando.</w:t>
      </w:r>
    </w:p>
    <w:p>
      <w:pPr>
        <w:pStyle w:val="Heading1"/>
        <w:rPr/>
      </w:pPr>
      <w:bookmarkStart w:id="31" w:name="__RefHeading___Toc4020_4040047475"/>
      <w:bookmarkEnd w:id="31"/>
      <w:r>
        <w:rPr/>
        <w:t>12. Autoevaluación frente a la rúbrica</w:t>
      </w:r>
    </w:p>
    <w:p>
      <w:pPr>
        <w:pStyle w:val="Normal"/>
        <w:keepNext w:val="true"/>
        <w:spacing w:before="0" w:after="60"/>
        <w:rPr/>
      </w:pPr>
      <w:r>
        <w:rPr>
          <w:b/>
        </w:rPr>
        <w:t xml:space="preserve">Tabla 13. </w:t>
      </w:r>
      <w:r>
        <w:rPr>
          <w:b w:val="false"/>
          <w:i/>
        </w:rPr>
        <w:t>Autoevaluación (la calificación corresponde al docente)</w:t>
      </w:r>
    </w:p>
    <w:tbl>
      <w:tblPr>
        <w:tblStyle w:val="TableGrid"/>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49"/>
        <w:gridCol w:w="4648"/>
      </w:tblGrid>
      <w:tr>
        <w:trPr>
          <w:tblHeader w:val="true"/>
        </w:trPr>
        <w:tc>
          <w:tcPr>
            <w:tcW w:w="4649"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8"/>
                <w:szCs w:val="22"/>
                <w:lang w:val="en-US" w:eastAsia="en-US" w:bidi="ar-SA"/>
              </w:rPr>
              <w:t>Criterio (puntaje)</w:t>
            </w:r>
          </w:p>
        </w:tc>
        <w:tc>
          <w:tcPr>
            <w:tcW w:w="4648"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8"/>
                <w:szCs w:val="22"/>
                <w:lang w:val="en-US" w:eastAsia="en-US" w:bidi="ar-SA"/>
              </w:rPr>
              <w:t>Evidencia que sustenta el cumplimiento</w:t>
            </w:r>
          </w:p>
        </w:tc>
      </w:tr>
      <w:tr>
        <w:trPr/>
        <w:tc>
          <w:tcPr>
            <w:tcW w:w="464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Explicación del monitoreo y TSDB (4)</w:t>
            </w:r>
          </w:p>
        </w:tc>
        <w:tc>
          <w:tcPr>
            <w:tcW w:w="4648"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Sección 3 (Tabla 2, con referencias), Sección 4 (Figura 1 y Tabla 3), configuración de TSDB y recolección.</w:t>
            </w:r>
          </w:p>
        </w:tc>
      </w:tr>
      <w:tr>
        <w:trPr/>
        <w:tc>
          <w:tcPr>
            <w:tcW w:w="464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Obtención y presentación de métricas (4)</w:t>
            </w:r>
          </w:p>
        </w:tc>
        <w:tc>
          <w:tcPr>
            <w:tcW w:w="4648"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Inventario (Tabla 5), datos reales exportados con periodos y unidades (Tabla 6), 10 consultas interpretadas (Tabla 7), capturas reales.</w:t>
            </w:r>
          </w:p>
        </w:tc>
      </w:tr>
      <w:tr>
        <w:trPr/>
        <w:tc>
          <w:tcPr>
            <w:tcW w:w="464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Análisis del fallo (6)</w:t>
            </w:r>
          </w:p>
        </w:tc>
        <w:tc>
          <w:tcPr>
            <w:tcW w:w="4648"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Línea temporal (Tabla 9), hoja de análisis (Tabla 10), correlación de 3 señales más contraste (Figura 16), 4 hipótesis contrastadas (Tabla 11), diagnóstico y limitaciones.</w:t>
            </w:r>
          </w:p>
        </w:tc>
      </w:tr>
      <w:tr>
        <w:trPr/>
        <w:tc>
          <w:tcPr>
            <w:tcW w:w="464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Propuesta de respuesta y prevención (3)</w:t>
            </w:r>
          </w:p>
        </w:tc>
        <w:tc>
          <w:tcPr>
            <w:tcW w:w="4648"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Sección 8: acción inmediata, prevención, reglas con umbrales justificados por la línea base y procedimiento de verificación.</w:t>
            </w:r>
          </w:p>
        </w:tc>
      </w:tr>
      <w:tr>
        <w:trPr/>
        <w:tc>
          <w:tcPr>
            <w:tcW w:w="4649"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Comunicación académica y reproducibilidad (3)</w:t>
            </w:r>
          </w:p>
        </w:tc>
        <w:tc>
          <w:tcPr>
            <w:tcW w:w="4648" w:type="dxa"/>
            <w:tcBorders/>
          </w:tcPr>
          <w:p>
            <w:pPr>
              <w:pStyle w:val="Normal"/>
              <w:widowControl/>
              <w:spacing w:lineRule="auto" w:line="240" w:before="0" w:after="20"/>
              <w:jc w:val="left"/>
              <w:rPr>
                <w:rFonts w:cs=""/>
                <w:kern w:val="0"/>
                <w:szCs w:val="22"/>
                <w:lang w:val="en-US" w:eastAsia="en-US" w:bidi="ar-SA"/>
              </w:rPr>
            </w:pPr>
            <w:r>
              <w:rPr>
                <w:rFonts w:cs=""/>
                <w:b w:val="false"/>
                <w:kern w:val="0"/>
                <w:sz w:val="18"/>
                <w:szCs w:val="22"/>
                <w:lang w:val="en-US" w:eastAsia="en-US" w:bidi="ar-SA"/>
              </w:rPr>
              <w:t>Estructura de la guía, figuras y tablas numeradas con fuente, APA 7, repositorio con scripts y datos.</w:t>
            </w:r>
          </w:p>
        </w:tc>
      </w:tr>
    </w:tbl>
    <w:p>
      <w:pPr>
        <w:pStyle w:val="Normal"/>
        <w:spacing w:before="0" w:after="40"/>
        <w:rPr/>
      </w:pPr>
      <w:r>
        <w:rPr/>
      </w:r>
    </w:p>
    <w:p>
      <w:pPr>
        <w:pStyle w:val="Normal"/>
        <w:jc w:val="both"/>
        <w:rPr/>
      </w:pPr>
      <w:r>
        <w:rPr>
          <w:b w:val="false"/>
        </w:rPr>
        <w:t xml:space="preserve">Pendiente declarado: capturas de los paneles de Grafana, que se obtienen al ejecutar </w:t>
      </w:r>
      <w:r>
        <w:rPr>
          <w:rFonts w:ascii="Consolas" w:hAnsi="Consolas"/>
          <w:color w:val="8B1A1A"/>
          <w:sz w:val="19"/>
        </w:rPr>
        <w:t>docker compose up</w:t>
      </w:r>
      <w:r>
        <w:rPr>
          <w:b w:val="false"/>
        </w:rPr>
        <w:t xml:space="preserve"> en GitHub Codespaces.</w:t>
      </w:r>
    </w:p>
    <w:p>
      <w:pPr>
        <w:pStyle w:val="Heading1"/>
        <w:rPr/>
      </w:pPr>
      <w:bookmarkStart w:id="32" w:name="__RefHeading___Toc4022_4040047475"/>
      <w:bookmarkEnd w:id="32"/>
      <w:r>
        <w:rPr/>
        <w:t>13. Anexos</w:t>
      </w:r>
    </w:p>
    <w:p>
      <w:pPr>
        <w:pStyle w:val="Heading2"/>
        <w:rPr/>
      </w:pPr>
      <w:bookmarkStart w:id="33" w:name="__RefHeading___Toc4024_4040047475"/>
      <w:bookmarkEnd w:id="33"/>
      <w:r>
        <w:rPr/>
        <w:t>Anexo A. Consultas PromQL completas</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298"/>
      </w:tblGrid>
      <w:tr>
        <w:trPr/>
        <w:tc>
          <w:tcPr>
            <w:tcW w:w="9298" w:type="dxa"/>
            <w:tcBorders/>
            <w:shd w:color="auto" w:fill="F3F5F8" w:val="clear"/>
          </w:tcPr>
          <w:p>
            <w:pPr>
              <w:pStyle w:val="Normal"/>
              <w:spacing w:lineRule="auto" w:line="240" w:before="0" w:after="0"/>
              <w:rPr/>
            </w:pPr>
            <w:r>
              <w:rPr>
                <w:rFonts w:ascii="Consolas" w:hAnsi="Consolas"/>
                <w:sz w:val="15"/>
              </w:rPr>
              <w:t># Q1 – Disponibilidad del objetivo: mínimo de up en la fase</w:t>
              <w:br/>
              <w:t>min_over_time(up{job="catalogo-app"}[Δ])</w:t>
              <w:br/>
              <w:br/>
              <w:t># Q2a – Peticiones atendidas en la fase (incremento del contador)</w:t>
              <w:br/>
              <w:t>sum(increase(app_http_requests_total[Δ]))</w:t>
              <w:br/>
              <w:br/>
              <w:t># Q2b – Tasa media de peticiones por segundo en la fase</w:t>
              <w:br/>
              <w:t>sum(rate(app_http_requests_total[Δ]))</w:t>
              <w:br/>
              <w:br/>
              <w:t># Q2c – Tasa por endpoint y código de estado</w:t>
              <w:br/>
              <w:t>sum by (endpoint, status) (rate(app_http_requests_total[Δ]))</w:t>
              <w:br/>
              <w:br/>
              <w:t># Q3 – Proporción de respuestas 5xx en la fase</w:t>
              <w:br/>
              <w:t>sum(increase(app_http_requests_total{status=~"5.."}[Δ])) / sum(increase(app_http_requests_total[Δ]))</w:t>
              <w:br/>
              <w:br/>
              <w:t># Q4a – Latencia media HTTP en la fase</w:t>
              <w:br/>
              <w:t>sum(rate(app_http_request_duration_seconds_sum[Δ])) / sum(rate(app_http_request_duration_seconds_count[Δ]))</w:t>
              <w:br/>
              <w:br/>
              <w:t># Q4b – Percentil 95 de latencia HTTP en toda la fase</w:t>
              <w:br/>
              <w:t>histogram_quantile(0.95, sum by (le) (rate(app_http_request_duration_seconds_bucket[Δ])))</w:t>
              <w:br/>
              <w:br/>
              <w:t># Q4c – p95 de latencia por endpoint (agrupación by)</w:t>
              <w:br/>
              <w:t>histogram_quantile(0.95, sum by (endpoint, le) (rate(app_http_request_duration_seconds_bucket[Δ])))</w:t>
              <w:br/>
              <w:br/>
              <w:t># Q5 – Máximo temporal del p95 (ventana 1 m) dentro de la fase</w:t>
              <w:br/>
              <w:t>max_over_time(job:app_http_latency_seconds:p95_1m[Δ])</w:t>
              <w:br/>
              <w:br/>
              <w:t># Q6 – p95 de latencia de inventario-db en la fase</w:t>
              <w:br/>
              <w:t>histogram_quantile(0.95, sum by (le) (rate(app_dependency_duration_seconds_bucket[Δ])))</w:t>
              <w:br/>
              <w:br/>
              <w:t># Q7 – Errores de la dependencia (incremento) por motivo</w:t>
              <w:br/>
              <w:t>sum(increase(app_dependency_errors_total[Δ])) or vector(0)</w:t>
              <w:br/>
              <w:br/>
              <w:t># Q8a – Uso medio de CPU del host (1 - idle), avg por instancia</w:t>
              <w:br/>
              <w:t>1 - avg by (instance) (rate(node_cpu_seconds_total{mode="idle"}[Δ]))</w:t>
              <w:br/>
              <w:br/>
              <w:t># Q8b – Máximo del uso de CPU del host (ventanas de 1 m) en la fase</w:t>
              <w:br/>
              <w:t>max_over_time((1 - avg(rate(node_cpu_seconds_total{mode="idle"}[1m])))[Δ:5s])</w:t>
              <w:br/>
              <w:br/>
              <w:t># Q8c – CPU consumida por el proceso de la app (núcleos)</w:t>
              <w:br/>
              <w:t>rate(process_cpu_seconds_total{job="catalogo-app"}[Δ])</w:t>
              <w:br/>
              <w:br/>
              <w:t># Q9a – Mínimo de memoria disponible del host (ratio)</w:t>
              <w:br/>
              <w:t>min_over_time((node_memory_MemAvailable_bytes / node_memory_MemTotal_bytes)[Δ:5s])</w:t>
              <w:br/>
              <w:br/>
              <w:t># Q9b – Máximo de memoria residente de la app (MB)</w:t>
              <w:br/>
              <w:t>max_over_time(process_resident_memory_bytes{job="catalogo-app"}[Δ]) / 1024 / 1024</w:t>
              <w:br/>
              <w:br/>
              <w:t># Q10 – Concurrencia máxima (peticiones en curso)</w:t>
              <w:br/>
              <w:t>max_over_time(app_http_inflight_requests[Δ])</w:t>
              <w:br/>
              <w:br/>
              <w:t># Q11 – Máxima utilización de E/S de disco (fracción de tiempo ocupado)</w:t>
              <w:br/>
              <w:t>max_over_time(max(rate(node_disk_io_time_seconds_total[1m]))[Δ:5s])</w:t>
              <w:br/>
              <w:br/>
              <w:t># Q12 – Alertas en estado firing durante la fase</w:t>
              <w:br/>
              <w:t>max_over_time(ALERTS{alertstate="firing"}[Δ])</w:t>
            </w:r>
          </w:p>
        </w:tc>
      </w:tr>
    </w:tbl>
    <w:p>
      <w:pPr>
        <w:pStyle w:val="Normal"/>
        <w:spacing w:before="0" w:after="40"/>
        <w:rPr/>
      </w:pPr>
      <w:r>
        <w:rPr/>
      </w:r>
    </w:p>
    <w:p>
      <w:pPr>
        <w:pStyle w:val="Normal"/>
        <w:jc w:val="both"/>
        <w:rPr/>
      </w:pPr>
      <w:r>
        <w:rPr>
          <w:b w:val="false"/>
        </w:rPr>
        <w:t>Δ es la duración de cada fase (361 s, 302 s y 360 s). Consultas de los paneles (ventana móvil de 1 minuto):</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298"/>
      </w:tblGrid>
      <w:tr>
        <w:trPr/>
        <w:tc>
          <w:tcPr>
            <w:tcW w:w="9298" w:type="dxa"/>
            <w:tcBorders/>
            <w:shd w:color="auto" w:fill="F3F5F8" w:val="clear"/>
          </w:tcPr>
          <w:p>
            <w:pPr>
              <w:pStyle w:val="Normal"/>
              <w:spacing w:lineRule="auto" w:line="240" w:before="0" w:after="0"/>
              <w:rPr/>
            </w:pPr>
            <w:r>
              <w:rPr>
                <w:rFonts w:ascii="Consolas" w:hAnsi="Consolas"/>
                <w:sz w:val="16"/>
              </w:rPr>
              <w:t>sum by (endpoint, status) (rate(app_http_requests_total[1m]))</w:t>
              <w:br/>
              <w:t>job:app_http_errors:ratio_rate1m</w:t>
              <w:br/>
              <w:t>histogram_quantile(0.95, sum by (le) (rate(app_http_request_duration_seconds_bucket[1m])))</w:t>
              <w:br/>
              <w:t>job:app_dependency_latency_seconds:p95_1m</w:t>
              <w:br/>
              <w:t>1 - avg(rate(node_cpu_seconds_total{mode="idle"}[1m]))</w:t>
              <w:br/>
              <w:t>node_memory_MemAvailable_bytes / node_memory_MemTotal_bytes</w:t>
              <w:br/>
              <w:t>ALERTS{alertstate="firing"}</w:t>
            </w:r>
          </w:p>
        </w:tc>
      </w:tr>
    </w:tbl>
    <w:p>
      <w:pPr>
        <w:pStyle w:val="Normal"/>
        <w:spacing w:before="0" w:after="40"/>
        <w:rPr/>
      </w:pPr>
      <w:r>
        <w:rPr/>
      </w:r>
    </w:p>
    <w:p>
      <w:pPr>
        <w:pStyle w:val="Heading2"/>
        <w:rPr/>
      </w:pPr>
      <w:bookmarkStart w:id="34" w:name="__RefHeading___Toc4026_4040047475"/>
      <w:bookmarkEnd w:id="34"/>
      <w:r>
        <w:rPr/>
        <w:t>Anexo B. Reglas de registro y de alerta (prometheus/alerts.yml)</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298"/>
      </w:tblGrid>
      <w:tr>
        <w:trPr/>
        <w:tc>
          <w:tcPr>
            <w:tcW w:w="9298" w:type="dxa"/>
            <w:tcBorders/>
            <w:shd w:color="auto" w:fill="F3F5F8" w:val="clear"/>
          </w:tcPr>
          <w:p>
            <w:pPr>
              <w:pStyle w:val="Normal"/>
              <w:spacing w:lineRule="auto" w:line="240" w:before="0" w:after="0"/>
              <w:rPr/>
            </w:pPr>
            <w:r>
              <w:rPr>
                <w:rFonts w:ascii="Consolas" w:hAnsi="Consolas"/>
                <w:sz w:val="15"/>
              </w:rPr>
              <w:t>groups:</w:t>
              <w:br/>
              <w:t xml:space="preserve">  - name: sli-catalogo</w:t>
              <w:br/>
              <w:t xml:space="preserve">    interval: 5s</w:t>
              <w:br/>
              <w:t xml:space="preserve">    rules:</w:t>
              <w:br/>
              <w:t xml:space="preserve">      # Reglas de registro (SLI) reutilizadas por alertas y dashboards</w:t>
              <w:br/>
              <w:t xml:space="preserve">      - record: job:app_http_requests:rate1m</w:t>
              <w:br/>
              <w:t xml:space="preserve">        expr: sum by (job) (rate(app_http_requests_total{endpoint!="/metrics"}[1m]))</w:t>
              <w:br/>
              <w:t xml:space="preserve">      - record: job:app_http_errors:ratio_rate1m</w:t>
              <w:br/>
              <w:t xml:space="preserve">        expr: |</w:t>
              <w:br/>
              <w:t xml:space="preserve">          sum by (job) (rate(app_http_requests_total{status=~"5.."}[1m]))</w:t>
              <w:br/>
              <w:t xml:space="preserve">          /</w:t>
              <w:br/>
              <w:t xml:space="preserve">          sum by (job) (rate(app_http_requests_total{endpoint!="/metrics"}[1m]))</w:t>
              <w:br/>
              <w:t xml:space="preserve">      - record: job:app_http_latency_seconds:p95_1m</w:t>
              <w:br/>
              <w:t xml:space="preserve">        expr: histogram_quantile(0.95, sum by (job, le) (rate(app_http_request_duration_seconds_bucket[1m])))</w:t>
              <w:br/>
              <w:t xml:space="preserve">      - record: job:app_dependency_latency_seconds:p95_1m</w:t>
              <w:br/>
              <w:t xml:space="preserve">        expr: histogram_quantile(0.95, sum by (job, dependency, le) (rate(app_dependency_duration_seconds_bucket[1m])))</w:t>
              <w:br/>
              <w:br/>
              <w:t xml:space="preserve">  - name: alertas-catalogo</w:t>
              <w:br/>
              <w:t xml:space="preserve">    rules:</w:t>
              <w:br/>
              <w:t xml:space="preserve">      - alert: ObjetivoCaido</w:t>
              <w:br/>
              <w:t xml:space="preserve">        expr: up == 0</w:t>
              <w:br/>
              <w:t xml:space="preserve">        for: 30s</w:t>
              <w:br/>
              <w:t xml:space="preserve">        labels:</w:t>
              <w:br/>
              <w:t xml:space="preserve">          severity: critical</w:t>
              <w:br/>
              <w:t xml:space="preserve">        annotations:</w:t>
              <w:br/>
              <w:t xml:space="preserve">          summary: "Prometheus no puede recolectar {{ $labels.job }} ({{ $labels.instance }})"</w:t>
              <w:br/>
              <w:br/>
              <w:t xml:space="preserve">      - alert: TasaErroresAlta</w:t>
              <w:br/>
              <w:t xml:space="preserve">        expr: job:app_http_errors:ratio_rate1m &gt; 0.05</w:t>
              <w:br/>
              <w:t xml:space="preserve">        for: 1m</w:t>
              <w:br/>
              <w:t xml:space="preserve">        labels:</w:t>
              <w:br/>
              <w:t xml:space="preserve">          severity: critical</w:t>
              <w:br/>
              <w:t xml:space="preserve">        annotations:</w:t>
              <w:br/>
              <w:t xml:space="preserve">          summary: "Más del 5 % de respuestas 5xx en {{ $labels.job }}"</w:t>
              <w:br/>
              <w:t xml:space="preserve">          description: "Ratio actual: {{ $value | humanizePercentage }}"</w:t>
              <w:br/>
              <w:br/>
              <w:t xml:space="preserve">      - alert: LatenciaP95Alta</w:t>
              <w:br/>
              <w:t xml:space="preserve">        expr: job:app_http_latency_seconds:p95_1m &gt; 0.5</w:t>
              <w:br/>
              <w:t xml:space="preserve">        for: 1m</w:t>
              <w:br/>
              <w:t xml:space="preserve">        labels:</w:t>
              <w:br/>
              <w:t xml:space="preserve">          severity: warning</w:t>
              <w:br/>
              <w:t xml:space="preserve">        annotations:</w:t>
              <w:br/>
              <w:t xml:space="preserve">          summary: "Latencia p95 &gt; 500 ms en {{ $labels.job }}"</w:t>
              <w:br/>
              <w:t xml:space="preserve">          description: "p95 actual: {{ $value | humanizeDuration }}"</w:t>
              <w:br/>
              <w:br/>
              <w:t xml:space="preserve">      - alert: DependenciaLenta</w:t>
              <w:br/>
              <w:t xml:space="preserve">        expr: job:app_dependency_latency_seconds:p95_1m &gt; 0.25</w:t>
              <w:br/>
              <w:t xml:space="preserve">        for: 1m</w:t>
              <w:br/>
              <w:t xml:space="preserve">        labels:</w:t>
              <w:br/>
              <w:t xml:space="preserve">          severity: warning</w:t>
              <w:br/>
              <w:t xml:space="preserve">        annotations:</w:t>
              <w:br/>
              <w:t xml:space="preserve">          summary: "p95 de {{ $labels.dependency }} &gt; 250 ms"</w:t>
              <w:br/>
              <w:t xml:space="preserve">          description: "Posible degradación de dependencia; revisar antes de escalar recursos."</w:t>
              <w:br/>
              <w:br/>
              <w:t xml:space="preserve">      - alert: CPUHostAlta</w:t>
              <w:br/>
              <w:t xml:space="preserve">        expr: 1 - avg by (instance) (rate(node_cpu_seconds_total{mode="idle"}[1m])) &gt; 0.85</w:t>
              <w:br/>
              <w:t xml:space="preserve">        for: 2m</w:t>
              <w:br/>
              <w:t xml:space="preserve">        labels:</w:t>
              <w:br/>
              <w:t xml:space="preserve">          severity: warning</w:t>
              <w:br/>
              <w:t xml:space="preserve">        annotations:</w:t>
              <w:br/>
              <w:t xml:space="preserve">          summary: "CPU del host &gt; 85 % durante 2 minutos"</w:t>
              <w:br/>
              <w:br/>
              <w:t xml:space="preserve">      - alert: MemoriaHostBaja</w:t>
              <w:br/>
              <w:t xml:space="preserve">        expr: node_memory_MemAvailable_bytes / node_memory_MemTotal_bytes &lt; 0.10</w:t>
              <w:br/>
              <w:t xml:space="preserve">        for: 2m</w:t>
              <w:br/>
              <w:t xml:space="preserve">        labels:</w:t>
              <w:br/>
              <w:t xml:space="preserve">          severity: warning</w:t>
              <w:br/>
              <w:t xml:space="preserve">        annotations:</w:t>
              <w:br/>
              <w:t xml:space="preserve">          summary: "Memoria disponible del host &lt; 10 %"</w:t>
            </w:r>
          </w:p>
        </w:tc>
      </w:tr>
    </w:tbl>
    <w:p>
      <w:pPr>
        <w:pStyle w:val="Normal"/>
        <w:spacing w:before="0" w:after="40"/>
        <w:rPr/>
      </w:pPr>
      <w:r>
        <w:rPr/>
      </w:r>
    </w:p>
    <w:p>
      <w:pPr>
        <w:pStyle w:val="Heading2"/>
        <w:rPr/>
      </w:pPr>
      <w:bookmarkStart w:id="35" w:name="__RefHeading___Toc4028_4040047475"/>
      <w:bookmarkEnd w:id="35"/>
      <w:r>
        <w:rPr/>
        <w:t>Anexo C. Fragmento de instrumentación y modo de fallo (application/app.py)</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298"/>
      </w:tblGrid>
      <w:tr>
        <w:trPr/>
        <w:tc>
          <w:tcPr>
            <w:tcW w:w="9298" w:type="dxa"/>
            <w:tcBorders/>
            <w:shd w:color="auto" w:fill="F3F5F8" w:val="clear"/>
          </w:tcPr>
          <w:p>
            <w:pPr>
              <w:pStyle w:val="Normal"/>
              <w:spacing w:lineRule="auto" w:line="240" w:before="0" w:after="0"/>
              <w:rPr/>
            </w:pPr>
            <w:r>
              <w:rPr>
                <w:rFonts w:ascii="Consolas" w:hAnsi="Consolas"/>
                <w:sz w:val="15"/>
              </w:rPr>
              <w:t>def call_dependency():</w:t>
              <w:br/>
              <w:t xml:space="preserve">    """Simula la consulta a la dependencia. Lanza RuntimeError si falla."""</w:t>
              <w:br/>
              <w:t xml:space="preserve">    with _lock:</w:t>
              <w:br/>
              <w:t xml:space="preserve">        fault = _state["fault"]</w:t>
              <w:br/>
              <w:t xml:space="preserve">    start = time.perf_counter()</w:t>
              <w:br/>
              <w:t xml:space="preserve">    try:</w:t>
              <w:br/>
              <w:t xml:space="preserve">        if fault:</w:t>
              <w:br/>
              <w:t xml:space="preserve">            # Degradación: latencia alta y 30 % de timeouts</w:t>
              <w:br/>
              <w:t xml:space="preserve">            time.sleep(random.uniform(0.6, 1.4))</w:t>
              <w:br/>
              <w:t xml:space="preserve">            if random.random() &lt; 0.30:</w:t>
              <w:br/>
              <w:t xml:space="preserve">                DEP_ERRORS.labels(DEPENDENCY, "timeout").inc()</w:t>
              <w:br/>
              <w:t xml:space="preserve">                raise RuntimeError("timeout en inventario-db")</w:t>
              <w:br/>
              <w:t xml:space="preserve">        else:</w:t>
              <w:br/>
              <w:t xml:space="preserve">            time.sleep(random.uniform(0.008, 0.035))</w:t>
              <w:br/>
              <w:t xml:space="preserve">            if random.random() &lt; 0.002:</w:t>
              <w:br/>
              <w:t xml:space="preserve">                DEP_ERRORS.labels(DEPENDENCY, "transient").inc()</w:t>
              <w:br/>
              <w:t xml:space="preserve">                raise RuntimeError("error transitorio")</w:t>
              <w:br/>
              <w:t xml:space="preserve">    finally:</w:t>
              <w:br/>
              <w:t xml:space="preserve">        DEP_LATENCY.labels(DEPENDENCY).observe(time.perf_counter() - start)</w:t>
            </w:r>
          </w:p>
        </w:tc>
      </w:tr>
    </w:tbl>
    <w:p>
      <w:pPr>
        <w:pStyle w:val="Normal"/>
        <w:spacing w:before="0" w:after="40"/>
        <w:rPr/>
      </w:pPr>
      <w:r>
        <w:rPr/>
      </w:r>
    </w:p>
    <w:p>
      <w:pPr>
        <w:pStyle w:val="Heading2"/>
        <w:rPr/>
      </w:pPr>
      <w:bookmarkStart w:id="36" w:name="__RefHeading___Toc4030_4040047475"/>
      <w:bookmarkEnd w:id="36"/>
      <w:r>
        <w:rPr/>
        <w:t>Anexo D. Scripts y datos exportados</w:t>
      </w:r>
    </w:p>
    <w:p>
      <w:pPr>
        <w:pStyle w:val="Normal"/>
        <w:keepNext w:val="true"/>
        <w:spacing w:before="0" w:after="60"/>
        <w:rPr/>
      </w:pPr>
      <w:r>
        <w:rPr>
          <w:b/>
        </w:rPr>
        <w:t xml:space="preserve">Tabla 14. </w:t>
      </w:r>
      <w:r>
        <w:rPr>
          <w:b w:val="false"/>
          <w:i/>
        </w:rPr>
        <w:t>Archivos del repositorio</w:t>
      </w:r>
    </w:p>
    <w:tbl>
      <w:tblPr>
        <w:tblStyle w:val="TableGrid"/>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49"/>
        <w:gridCol w:w="4648"/>
      </w:tblGrid>
      <w:tr>
        <w:trPr>
          <w:tblHeader w:val="true"/>
        </w:trPr>
        <w:tc>
          <w:tcPr>
            <w:tcW w:w="4649"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7"/>
                <w:szCs w:val="22"/>
                <w:lang w:val="en-US" w:eastAsia="en-US" w:bidi="ar-SA"/>
              </w:rPr>
              <w:t>Archivo</w:t>
            </w:r>
          </w:p>
        </w:tc>
        <w:tc>
          <w:tcPr>
            <w:tcW w:w="4648" w:type="dxa"/>
            <w:tcBorders/>
            <w:shd w:color="auto" w:fill="1F3864" w:val="clear"/>
          </w:tcPr>
          <w:p>
            <w:pPr>
              <w:pStyle w:val="Normal"/>
              <w:widowControl/>
              <w:spacing w:lineRule="auto" w:line="240" w:before="0" w:after="20"/>
              <w:jc w:val="left"/>
              <w:rPr>
                <w:rFonts w:cs=""/>
                <w:kern w:val="0"/>
                <w:szCs w:val="22"/>
                <w:lang w:val="en-US" w:eastAsia="en-US" w:bidi="ar-SA"/>
              </w:rPr>
            </w:pPr>
            <w:r>
              <w:rPr>
                <w:rFonts w:cs=""/>
                <w:b/>
                <w:color w:val="FFFFFF"/>
                <w:kern w:val="0"/>
                <w:sz w:val="17"/>
                <w:szCs w:val="22"/>
                <w:lang w:val="en-US" w:eastAsia="en-US" w:bidi="ar-SA"/>
              </w:rPr>
              <w:t>Contenido</w:t>
            </w:r>
          </w:p>
        </w:tc>
      </w:tr>
      <w:tr>
        <w:trPr/>
        <w:tc>
          <w:tcPr>
            <w:tcW w:w="4649"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scripts/validar_entorno.sh</w:t>
            </w:r>
          </w:p>
        </w:tc>
        <w:tc>
          <w:tcPr>
            <w:tcW w:w="4648"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Verifica herramientas, servicios, objetivos, frescura de muestras, reglas y Grafana</w:t>
            </w:r>
          </w:p>
        </w:tc>
      </w:tr>
      <w:tr>
        <w:trPr/>
        <w:tc>
          <w:tcPr>
            <w:tcW w:w="464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scripts/ejecutar_baseline.sh / _incidente.sh / _recuperacion.sh</w:t>
            </w:r>
          </w:p>
        </w:tc>
        <w:tc>
          <w:tcPr>
            <w:tcW w:w="4648"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Fases del experimento con marcas de tiempo</w:t>
            </w:r>
          </w:p>
        </w:tc>
      </w:tr>
      <w:tr>
        <w:trPr/>
        <w:tc>
          <w:tcPr>
            <w:tcW w:w="4649"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scripts/loadgen.py</w:t>
            </w:r>
          </w:p>
        </w:tc>
        <w:tc>
          <w:tcPr>
            <w:tcW w:w="4648"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Generador de tráfico controlado (solo contra la app local)</w:t>
            </w:r>
          </w:p>
        </w:tc>
      </w:tr>
      <w:tr>
        <w:trPr/>
        <w:tc>
          <w:tcPr>
            <w:tcW w:w="464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scripts/exportar_metricas.py</w:t>
            </w:r>
          </w:p>
        </w:tc>
        <w:tc>
          <w:tcPr>
            <w:tcW w:w="4648"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Exporta series, consultas por fase y transiciones de alertas</w:t>
            </w:r>
          </w:p>
        </w:tc>
      </w:tr>
      <w:tr>
        <w:trPr/>
        <w:tc>
          <w:tcPr>
            <w:tcW w:w="4649"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scripts/graficar.py / capturas_prometheus.py</w:t>
            </w:r>
          </w:p>
        </w:tc>
        <w:tc>
          <w:tcPr>
            <w:tcW w:w="4648"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Gráficos con datos reales y capturas de la interfaz</w:t>
            </w:r>
          </w:p>
        </w:tc>
      </w:tr>
      <w:tr>
        <w:trPr/>
        <w:tc>
          <w:tcPr>
            <w:tcW w:w="464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resultados/series_experimento.csv</w:t>
            </w:r>
          </w:p>
        </w:tc>
        <w:tc>
          <w:tcPr>
            <w:tcW w:w="4648"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229 instantes × 21 señales (paso 5 s)</w:t>
            </w:r>
          </w:p>
        </w:tc>
      </w:tr>
      <w:tr>
        <w:trPr/>
        <w:tc>
          <w:tcPr>
            <w:tcW w:w="4649"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resultados/consultas_promql.json</w:t>
            </w:r>
          </w:p>
        </w:tc>
        <w:tc>
          <w:tcPr>
            <w:tcW w:w="4648"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57 evaluaciones PromQL con objetivo, periodo y resultado</w:t>
            </w:r>
          </w:p>
        </w:tc>
      </w:tr>
      <w:tr>
        <w:trPr/>
        <w:tc>
          <w:tcPr>
            <w:tcW w:w="464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resultados/resumen_fases.csv, timeline.csv</w:t>
            </w:r>
          </w:p>
        </w:tc>
        <w:tc>
          <w:tcPr>
            <w:tcW w:w="4648"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Indicadores por fase y marcas de tiempo</w:t>
            </w:r>
          </w:p>
        </w:tc>
      </w:tr>
      <w:tr>
        <w:trPr/>
        <w:tc>
          <w:tcPr>
            <w:tcW w:w="4649"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resultados/cliente_*.csv</w:t>
            </w:r>
          </w:p>
        </w:tc>
        <w:tc>
          <w:tcPr>
            <w:tcW w:w="4648" w:type="dxa"/>
            <w:tcBorders/>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Vista del cliente: cada petición con estado y latencia</w:t>
            </w:r>
          </w:p>
        </w:tc>
      </w:tr>
      <w:tr>
        <w:trPr/>
        <w:tc>
          <w:tcPr>
            <w:tcW w:w="4649"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grafana/dashboards/catalogo-observabilidad.json</w:t>
            </w:r>
          </w:p>
        </w:tc>
        <w:tc>
          <w:tcPr>
            <w:tcW w:w="4648" w:type="dxa"/>
            <w:tcBorders/>
            <w:shd w:color="auto" w:fill="F2F5FA" w:val="clear"/>
          </w:tcPr>
          <w:p>
            <w:pPr>
              <w:pStyle w:val="Normal"/>
              <w:widowControl/>
              <w:spacing w:lineRule="auto" w:line="240" w:before="0" w:after="20"/>
              <w:jc w:val="left"/>
              <w:rPr>
                <w:rFonts w:cs=""/>
                <w:kern w:val="0"/>
                <w:szCs w:val="22"/>
                <w:lang w:val="en-US" w:eastAsia="en-US" w:bidi="ar-SA"/>
              </w:rPr>
            </w:pPr>
            <w:r>
              <w:rPr>
                <w:rFonts w:cs=""/>
                <w:b w:val="false"/>
                <w:kern w:val="0"/>
                <w:sz w:val="17"/>
                <w:szCs w:val="22"/>
                <w:lang w:val="en-US" w:eastAsia="en-US" w:bidi="ar-SA"/>
              </w:rPr>
              <w:t>Dashboard provisionado de 12 paneles</w:t>
            </w:r>
          </w:p>
        </w:tc>
      </w:tr>
    </w:tbl>
    <w:p>
      <w:pPr>
        <w:pStyle w:val="Normal"/>
        <w:spacing w:before="0" w:after="40"/>
        <w:rPr/>
      </w:pPr>
      <w:r>
        <w:rPr/>
      </w:r>
    </w:p>
    <w:p>
      <w:pPr>
        <w:pStyle w:val="Normal"/>
        <w:rPr/>
      </w:pPr>
      <w:r>
        <w:rPr>
          <w:b/>
        </w:rPr>
        <w:t>Repositorio: https://github.com/ThiagoIcochea/LaboratorioSemana10</w:t>
      </w:r>
    </w:p>
    <w:p>
      <w:pPr>
        <w:pStyle w:val="Heading2"/>
        <w:rPr/>
      </w:pPr>
      <w:bookmarkStart w:id="37" w:name="__RefHeading___Toc4032_4040047475"/>
      <w:bookmarkEnd w:id="37"/>
      <w:r>
        <w:rPr/>
        <w:t>Anexo E. Evidencias complementarias</w:t>
      </w:r>
    </w:p>
    <w:p>
      <w:pPr>
        <w:pStyle w:val="Normal"/>
        <w:keepNext w:val="true"/>
        <w:spacing w:before="0" w:after="40"/>
        <w:jc w:val="center"/>
        <w:rPr/>
      </w:pPr>
      <w:r>
        <w:rPr/>
        <w:drawing>
          <wp:inline distT="0" distB="0" distL="0" distR="0">
            <wp:extent cx="4679950" cy="5014595"/>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18"/>
                    <a:stretch>
                      <a:fillRect/>
                    </a:stretch>
                  </pic:blipFill>
                  <pic:spPr bwMode="auto">
                    <a:xfrm>
                      <a:off x="0" y="0"/>
                      <a:ext cx="4679950" cy="5014595"/>
                    </a:xfrm>
                    <a:prstGeom prst="rect">
                      <a:avLst/>
                    </a:prstGeom>
                  </pic:spPr>
                </pic:pic>
              </a:graphicData>
            </a:graphic>
          </wp:inline>
        </w:drawing>
      </w:r>
    </w:p>
    <w:p>
      <w:pPr>
        <w:pStyle w:val="Normal"/>
        <w:keepNext w:val="true"/>
        <w:spacing w:before="0" w:after="20"/>
        <w:jc w:val="center"/>
        <w:rPr/>
      </w:pPr>
      <w:r>
        <w:rPr>
          <w:b/>
          <w:sz w:val="19"/>
        </w:rPr>
        <w:t xml:space="preserve">Figura 17. </w:t>
      </w:r>
      <w:r>
        <w:rPr>
          <w:b w:val="false"/>
          <w:i/>
          <w:sz w:val="19"/>
        </w:rPr>
        <w:t>Reglas cargadas en Prometheus (estado al finalizar)</w:t>
      </w:r>
    </w:p>
    <w:p>
      <w:pPr>
        <w:pStyle w:val="Normal"/>
        <w:keepNext w:val="true"/>
        <w:spacing w:before="0" w:after="60"/>
        <w:jc w:val="center"/>
        <w:rPr/>
      </w:pPr>
      <w:r>
        <w:rPr>
          <w:b w:val="false"/>
          <w:i/>
          <w:color w:val="555555"/>
          <w:sz w:val="17"/>
        </w:rPr>
        <w:t>Fuente: captura auténtica de la interfaz web de Prometheus 3.5.0 del laboratorio (eje temporal en UTC; hora de Lima = UTC − 5 h).</w:t>
      </w:r>
    </w:p>
    <w:p>
      <w:pPr>
        <w:pStyle w:val="Normal"/>
        <w:spacing w:before="0" w:after="200"/>
        <w:jc w:val="both"/>
        <w:rPr/>
      </w:pPr>
      <w:r>
        <w:rPr>
          <w:b w:val="false"/>
          <w:sz w:val="20"/>
        </w:rPr>
        <w:t>Interpretación: las 4 reglas de registro y las 6 de alerta están cargadas y en estado OK, lo que confirma que la configuración se evaluó en el entorno.</w:t>
      </w:r>
    </w:p>
    <w:p>
      <w:pPr>
        <w:pStyle w:val="Normal"/>
        <w:keepNext w:val="true"/>
        <w:spacing w:before="0" w:after="40"/>
        <w:jc w:val="center"/>
        <w:rPr/>
      </w:pPr>
      <w:r>
        <w:rPr/>
        <w:drawing>
          <wp:inline distT="0" distB="0" distL="0" distR="0">
            <wp:extent cx="5039995" cy="2952115"/>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pic:cNvPicPr>
                      <a:picLocks noChangeAspect="1" noChangeArrowheads="1"/>
                    </pic:cNvPicPr>
                  </pic:nvPicPr>
                  <pic:blipFill>
                    <a:blip r:embed="rId19"/>
                    <a:stretch>
                      <a:fillRect/>
                    </a:stretch>
                  </pic:blipFill>
                  <pic:spPr bwMode="auto">
                    <a:xfrm>
                      <a:off x="0" y="0"/>
                      <a:ext cx="5039995" cy="2952115"/>
                    </a:xfrm>
                    <a:prstGeom prst="rect">
                      <a:avLst/>
                    </a:prstGeom>
                  </pic:spPr>
                </pic:pic>
              </a:graphicData>
            </a:graphic>
          </wp:inline>
        </w:drawing>
      </w:r>
    </w:p>
    <w:p>
      <w:pPr>
        <w:pStyle w:val="Normal"/>
        <w:keepNext w:val="true"/>
        <w:spacing w:before="0" w:after="20"/>
        <w:jc w:val="center"/>
        <w:rPr/>
      </w:pPr>
      <w:r>
        <w:rPr>
          <w:b/>
          <w:sz w:val="19"/>
        </w:rPr>
        <w:t xml:space="preserve">Figura 18. </w:t>
      </w:r>
      <w:r>
        <w:rPr>
          <w:b w:val="false"/>
          <w:i/>
          <w:sz w:val="19"/>
        </w:rPr>
        <w:t>Latencia p95 restringida a la ventana del incidente</w:t>
      </w:r>
    </w:p>
    <w:p>
      <w:pPr>
        <w:pStyle w:val="Normal"/>
        <w:keepNext w:val="true"/>
        <w:spacing w:before="0" w:after="60"/>
        <w:jc w:val="center"/>
        <w:rPr/>
      </w:pPr>
      <w:r>
        <w:rPr>
          <w:b w:val="false"/>
          <w:i/>
          <w:color w:val="555555"/>
          <w:sz w:val="17"/>
        </w:rPr>
        <w:t>Fuente: captura auténtica de la interfaz web de Prometheus 3.5.0 del laboratorio (eje temporal en UTC; hora de Lima = UTC − 5 h).</w:t>
      </w:r>
    </w:p>
    <w:p>
      <w:pPr>
        <w:pStyle w:val="Normal"/>
        <w:spacing w:before="0" w:after="200"/>
        <w:jc w:val="both"/>
        <w:rPr/>
      </w:pPr>
      <w:r>
        <w:rPr>
          <w:b w:val="false"/>
          <w:sz w:val="20"/>
        </w:rPr>
        <w:t>Interpretación: durante los 5 minutos del fallo el p95 de 1 min se mantiene entre 2,1 y 2,3 s tras el primer minuto.</w:t>
      </w:r>
    </w:p>
    <w:p>
      <w:pPr>
        <w:pStyle w:val="Normal"/>
        <w:keepNext w:val="true"/>
        <w:spacing w:before="0" w:after="40"/>
        <w:jc w:val="center"/>
        <w:rPr/>
      </w:pPr>
      <w:r>
        <w:rPr/>
        <w:drawing>
          <wp:inline distT="0" distB="0" distL="0" distR="0">
            <wp:extent cx="5039995" cy="2952115"/>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
                    <pic:cNvPicPr>
                      <a:picLocks noChangeAspect="1" noChangeArrowheads="1"/>
                    </pic:cNvPicPr>
                  </pic:nvPicPr>
                  <pic:blipFill>
                    <a:blip r:embed="rId20"/>
                    <a:stretch>
                      <a:fillRect/>
                    </a:stretch>
                  </pic:blipFill>
                  <pic:spPr bwMode="auto">
                    <a:xfrm>
                      <a:off x="0" y="0"/>
                      <a:ext cx="5039995" cy="2952115"/>
                    </a:xfrm>
                    <a:prstGeom prst="rect">
                      <a:avLst/>
                    </a:prstGeom>
                  </pic:spPr>
                </pic:pic>
              </a:graphicData>
            </a:graphic>
          </wp:inline>
        </w:drawing>
      </w:r>
    </w:p>
    <w:p>
      <w:pPr>
        <w:pStyle w:val="Normal"/>
        <w:keepNext w:val="true"/>
        <w:spacing w:before="0" w:after="20"/>
        <w:jc w:val="center"/>
        <w:rPr/>
      </w:pPr>
      <w:r>
        <w:rPr>
          <w:b/>
          <w:sz w:val="19"/>
        </w:rPr>
        <w:t xml:space="preserve">Figura 19. </w:t>
      </w:r>
      <w:r>
        <w:rPr>
          <w:b w:val="false"/>
          <w:i/>
          <w:sz w:val="19"/>
        </w:rPr>
        <w:t>Latencia p95 restringida a la ventana de recuperación</w:t>
      </w:r>
    </w:p>
    <w:p>
      <w:pPr>
        <w:pStyle w:val="Normal"/>
        <w:keepNext w:val="true"/>
        <w:spacing w:before="0" w:after="60"/>
        <w:jc w:val="center"/>
        <w:rPr/>
      </w:pPr>
      <w:r>
        <w:rPr>
          <w:b w:val="false"/>
          <w:i/>
          <w:color w:val="555555"/>
          <w:sz w:val="17"/>
        </w:rPr>
        <w:t>Fuente: captura auténtica de la interfaz web de Prometheus 3.5.0 del laboratorio (eje temporal en UTC; hora de Lima = UTC − 5 h).</w:t>
      </w:r>
    </w:p>
    <w:p>
      <w:pPr>
        <w:pStyle w:val="Normal"/>
        <w:spacing w:before="0" w:after="200"/>
        <w:jc w:val="both"/>
        <w:rPr/>
      </w:pPr>
      <w:r>
        <w:rPr>
          <w:b w:val="false"/>
          <w:sz w:val="20"/>
        </w:rPr>
        <w:t>Interpretación: el primer minuto muestra la caída desde el valor del incidente y luego el retorno estable al rango de la línea base.</w:t>
      </w:r>
    </w:p>
    <w:sectPr>
      <w:footerReference w:type="even" r:id="rId21"/>
      <w:footerReference w:type="default" r:id="rId22"/>
      <w:footerReference w:type="first" r:id="rId23"/>
      <w:type w:val="nextPage"/>
      <w:pgSz w:w="11906" w:h="16838"/>
      <w:pgMar w:left="1304" w:right="1304" w:gutter="0" w:header="0" w:top="1247" w:footer="720" w:bottom="124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7"/>
      </w:rPr>
      <w:t xml:space="preserve">Laboratorio de Monitoreo Cloud – UTP   |   Página </w:t>
    </w:r>
    <w:r>
      <w:rPr/>
      <w:fldChar w:fldCharType="begin"/>
    </w:r>
    <w:r>
      <w:rPr/>
      <w:instrText xml:space="preserve"> PAGE </w:instrText>
    </w:r>
    <w:r>
      <w:rPr/>
      <w:fldChar w:fldCharType="separate"/>
    </w:r>
    <w:r>
      <w:rPr/>
      <w:t>28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left"/>
    </w:pPr>
    <w:rPr>
      <w:rFonts w:ascii="Calibri" w:hAnsi="Calibri" w:eastAsia="Calibri"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20"/>
      <w:outlineLvl w:val="0"/>
    </w:pPr>
    <w:rPr>
      <w:rFonts w:ascii="Calibri" w:hAnsi="Calibri" w:eastAsia="Calibri" w:cs="Calibri"/>
      <w:b/>
      <w:bCs/>
      <w:color w:val="1F3864"/>
      <w:sz w:val="30"/>
      <w:szCs w:val="28"/>
    </w:rPr>
  </w:style>
  <w:style w:type="paragraph" w:styleId="Heading2">
    <w:name w:val="Heading 2"/>
    <w:basedOn w:val="Normal"/>
    <w:next w:val="Normal"/>
    <w:link w:val="Heading2Char"/>
    <w:uiPriority w:val="9"/>
    <w:unhideWhenUsed/>
    <w:qFormat/>
    <w:rsid w:val="00fc693f"/>
    <w:pPr>
      <w:keepNext w:val="true"/>
      <w:keepLines/>
      <w:spacing w:before="200" w:after="120"/>
      <w:outlineLvl w:val="1"/>
    </w:pPr>
    <w:rPr>
      <w:rFonts w:ascii="Calibri" w:hAnsi="Calibri" w:eastAsia="Calibri" w:cs="Calibri"/>
      <w:b/>
      <w:bCs/>
      <w:color w:val="2E5597"/>
      <w:sz w:val="25"/>
      <w:szCs w:val="26"/>
    </w:rPr>
  </w:style>
  <w:style w:type="paragraph" w:styleId="Heading3">
    <w:name w:val="Heading 3"/>
    <w:basedOn w:val="Normal"/>
    <w:next w:val="Normal"/>
    <w:link w:val="Heading3Char"/>
    <w:uiPriority w:val="9"/>
    <w:unhideWhenUsed/>
    <w:qFormat/>
    <w:rsid w:val="00fc693f"/>
    <w:pPr>
      <w:keepNext w:val="true"/>
      <w:keepLines/>
      <w:spacing w:before="200" w:after="120"/>
      <w:outlineLvl w:val="2"/>
    </w:pPr>
    <w:rPr>
      <w:rFonts w:ascii="Calibri" w:hAnsi="Calibri" w:eastAsia="Calibri" w:cs="Calibri"/>
      <w:b/>
      <w:bCs/>
      <w:color w:val="2E5597"/>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298" w:leader="dot"/>
      </w:tabs>
      <w:ind w:hanging="0" w:left="0"/>
    </w:pPr>
    <w:rPr/>
  </w:style>
  <w:style w:type="paragraph" w:styleId="TOC2">
    <w:name w:val="TOC 2"/>
    <w:basedOn w:val="Index"/>
    <w:pPr>
      <w:tabs>
        <w:tab w:val="clear" w:pos="720"/>
        <w:tab w:val="right" w:pos="9015"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28</Pages>
  <Words>7204</Words>
  <Characters>41692</Characters>
  <CharactersWithSpaces>48969</CharactersWithSpaces>
  <Paragraphs>707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2026-10-16T19:10:43Z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