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oferece um menu interativo básico, com abas, para que o cliente explore os materiais livremente. FUNCIONAL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oferece um cadastro básico, login e senha, para que o cliente mantenha registrado suas compras e histórico de pesquisas em sua conta. FUNCIONAL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possui uma aba de mídias, exibindo as construções e projetos feitos com os materiais vendidos na loja, para credibilidade e inspiração dos clientes. FUNCIONAL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possui uma barra de pesquisa, para que o cliente encontre com objetividade o produto que deseja. FUNCIONAL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possui, em sua página inicial, anúncios e promoções em destaque, assim como itens de temporada e pacotes, para incentivar os clientes a adquirirem tais produtos e auxiliá-los na escolha. FUNCIONAL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oferece um plano de cupons, que ao incentivar um outro usuário a se cadastrar e comprar na loja, o cliente recebe um cupom promocional que pode ser utilizado na próxima compra. FUNCIONAL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abre a possibilidade de exploração dentro das marcas, exibindo um catálogo assim que o cliente pesquisa um produto, mostrando os produtos com melhor custo-benefício e pacotes que incluem aquele produto. FUNCIONAL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database SA;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SA;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id int NOT NULL auto_increment,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nome varchar(30)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nascimento date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cpf bigint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dadosdocartao bigint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id int NOT NULL auto_increment,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categoria varchar(30)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preco double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variacao varchar(30)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primary key(id)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nota_fiscal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 int NOT NULL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id_cliente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id_produto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nomedocomprador varchar(30)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data_compra date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valor_total double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produto_comprado varchar(30)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primary key(id),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key(id_cliente) references cliente(id),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key(id_produto) references produto(id)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