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Matheus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methaues@gmail.com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12.313.123/2131-23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12.312.313-2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12/12/2012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123132131312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131231131321</w:t>
      </w:r>
    </w:p>
    <w:p w:rsidR="000B0D84" w:rsidRDefault="000B0D84" w:rsidP="007308EE">
      <w:pPr>
        <w:pStyle w:val="NormalWeb"/>
        <w:rPr>
          <w:rFonts w:ascii="Segoe UI" w:hAnsi="Segoe UI" w:cs="Segoe UI"/>
          <w:color w:val="495057"/>
        </w:rPr>
      </w:pPr>
      <w:proofErr w:type="spellStart"/>
      <w:proofErr w:type="spellEnd"/>
      <w:r>
        <w:rPr>
          <w:rFonts w:ascii="Segoe UI" w:hAnsi="Segoe UI" w:cs="Segoe UI"/>
          <w:color w:val="495057"/>
        </w:rPr>
        <w:t>Joao Exteno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spellStart"/>
      <w:bookmarkStart w:id="0" w:name="_GoBack"/>
      <w:bookmarkEnd w:id="0"/>
      <w:proofErr w:type="spellEnd"/>
      <w:r>
        <w:rPr>
          <w:rFonts w:ascii="Segoe UI" w:hAnsi="Segoe UI" w:cs="Segoe UI"/>
          <w:color w:val="495057"/>
        </w:rPr>
        <w:t>joao@externo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proofErr w:type="spellStart"/>
      <w:proofErr w:type="spellEnd"/>
      <w:r>
        <w:rPr>
          <w:b/>
        </w:rPr>
        <w:t>Matheus</w:t>
      </w:r>
      <w:r w:rsidR="00277FB6">
        <w:t xml:space="preserve">, brasileiro, casado, PROGRAMADOR, inscrito no CPF sob nº </w:t>
      </w:r>
      <w:r>
        <w:t>12.313.123/2131-23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FD8" w:rsidRDefault="00D64FD8">
      <w:pPr>
        <w:spacing w:after="0" w:line="240" w:lineRule="auto"/>
      </w:pPr>
      <w:r>
        <w:separator/>
      </w:r>
    </w:p>
  </w:endnote>
  <w:endnote w:type="continuationSeparator" w:id="0">
    <w:p w:rsidR="00D64FD8" w:rsidRDefault="00D6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FD8" w:rsidRDefault="00D64FD8">
      <w:pPr>
        <w:spacing w:after="0" w:line="240" w:lineRule="auto"/>
      </w:pPr>
      <w:r>
        <w:separator/>
      </w:r>
    </w:p>
  </w:footnote>
  <w:footnote w:type="continuationSeparator" w:id="0">
    <w:p w:rsidR="00D64FD8" w:rsidRDefault="00D64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pPr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30CC6"/>
    <w:rsid w:val="00646623"/>
    <w:rsid w:val="00682A6A"/>
    <w:rsid w:val="007308EE"/>
    <w:rsid w:val="007D09F3"/>
    <w:rsid w:val="009429DF"/>
    <w:rsid w:val="00A374C1"/>
    <w:rsid w:val="00A5794A"/>
    <w:rsid w:val="00AB7F0C"/>
    <w:rsid w:val="00B25D41"/>
    <w:rsid w:val="00B9462D"/>
    <w:rsid w:val="00D64FD8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2FFE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1197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16</cp:revision>
  <dcterms:created xsi:type="dcterms:W3CDTF">2023-09-09T19:57:00Z</dcterms:created>
  <dcterms:modified xsi:type="dcterms:W3CDTF">2023-10-30T18:41:00Z</dcterms:modified>
</cp:coreProperties>
</file>