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ADR-004 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ESTRAT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GIA FISCAL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Projeto:</w:t>
      </w:r>
      <w:r>
        <w:rPr>
          <w:rFonts w:ascii="Times New Roman" w:hAnsi="Times New Roman"/>
          <w:sz w:val="40"/>
          <w:szCs w:val="40"/>
          <w:rtl w:val="0"/>
          <w:lang w:val="nl-NL"/>
        </w:rPr>
        <w:t xml:space="preserve"> SaaS Industrial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Vers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o:</w:t>
      </w:r>
      <w:r>
        <w:rPr>
          <w:rFonts w:ascii="Times New Roman" w:hAnsi="Times New Roman"/>
          <w:sz w:val="40"/>
          <w:szCs w:val="40"/>
          <w:rtl w:val="0"/>
        </w:rPr>
        <w:t xml:space="preserve"> 1.0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Status:</w:t>
      </w:r>
      <w:r>
        <w:rPr>
          <w:rFonts w:ascii="Times New Roman" w:hAnsi="Times New Roman"/>
          <w:sz w:val="40"/>
          <w:szCs w:val="40"/>
          <w:rtl w:val="0"/>
          <w:lang w:val="it-IT"/>
        </w:rPr>
        <w:t xml:space="preserve"> APROVADO E FECHADO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Natureza:</w:t>
      </w:r>
      <w:r>
        <w:rPr>
          <w:rFonts w:ascii="Times New Roman" w:hAnsi="Times New Roman"/>
          <w:sz w:val="40"/>
          <w:szCs w:val="40"/>
          <w:rtl w:val="0"/>
          <w:lang w:val="it-IT"/>
        </w:rPr>
        <w:t xml:space="preserve">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Arquitetural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Prioridade: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 Obrigat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ria para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1. OBJETIVO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Definir a estrat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gia arquitetural, funcional e operacional para tratamento das quest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fiscais no SaaS Industrial.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estrat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gia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que o sistema: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suporte os processos fiscais essenciais;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seja parametriz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acompanhe a 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das regras;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mantenha rastreabilidade;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preserve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ricos;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integre-se a ambientes e provedores fiscais;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mantenha separa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entre responsabilidades fiscais, operacionais e financeiras;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seja seguro e multi-tenant;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permita 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sem depend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ncia estrutural de um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nico fornecedor.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2. PRINC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Í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>PIO ARQUITETURAL CENTRAL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Fiscal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tratado como uma camada/dom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nio especializado, integrado aos demais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dulos, mas sem assumir suas responsabilidades.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A separa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conceitual ser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empresarial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>↓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da-DK"/>
        </w:rPr>
        <w:t>Determina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o/Tratamento Fiscal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>↓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pt-PT"/>
        </w:rPr>
        <w:t>Documento Fiscal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>↓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it-IT"/>
        </w:rPr>
        <w:t>Comunica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Fiscal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>↓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pt-PT"/>
        </w:rPr>
        <w:t>Registro, Eventos e Rastreabilidade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operacionais fornecem o contexto da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dom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nio fiscal processa e registra os aspectos fiscais.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>3. RESPONSABILIDADE POR DOM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Í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NIO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199"/>
        <w:gridCol w:w="7439"/>
      </w:tblGrid>
      <w:tr>
        <w:tblPrEx>
          <w:shd w:val="clear" w:color="auto" w:fill="auto"/>
        </w:tblPrEx>
        <w:trPr>
          <w:trHeight w:val="450" w:hRule="atLeast"/>
        </w:trPr>
        <w:tc>
          <w:tcPr>
            <w:tcW w:type="dxa" w:w="21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Estilo de Tabela 2"/>
              <w:suppressAutoHyphens w:val="1"/>
              <w:spacing w:after="240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rtl w:val="0"/>
              </w:rPr>
              <w:t>Dom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rtl w:val="0"/>
              </w:rPr>
              <w:t>í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rtl w:val="0"/>
              </w:rPr>
              <w:t>nio</w:t>
            </w:r>
          </w:p>
        </w:tc>
        <w:tc>
          <w:tcPr>
            <w:tcW w:type="dxa" w:w="74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Estilo de Tabela 2"/>
              <w:suppressAutoHyphens w:val="1"/>
              <w:spacing w:after="240"/>
              <w:jc w:val="center"/>
            </w:pPr>
            <w:r>
              <w:rPr>
                <w:rFonts w:ascii="Times New Roman" w:hAnsi="Times New Roman"/>
                <w:b w:val="1"/>
                <w:bCs w:val="1"/>
                <w:sz w:val="40"/>
                <w:szCs w:val="40"/>
                <w:rtl w:val="0"/>
              </w:rPr>
              <w:t>Responsabilidade</w:t>
            </w:r>
          </w:p>
        </w:tc>
      </w:tr>
      <w:tr>
        <w:tblPrEx>
          <w:shd w:val="clear" w:color="auto" w:fill="auto"/>
        </w:tblPrEx>
        <w:trPr>
          <w:trHeight w:val="450" w:hRule="atLeast"/>
        </w:trPr>
        <w:tc>
          <w:tcPr>
            <w:tcW w:type="dxa" w:w="21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Estilo de Tabela 2"/>
              <w:suppressAutoHyphens w:val="1"/>
              <w:spacing w:after="240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Comercial</w:t>
            </w:r>
          </w:p>
        </w:tc>
        <w:tc>
          <w:tcPr>
            <w:tcW w:type="dxa" w:w="74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Estilo de Tabela 2"/>
              <w:suppressAutoHyphens w:val="1"/>
              <w:spacing w:after="240"/>
              <w:jc w:val="left"/>
            </w:pPr>
            <w:r>
              <w:rPr>
                <w:rFonts w:ascii="Times New Roman" w:hAnsi="Times New Roman"/>
                <w:sz w:val="40"/>
                <w:szCs w:val="40"/>
                <w:rtl w:val="0"/>
              </w:rPr>
              <w:t>Opera</w:t>
            </w:r>
            <w:r>
              <w:rPr>
                <w:rFonts w:ascii="Times New Roman" w:hAnsi="Times New Roman" w:hint="default"/>
                <w:sz w:val="40"/>
                <w:szCs w:val="40"/>
                <w:rtl w:val="0"/>
              </w:rPr>
              <w:t>çã</w:t>
            </w:r>
            <w:r>
              <w:rPr>
                <w:rFonts w:ascii="Times New Roman" w:hAnsi="Times New Roman"/>
                <w:sz w:val="40"/>
                <w:szCs w:val="40"/>
                <w:rtl w:val="0"/>
              </w:rPr>
              <w:t>o comercial</w:t>
            </w:r>
          </w:p>
        </w:tc>
      </w:tr>
      <w:tr>
        <w:tblPrEx>
          <w:shd w:val="clear" w:color="auto" w:fill="auto"/>
        </w:tblPrEx>
        <w:trPr>
          <w:trHeight w:val="450" w:hRule="atLeast"/>
        </w:trPr>
        <w:tc>
          <w:tcPr>
            <w:tcW w:type="dxa" w:w="21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Estilo de Tabela 2"/>
              <w:suppressAutoHyphens w:val="1"/>
              <w:spacing w:after="240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Pedidos</w:t>
            </w:r>
          </w:p>
        </w:tc>
        <w:tc>
          <w:tcPr>
            <w:tcW w:type="dxa" w:w="74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Estilo de Tabela 2"/>
              <w:suppressAutoHyphens w:val="1"/>
              <w:spacing w:after="240"/>
              <w:jc w:val="left"/>
            </w:pPr>
            <w:r>
              <w:rPr>
                <w:rFonts w:ascii="Times New Roman" w:hAnsi="Times New Roman"/>
                <w:sz w:val="40"/>
                <w:szCs w:val="40"/>
                <w:rtl w:val="0"/>
              </w:rPr>
              <w:t>Pedido e seus estados</w:t>
            </w:r>
          </w:p>
        </w:tc>
      </w:tr>
      <w:tr>
        <w:tblPrEx>
          <w:shd w:val="clear" w:color="auto" w:fill="auto"/>
        </w:tblPrEx>
        <w:trPr>
          <w:trHeight w:val="450" w:hRule="atLeast"/>
        </w:trPr>
        <w:tc>
          <w:tcPr>
            <w:tcW w:type="dxa" w:w="21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Estilo de Tabela 2"/>
              <w:suppressAutoHyphens w:val="1"/>
              <w:spacing w:after="240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Suprimentos</w:t>
            </w:r>
          </w:p>
        </w:tc>
        <w:tc>
          <w:tcPr>
            <w:tcW w:type="dxa" w:w="74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Estilo de Tabela 2"/>
              <w:suppressAutoHyphens w:val="1"/>
              <w:spacing w:after="240"/>
              <w:jc w:val="left"/>
            </w:pPr>
            <w:r>
              <w:rPr>
                <w:rFonts w:ascii="Times New Roman" w:hAnsi="Times New Roman"/>
                <w:sz w:val="40"/>
                <w:szCs w:val="40"/>
                <w:rtl w:val="0"/>
              </w:rPr>
              <w:t>Compra e processo de recebimento</w:t>
            </w:r>
          </w:p>
        </w:tc>
      </w:tr>
      <w:tr>
        <w:tblPrEx>
          <w:shd w:val="clear" w:color="auto" w:fill="auto"/>
        </w:tblPrEx>
        <w:trPr>
          <w:trHeight w:val="4294966976" w:hRule="atLeast"/>
        </w:trPr>
        <w:tc>
          <w:tcPr>
            <w:tcW w:type="dxa" w:w="21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Estilo de Tabela 2"/>
              <w:suppressAutoHyphens w:val="1"/>
              <w:spacing w:after="240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Estoque</w:t>
            </w:r>
          </w:p>
        </w:tc>
        <w:tc>
          <w:tcPr>
            <w:tcW w:type="dxa" w:w="74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Estilo de Tabela 2"/>
              <w:suppressAutoHyphens w:val="1"/>
              <w:spacing w:after="240"/>
              <w:jc w:val="left"/>
            </w:pPr>
            <w:r>
              <w:rPr>
                <w:rFonts w:ascii="Times New Roman" w:hAnsi="Times New Roman"/>
                <w:sz w:val="40"/>
                <w:szCs w:val="40"/>
                <w:rtl w:val="0"/>
              </w:rPr>
              <w:t>Efeitos f</w:t>
            </w:r>
            <w:r>
              <w:rPr>
                <w:rFonts w:ascii="Times New Roman" w:hAnsi="Times New Roman" w:hint="default"/>
                <w:sz w:val="40"/>
                <w:szCs w:val="40"/>
                <w:rtl w:val="0"/>
              </w:rPr>
              <w:t>í</w:t>
            </w:r>
            <w:r>
              <w:rPr>
                <w:rFonts w:ascii="Times New Roman" w:hAnsi="Times New Roman"/>
                <w:sz w:val="40"/>
                <w:szCs w:val="40"/>
                <w:rtl w:val="0"/>
              </w:rPr>
              <w:t>sicos sobre materiais/produtos</w:t>
            </w:r>
          </w:p>
        </w:tc>
      </w:tr>
      <w:tr>
        <w:tblPrEx>
          <w:shd w:val="clear" w:color="auto" w:fill="auto"/>
        </w:tblPrEx>
        <w:trPr>
          <w:trHeight w:val="4294966976" w:hRule="atLeast"/>
        </w:trPr>
        <w:tc>
          <w:tcPr>
            <w:tcW w:type="dxa" w:w="21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Estilo de Tabela 2"/>
              <w:suppressAutoHyphens w:val="1"/>
              <w:spacing w:after="240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Produ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çã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o</w:t>
            </w:r>
          </w:p>
        </w:tc>
        <w:tc>
          <w:tcPr>
            <w:tcW w:type="dxa" w:w="74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Estilo de Tabela 2"/>
              <w:suppressAutoHyphens w:val="1"/>
              <w:spacing w:after="240"/>
              <w:jc w:val="left"/>
            </w:pPr>
            <w:r>
              <w:rPr>
                <w:rFonts w:ascii="Times New Roman" w:hAnsi="Times New Roman"/>
                <w:sz w:val="40"/>
                <w:szCs w:val="40"/>
                <w:rtl w:val="0"/>
              </w:rPr>
              <w:t>Execu</w:t>
            </w:r>
            <w:r>
              <w:rPr>
                <w:rFonts w:ascii="Times New Roman" w:hAnsi="Times New Roman" w:hint="default"/>
                <w:sz w:val="40"/>
                <w:szCs w:val="40"/>
                <w:rtl w:val="0"/>
              </w:rPr>
              <w:t>çã</w:t>
            </w:r>
            <w:r>
              <w:rPr>
                <w:rFonts w:ascii="Times New Roman" w:hAnsi="Times New Roman"/>
                <w:sz w:val="40"/>
                <w:szCs w:val="40"/>
                <w:rtl w:val="0"/>
              </w:rPr>
              <w:t>o produtiva</w:t>
            </w:r>
          </w:p>
        </w:tc>
      </w:tr>
      <w:tr>
        <w:tblPrEx>
          <w:shd w:val="clear" w:color="auto" w:fill="auto"/>
        </w:tblPrEx>
        <w:trPr>
          <w:trHeight w:val="4294966976" w:hRule="atLeast"/>
        </w:trPr>
        <w:tc>
          <w:tcPr>
            <w:tcW w:type="dxa" w:w="21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Estilo de Tabela 2"/>
              <w:suppressAutoHyphens w:val="1"/>
              <w:spacing w:after="240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Qualidade</w:t>
            </w:r>
          </w:p>
        </w:tc>
        <w:tc>
          <w:tcPr>
            <w:tcW w:type="dxa" w:w="74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Estilo de Tabela 2"/>
              <w:suppressAutoHyphens w:val="1"/>
              <w:spacing w:after="240"/>
              <w:jc w:val="left"/>
            </w:pPr>
            <w:r>
              <w:rPr>
                <w:rFonts w:ascii="Times New Roman" w:hAnsi="Times New Roman"/>
                <w:sz w:val="40"/>
                <w:szCs w:val="40"/>
                <w:rtl w:val="0"/>
              </w:rPr>
              <w:t>Inspe</w:t>
            </w:r>
            <w:r>
              <w:rPr>
                <w:rFonts w:ascii="Times New Roman" w:hAnsi="Times New Roman" w:hint="default"/>
                <w:sz w:val="40"/>
                <w:szCs w:val="40"/>
                <w:rtl w:val="0"/>
              </w:rPr>
              <w:t>çã</w:t>
            </w:r>
            <w:r>
              <w:rPr>
                <w:rFonts w:ascii="Times New Roman" w:hAnsi="Times New Roman"/>
                <w:sz w:val="40"/>
                <w:szCs w:val="40"/>
                <w:rtl w:val="0"/>
              </w:rPr>
              <w:t>o e conformidade</w:t>
            </w:r>
          </w:p>
        </w:tc>
      </w:tr>
      <w:tr>
        <w:tblPrEx>
          <w:shd w:val="clear" w:color="auto" w:fill="auto"/>
        </w:tblPrEx>
        <w:trPr>
          <w:trHeight w:val="4294966976" w:hRule="atLeast"/>
        </w:trPr>
        <w:tc>
          <w:tcPr>
            <w:tcW w:type="dxa" w:w="21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Estilo de Tabela 2"/>
              <w:suppressAutoHyphens w:val="1"/>
              <w:spacing w:after="240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Expedi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çã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o</w:t>
            </w:r>
          </w:p>
        </w:tc>
        <w:tc>
          <w:tcPr>
            <w:tcW w:type="dxa" w:w="74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Estilo de Tabela 2"/>
              <w:suppressAutoHyphens w:val="1"/>
              <w:spacing w:after="240"/>
              <w:jc w:val="left"/>
            </w:pPr>
            <w:r>
              <w:rPr>
                <w:rFonts w:ascii="Times New Roman" w:hAnsi="Times New Roman"/>
                <w:sz w:val="40"/>
                <w:szCs w:val="40"/>
                <w:rtl w:val="0"/>
              </w:rPr>
              <w:t>Separa</w:t>
            </w:r>
            <w:r>
              <w:rPr>
                <w:rFonts w:ascii="Times New Roman" w:hAnsi="Times New Roman" w:hint="default"/>
                <w:sz w:val="40"/>
                <w:szCs w:val="40"/>
                <w:rtl w:val="0"/>
              </w:rPr>
              <w:t>çã</w:t>
            </w:r>
            <w:r>
              <w:rPr>
                <w:rFonts w:ascii="Times New Roman" w:hAnsi="Times New Roman"/>
                <w:sz w:val="40"/>
                <w:szCs w:val="40"/>
                <w:rtl w:val="0"/>
              </w:rPr>
              <w:t>o, confer</w:t>
            </w:r>
            <w:r>
              <w:rPr>
                <w:rFonts w:ascii="Times New Roman" w:hAnsi="Times New Roman" w:hint="default"/>
                <w:sz w:val="40"/>
                <w:szCs w:val="40"/>
                <w:rtl w:val="0"/>
              </w:rPr>
              <w:t>ê</w:t>
            </w:r>
            <w:r>
              <w:rPr>
                <w:rFonts w:ascii="Times New Roman" w:hAnsi="Times New Roman"/>
                <w:sz w:val="40"/>
                <w:szCs w:val="40"/>
                <w:rtl w:val="0"/>
              </w:rPr>
              <w:t>ncia e expedi</w:t>
            </w:r>
            <w:r>
              <w:rPr>
                <w:rFonts w:ascii="Times New Roman" w:hAnsi="Times New Roman" w:hint="default"/>
                <w:sz w:val="40"/>
                <w:szCs w:val="40"/>
                <w:rtl w:val="0"/>
              </w:rPr>
              <w:t>çã</w:t>
            </w:r>
            <w:r>
              <w:rPr>
                <w:rFonts w:ascii="Times New Roman" w:hAnsi="Times New Roman"/>
                <w:sz w:val="40"/>
                <w:szCs w:val="40"/>
                <w:rtl w:val="0"/>
              </w:rPr>
              <w:t>o</w:t>
            </w:r>
          </w:p>
        </w:tc>
      </w:tr>
      <w:tr>
        <w:tblPrEx>
          <w:shd w:val="clear" w:color="auto" w:fill="auto"/>
        </w:tblPrEx>
        <w:trPr>
          <w:trHeight w:val="4294966976" w:hRule="atLeast"/>
        </w:trPr>
        <w:tc>
          <w:tcPr>
            <w:tcW w:type="dxa" w:w="21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Estilo de Tabela 2"/>
              <w:suppressAutoHyphens w:val="1"/>
              <w:spacing w:after="240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Obra/Instala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çã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o</w:t>
            </w:r>
          </w:p>
        </w:tc>
        <w:tc>
          <w:tcPr>
            <w:tcW w:type="dxa" w:w="74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Estilo de Tabela 2"/>
              <w:suppressAutoHyphens w:val="1"/>
              <w:spacing w:after="240"/>
              <w:jc w:val="left"/>
            </w:pPr>
            <w:r>
              <w:rPr>
                <w:rFonts w:ascii="Times New Roman" w:hAnsi="Times New Roman"/>
                <w:sz w:val="40"/>
                <w:szCs w:val="40"/>
                <w:rtl w:val="0"/>
              </w:rPr>
              <w:t>Execu</w:t>
            </w:r>
            <w:r>
              <w:rPr>
                <w:rFonts w:ascii="Times New Roman" w:hAnsi="Times New Roman" w:hint="default"/>
                <w:sz w:val="40"/>
                <w:szCs w:val="40"/>
                <w:rtl w:val="0"/>
              </w:rPr>
              <w:t>çã</w:t>
            </w:r>
            <w:r>
              <w:rPr>
                <w:rFonts w:ascii="Times New Roman" w:hAnsi="Times New Roman"/>
                <w:sz w:val="40"/>
                <w:szCs w:val="40"/>
                <w:rtl w:val="0"/>
              </w:rPr>
              <w:t>o no local</w:t>
            </w:r>
          </w:p>
        </w:tc>
      </w:tr>
      <w:tr>
        <w:tblPrEx>
          <w:shd w:val="clear" w:color="auto" w:fill="auto"/>
        </w:tblPrEx>
        <w:trPr>
          <w:trHeight w:val="4294966976" w:hRule="atLeast"/>
        </w:trPr>
        <w:tc>
          <w:tcPr>
            <w:tcW w:type="dxa" w:w="21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Estilo de Tabela 2"/>
              <w:suppressAutoHyphens w:val="1"/>
              <w:spacing w:after="240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Financeiro</w:t>
            </w:r>
          </w:p>
        </w:tc>
        <w:tc>
          <w:tcPr>
            <w:tcW w:type="dxa" w:w="74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Estilo de Tabela 2"/>
              <w:suppressAutoHyphens w:val="1"/>
              <w:spacing w:after="240"/>
              <w:jc w:val="left"/>
            </w:pPr>
            <w:r>
              <w:rPr>
                <w:rFonts w:ascii="Times New Roman" w:hAnsi="Times New Roman"/>
                <w:sz w:val="40"/>
                <w:szCs w:val="40"/>
                <w:rtl w:val="0"/>
              </w:rPr>
              <w:t>Efeitos financeiros</w:t>
            </w:r>
          </w:p>
        </w:tc>
      </w:tr>
      <w:tr>
        <w:tblPrEx>
          <w:shd w:val="clear" w:color="auto" w:fill="auto"/>
        </w:tblPrEx>
        <w:trPr>
          <w:trHeight w:val="4294966976" w:hRule="atLeast"/>
        </w:trPr>
        <w:tc>
          <w:tcPr>
            <w:tcW w:type="dxa" w:w="21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Estilo de Tabela 2"/>
              <w:suppressAutoHyphens w:val="1"/>
              <w:spacing w:after="240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Fiscal</w:t>
            </w:r>
          </w:p>
        </w:tc>
        <w:tc>
          <w:tcPr>
            <w:tcW w:type="dxa" w:w="74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Estilo de Tabela 2"/>
              <w:suppressAutoHyphens w:val="1"/>
              <w:spacing w:after="240"/>
              <w:jc w:val="left"/>
            </w:pPr>
            <w:r>
              <w:rPr>
                <w:rFonts w:ascii="Times New Roman" w:hAnsi="Times New Roman"/>
                <w:sz w:val="40"/>
                <w:szCs w:val="40"/>
                <w:rtl w:val="0"/>
              </w:rPr>
              <w:t>Documentos, eventos e aspectos fiscais</w:t>
            </w:r>
          </w:p>
        </w:tc>
      </w:tr>
      <w:tr>
        <w:tblPrEx>
          <w:shd w:val="clear" w:color="auto" w:fill="auto"/>
        </w:tblPrEx>
        <w:trPr>
          <w:trHeight w:val="4294966976" w:hRule="atLeast"/>
        </w:trPr>
        <w:tc>
          <w:tcPr>
            <w:tcW w:type="dxa" w:w="21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Estilo de Tabela 2"/>
              <w:suppressAutoHyphens w:val="1"/>
              <w:spacing w:after="240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Integra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çõ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es</w:t>
            </w:r>
          </w:p>
        </w:tc>
        <w:tc>
          <w:tcPr>
            <w:tcW w:type="dxa" w:w="74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Estilo de Tabela 2"/>
              <w:suppressAutoHyphens w:val="1"/>
              <w:spacing w:after="240"/>
              <w:jc w:val="left"/>
            </w:pPr>
            <w:r>
              <w:rPr>
                <w:rFonts w:ascii="Times New Roman" w:hAnsi="Times New Roman"/>
                <w:sz w:val="40"/>
                <w:szCs w:val="40"/>
                <w:rtl w:val="0"/>
              </w:rPr>
              <w:t>Comunica</w:t>
            </w:r>
            <w:r>
              <w:rPr>
                <w:rFonts w:ascii="Times New Roman" w:hAnsi="Times New Roman" w:hint="default"/>
                <w:sz w:val="40"/>
                <w:szCs w:val="40"/>
                <w:rtl w:val="0"/>
              </w:rPr>
              <w:t>çã</w:t>
            </w:r>
            <w:r>
              <w:rPr>
                <w:rFonts w:ascii="Times New Roman" w:hAnsi="Times New Roman"/>
                <w:sz w:val="40"/>
                <w:szCs w:val="40"/>
                <w:rtl w:val="0"/>
              </w:rPr>
              <w:t>o/orquestra</w:t>
            </w:r>
            <w:r>
              <w:rPr>
                <w:rFonts w:ascii="Times New Roman" w:hAnsi="Times New Roman" w:hint="default"/>
                <w:sz w:val="40"/>
                <w:szCs w:val="40"/>
                <w:rtl w:val="0"/>
              </w:rPr>
              <w:t>çã</w:t>
            </w:r>
            <w:r>
              <w:rPr>
                <w:rFonts w:ascii="Times New Roman" w:hAnsi="Times New Roman"/>
                <w:sz w:val="40"/>
                <w:szCs w:val="40"/>
                <w:rtl w:val="0"/>
              </w:rPr>
              <w:t>o externa</w:t>
            </w:r>
          </w:p>
        </w:tc>
      </w:tr>
    </w:tbl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Fiscal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duplicar ou substituir a fonte de verdade de outros dom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nios.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4. DOCUMENTOS FISCAIS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MVP ter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como principal documento eletr</w:t>
      </w:r>
      <w:r>
        <w:rPr>
          <w:rFonts w:ascii="Times New Roman" w:hAnsi="Times New Roman" w:hint="default"/>
          <w:sz w:val="40"/>
          <w:szCs w:val="40"/>
          <w:rtl w:val="0"/>
        </w:rPr>
        <w:t>ô</w:t>
      </w:r>
      <w:r>
        <w:rPr>
          <w:rFonts w:ascii="Times New Roman" w:hAnsi="Times New Roman"/>
          <w:sz w:val="40"/>
          <w:szCs w:val="40"/>
          <w:rtl w:val="0"/>
          <w:lang w:val="pt-PT"/>
        </w:rPr>
        <w:t>nico fiscal a NF-e, dentro do escopo definido.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arquitetura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estar preparada para suportar futuramente outros documentos e modelos fiscais.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contemplados, conforme aplicabilidade: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recep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consulta;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rejei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cancelamento;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eventos;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manifesta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conting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consulta de status;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reprocessamento.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es-ES_tradnl"/>
        </w:rPr>
        <w:t xml:space="preserve">5. DOCUMENTO FISCAL 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 xml:space="preserve">≠ 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PROCESSO OPERACIONAL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Fica estabelecida como regra arquitetural: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 fiscal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</w:rPr>
        <w:t>sin</w:t>
      </w:r>
      <w:r>
        <w:rPr>
          <w:rFonts w:ascii="Times New Roman" w:hAnsi="Times New Roman" w:hint="default"/>
          <w:sz w:val="40"/>
          <w:szCs w:val="40"/>
          <w:rtl w:val="0"/>
        </w:rPr>
        <w:t>ô</w:t>
      </w:r>
      <w:r>
        <w:rPr>
          <w:rFonts w:ascii="Times New Roman" w:hAnsi="Times New Roman"/>
          <w:sz w:val="40"/>
          <w:szCs w:val="40"/>
          <w:rtl w:val="0"/>
          <w:lang w:val="pt-PT"/>
        </w:rPr>
        <w:t>nimo de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f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sica ou financeira.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NF de entrada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≠ </w:t>
      </w:r>
      <w:r>
        <w:rPr>
          <w:rFonts w:ascii="Times New Roman" w:hAnsi="Times New Roman"/>
          <w:sz w:val="40"/>
          <w:szCs w:val="40"/>
          <w:rtl w:val="0"/>
          <w:lang w:val="pt-PT"/>
        </w:rPr>
        <w:t>recebimento f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sico;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NF de entrada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≠ </w:t>
      </w:r>
      <w:r>
        <w:rPr>
          <w:rFonts w:ascii="Times New Roman" w:hAnsi="Times New Roman"/>
          <w:sz w:val="40"/>
          <w:szCs w:val="40"/>
          <w:rtl w:val="0"/>
          <w:lang w:val="pt-PT"/>
        </w:rPr>
        <w:t>entrada autom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tica no estoque;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NF de sa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 xml:space="preserve">da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≠ </w:t>
      </w:r>
      <w:r>
        <w:rPr>
          <w:rFonts w:ascii="Times New Roman" w:hAnsi="Times New Roman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NF de sa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 xml:space="preserve">da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≠ </w:t>
      </w:r>
      <w:r>
        <w:rPr>
          <w:rFonts w:ascii="Times New Roman" w:hAnsi="Times New Roman"/>
          <w:sz w:val="40"/>
          <w:szCs w:val="40"/>
          <w:rtl w:val="0"/>
          <w:lang w:val="fr-FR"/>
        </w:rPr>
        <w:t>entrega;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 xml:space="preserve">entrega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≠ </w:t>
      </w:r>
      <w:r>
        <w:rPr>
          <w:rFonts w:ascii="Times New Roman" w:hAnsi="Times New Roman"/>
          <w:sz w:val="40"/>
          <w:szCs w:val="40"/>
          <w:rtl w:val="0"/>
          <w:lang w:val="pt-PT"/>
        </w:rPr>
        <w:t>aceita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obra;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documento fiscal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≠ </w:t>
      </w:r>
      <w:r>
        <w:rPr>
          <w:rFonts w:ascii="Times New Roman" w:hAnsi="Times New Roman"/>
          <w:sz w:val="40"/>
          <w:szCs w:val="40"/>
          <w:rtl w:val="0"/>
        </w:rPr>
        <w:t>lan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amento financeiro autom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tico.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efeitos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processados pelos respectivos dom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nios.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6. RECEP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O AUTOM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Á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s-ES_tradnl"/>
        </w:rPr>
        <w:t>TICA DE DOCUMENTOS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estar preparado para receber automaticamente documentos fiscais, especialmente documentos de entrada.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Fluxo conceitual: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Ambiente fiscal/Provedor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</w:rPr>
        <w:t>Recep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autom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tica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nl-NL"/>
        </w:rPr>
        <w:t>SaaS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fr-FR"/>
        </w:rPr>
        <w:t>Confer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Processamento operacional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 recep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autom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tica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significa 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autom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tica.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operador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informado da exist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do documento e das 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eventualmente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>7. CONFER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Ê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NCIA E DIVERG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Ê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NCIAS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Documentos recebidos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poder ser relacionados 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fornecedor;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itens;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recebimento;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estoque;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financeiro.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identificadas diverg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como: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item;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fornecedor;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 inexistente;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material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cadastrado;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duplicidade;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recebimento parcial;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material pendente;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material rejeitado;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diverg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fiscal;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outras inconsist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Documentos divergentes ou pendentes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descartados.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>8. CONFIGURA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O FISCAL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fiscal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contextual e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considerar: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Tenant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Estabelecimento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</w:rPr>
        <w:t>Item/Material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it-IT"/>
        </w:rPr>
        <w:t>Origem/Destino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Contexto fiscal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Nem toda 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necessariamente existir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em todos os 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fiscais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envolver: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empresa/estabelecimento;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cliente;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fornecedor;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produto;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material;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origem/destino;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finalidade;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caracter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sticas fiscais;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valores;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demais fatores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>9. CONFIGURA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 xml:space="preserve">O 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 xml:space="preserve">≠ 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REGRA FISCAL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Fica estabelecida uma separa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clara entre: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cliente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Regra fiscal do sistema/legisla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parametriza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mas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tratar uma 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feita pelo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como prova de corre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jur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dica ou tribut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cliente, seu contador ou 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fiscal permanecem 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pela adequa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das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10. VERSIONAMENTO E VIG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Ê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NCIA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 regras fiscais relevantes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 suportar: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versionamento;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data de vig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auditoria;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futuras.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futuras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afetar novas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conforme sua vig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reescrever resultados fiscais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11. EMISS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Ã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O FISCAL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Fluxo conceitual: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autorizada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Prepara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fiscal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Solicita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emiss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Processamento externo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it-IT"/>
        </w:rPr>
        <w:t>Retorno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Atualiza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documento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Registro do evento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distinguir claramente: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processamento;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autorizado;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rejeitado;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erro de 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erro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cnico;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indisponibilidade;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conting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12. CANCELAMENTO, INUTILIZA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O E EVENTOS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Cancelamento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tratado como evento fiscal pr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prio.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documento original permanecer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preservado.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Tamb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m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possuir registros pr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prios,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Carta de Corre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manifesta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ci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confirma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desconhecimento;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realizada;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demais eventos suportados.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Cada evento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manter: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identifica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data/hora;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status;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origem;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rio/processo;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protocolo, quando existente;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tentativas de processamento.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13. CONTING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Ê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NCIA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arquitetura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tratamento de indisponibilidade fiscal ou do provedor.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ser poss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vel: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identificar indisponibilidade;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tentativas;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utilizar mecanismos de conting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 suportados;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controlar documentos em conting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regularizar posteriormente;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sincronizar;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impedir duplicidade;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manter rastreabilidade.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14. IDEMPOT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Ê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NCIA E REPROCESSAMENTO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Processamentos fiscais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idempotentes.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mesma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gerar duplicadamente: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recebimento;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entrada de estoque;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tulo financeiro;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evento.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Falhas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cnicas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permitir reprocessamento controlado, sem necessidade de recria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manual da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15. ARMAZENAMENTO E XML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Cada documento fiscal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um registro fiscal estruturado.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Quando 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vel, o XML oficial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armazenado de forma segura e associado ao documento.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preservar: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XML original;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metadados;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protocolos;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eventos;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status;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nculos operacionais.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XML oficial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alterado pelo SaaS.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Representa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visuais, como DANFE,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substituem o XML.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a-DK"/>
        </w:rPr>
        <w:t>16. RASTREABILIDADE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rastreabilidade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bidirecional.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 de entrada: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 Fiscal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Pedido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Recebimento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Qualidade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Estoque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Financeiro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 tamb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</w:rPr>
        <w:t>m: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Material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</w:rPr>
        <w:t>Lote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Documento Fiscal de origem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Para sa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da: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Documento Fiscal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</w:rPr>
        <w:t>Transporte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</w:rPr>
        <w:t>Obra/Instala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parciais,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ser poss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 identificar exatamente qual parcela originou cada documento.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17. INTEGRA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>O COM ESTOQUE E FINANCEIRO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documento fiscal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gerar eventos para outros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dulos, mas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assumir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suas responsabilidades.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NF recebida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Fiscal registra documento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Suprimentos confere recebimento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Qualidade avalia,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Estoque registra efeito f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sico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Financeiro registra efeito financeiro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Cada etapa mant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m seu pr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prio dom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nio e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18. CONCILIA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identificar diverg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entre: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Fiscal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×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 xml:space="preserve">Operacional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×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 xml:space="preserve">Estoque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× </w:t>
      </w:r>
      <w:r>
        <w:rPr>
          <w:rFonts w:ascii="Times New Roman" w:hAnsi="Times New Roman"/>
          <w:sz w:val="40"/>
          <w:szCs w:val="40"/>
          <w:rtl w:val="0"/>
          <w:lang w:val="pt-PT"/>
        </w:rPr>
        <w:t>Financeiro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NF de 100 unidades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× </w:t>
      </w:r>
      <w:r>
        <w:rPr>
          <w:rFonts w:ascii="Times New Roman" w:hAnsi="Times New Roman"/>
          <w:sz w:val="40"/>
          <w:szCs w:val="40"/>
          <w:rtl w:val="0"/>
          <w:lang w:val="pt-PT"/>
        </w:rPr>
        <w:t>recebimento de 90;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 xml:space="preserve">NF de R$ 50.000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×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pedido de R$ 48.000;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documento cancelado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× </w:t>
      </w:r>
      <w:r>
        <w:rPr>
          <w:rFonts w:ascii="Times New Roman" w:hAnsi="Times New Roman"/>
          <w:sz w:val="40"/>
          <w:szCs w:val="40"/>
          <w:rtl w:val="0"/>
        </w:rPr>
        <w:t>t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tulo financeiro ainda aberto;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item fiscal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× </w:t>
      </w:r>
      <w:r>
        <w:rPr>
          <w:rFonts w:ascii="Times New Roman" w:hAnsi="Times New Roman"/>
          <w:sz w:val="40"/>
          <w:szCs w:val="40"/>
          <w:rtl w:val="0"/>
          <w:lang w:val="pt-PT"/>
        </w:rPr>
        <w:t>item cadastrado;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quantidade expedida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× </w:t>
      </w:r>
      <w:r>
        <w:rPr>
          <w:rFonts w:ascii="Times New Roman" w:hAnsi="Times New Roman"/>
          <w:sz w:val="40"/>
          <w:szCs w:val="40"/>
          <w:rtl w:val="0"/>
          <w:lang w:val="pt-PT"/>
        </w:rPr>
        <w:t>quantidade faturada.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 diverg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gerar 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ou alertas para tratamento.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19. SEGURAN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Ç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A E PERMISS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Õ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acesso fiscal seguir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modelo estabelecido no ADR-001: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 xml:space="preserve">rio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</w:rPr>
        <w:t xml:space="preserve">Perfil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 controlar: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consulta;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XML;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download;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cancelamento;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eventos;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reprocessamento;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escopo por estabelecimento/unidade.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aplicado o princ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pio do menor privil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gio.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20. AUDITORIA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fiscais relevantes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possuir auditoria.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Devem ser rastre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veis, conforme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tenant;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data/hora;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origem;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resultado;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justificativa;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tentativas;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retorno externo.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O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 fiscal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livremente apagado ou alterado.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21. MULTI-TENANT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Todos os dados fiscais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respeitar o isolamento entre tenants: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documentos;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XMLs;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eventos;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arquivos;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logs;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auditoria;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processamento ass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ncrono.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Nenhum tenant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acessar dados fiscais de outro.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22. ALERTAS E PEND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Ê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NCIAS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uma 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centralizada das 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fiscais.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 novo;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aguardando confer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rejeitado;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erro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cnico;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processamento pendente;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conting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diverg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evento pendente;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falha de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 de reprocessamento.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 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possuir prioridade: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tica;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</w:rPr>
        <w:t>dia;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Baixa.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registrar 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n-US"/>
        </w:rPr>
        <w:t>vel,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 e tempo de tratamento.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23. MONITORAMENTO FISCAL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MVP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disponibilizar indicadores b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sicos, incluindo, conforme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documentos recebidos;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emitidos;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autorizados;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rejeitados;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cancelados;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pendentes;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divergentes;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 conting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 erro.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faz parte do MVP construir uma plataforma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ada de intelig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fiscal.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>24. CONTADOR E RESPONSABILIDADE FISCAL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SaaS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participa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controlada do contador ou 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fiscal.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fornecer: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consulta;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confer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relat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acompanhamento;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fr-FR"/>
        </w:rPr>
        <w:t>lise de 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apoio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</w:rPr>
        <w:t>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Entretanto: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O SaaS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substitui o contador nem assume responsabilidade profissional pela interpreta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n-US"/>
        </w:rPr>
        <w:t>o tribut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ria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 do cliente.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cliente permanece 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pela corre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das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 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fornecidas.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25. PROVEDOR FISCAL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arquitetura adotar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SaaS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Camada Fiscal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Provedor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Ambiente Fiscal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MVP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utilizar um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nico provedor especializado.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Entretanto, o n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cleo do SaaS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depender estruturalmente de sua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arquitetura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substitui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inclus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outro provedor;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migra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preserva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identifica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provedor utilizado em cada processamento.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26. CONTRATO INTERNO FISCAL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SaaS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um modelo/contrato fiscal interno padronizado.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dulos internos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depender diretamente da API ou particularidades de um provedor.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camada fiscal far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fr-FR"/>
        </w:rPr>
        <w:t>a tradu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entre: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modelo interno do SaaS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>↔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pt-PT"/>
        </w:rPr>
        <w:t>modelo do provedor.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27. ESCOPO DO MVP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</w:rPr>
        <w:t>🟢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Obrigat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ó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rio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fiscal b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sica;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NF-e;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recep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autom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tica;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XML;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registro estruturado;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rejei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cancelamento;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eventos essenciais;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conting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reprocessamento;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idempot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confer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diverg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operacional;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financeira;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auditoria;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alertas;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indicadores b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sicos.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</w:rPr>
        <w:t>🟡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es-ES_tradnl"/>
        </w:rPr>
        <w:t>Controlado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manifesta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eventos adicionais;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especiais;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cen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menos frequentes;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documentos complementares;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relat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fiscais mais elaborados;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mais profunda com contador;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cen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fiscais complexos de m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ltiplos estabelecimentos.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</w:rPr>
        <w:t>🔵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P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ó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s-MVP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cobertura ampla de documentos fiscais;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motor tribut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altamente sofisticado;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automa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fiscais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cont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bil completa;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ltiplos provedores simult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neos;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EDI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fr-FR"/>
        </w:rPr>
        <w:t>lises fiscais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cen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especializados de alta complexidade.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28. CRIT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RIO PARA EVOLU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O FISCAL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Novas funcionalidades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avaliadas considerando: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 real;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relev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 operacional;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relev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  <w:lang w:val="it-IT"/>
        </w:rPr>
        <w:t>ncia comercial;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legisla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viabilidade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cnica;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manuten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compatibilidade arquitetural;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benef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cio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× </w:t>
      </w:r>
      <w:r>
        <w:rPr>
          <w:rFonts w:ascii="Times New Roman" w:hAnsi="Times New Roman"/>
          <w:sz w:val="40"/>
          <w:szCs w:val="40"/>
          <w:rtl w:val="0"/>
          <w:lang w:val="pt-PT"/>
        </w:rPr>
        <w:t>complexidade.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legalmente obrigat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rias ter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 tratamento priorit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a-DK"/>
        </w:rPr>
        <w:t>29. COMPATIBILIDADE ARQUITETURAL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 xml:space="preserve">O ADR-004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</w:rPr>
        <w:t>compat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vel com: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Arquitetura Mestre;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Escopo do Projeto;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a-DK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 xml:space="preserve">ADR-001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rios/Permiss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a-DK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 xml:space="preserve">ADR-002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pt-PT"/>
        </w:rPr>
        <w:t>Escopo do MVP;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a-DK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 xml:space="preserve">ADR-003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pt-PT"/>
        </w:rPr>
        <w:t>Cliente-Piloto;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 xml:space="preserve">T13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 xml:space="preserve">T6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Estoque;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 xml:space="preserve">T7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pt-PT"/>
        </w:rPr>
        <w:t>Suprimentos;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 xml:space="preserve">T9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 xml:space="preserve">T10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it-IT"/>
        </w:rPr>
        <w:t>Comercial;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 xml:space="preserve">T11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pt-PT"/>
        </w:rPr>
        <w:t>Financeiro;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 xml:space="preserve">T14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rios/Permiss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 xml:space="preserve">T15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pt-PT"/>
        </w:rPr>
        <w:t>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Nenhuma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deste ADR altera a fonte de verdade dos demais dom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nios.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30. DECIS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Õ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>ES ARQUITETURAIS OBRIGAT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Ó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RIAS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Ficam estabelecidas como obrigat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rias para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o: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Fiscal como dom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nio especializado.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entre fiscal, operacional e financeiro.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NF-e como principal documento fiscal eletr</w:t>
      </w:r>
      <w:r>
        <w:rPr>
          <w:rFonts w:ascii="Times New Roman" w:hAnsi="Times New Roman" w:hint="default"/>
          <w:sz w:val="40"/>
          <w:szCs w:val="40"/>
          <w:rtl w:val="0"/>
        </w:rPr>
        <w:t>ô</w:t>
      </w:r>
      <w:r>
        <w:rPr>
          <w:rFonts w:ascii="Times New Roman" w:hAnsi="Times New Roman"/>
          <w:sz w:val="40"/>
          <w:szCs w:val="40"/>
          <w:rtl w:val="0"/>
          <w:lang w:val="pt-PT"/>
        </w:rPr>
        <w:t>nico do MVP.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Recep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autom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tica de documentos fiscais.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Confer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antes de efeitos operacionais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Documento fiscal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≠ </w:t>
      </w:r>
      <w:r>
        <w:rPr>
          <w:rFonts w:ascii="Times New Roman" w:hAnsi="Times New Roman"/>
          <w:sz w:val="40"/>
          <w:szCs w:val="40"/>
          <w:rtl w:val="0"/>
          <w:lang w:val="pt-PT"/>
        </w:rPr>
        <w:t>recebimento f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sico.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Documento fiscal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≠ </w:t>
      </w:r>
      <w:r>
        <w:rPr>
          <w:rFonts w:ascii="Times New Roman" w:hAnsi="Times New Roman"/>
          <w:sz w:val="40"/>
          <w:szCs w:val="40"/>
          <w:rtl w:val="0"/>
          <w:lang w:val="pt-PT"/>
        </w:rPr>
        <w:t>entrada autom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tica de estoque.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Documento fiscal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≠ </w:t>
      </w:r>
      <w:r>
        <w:rPr>
          <w:rFonts w:ascii="Times New Roman" w:hAnsi="Times New Roman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o/entrega.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Documento fiscal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≠ </w:t>
      </w:r>
      <w:r>
        <w:rPr>
          <w:rFonts w:ascii="Times New Roman" w:hAnsi="Times New Roman"/>
          <w:sz w:val="40"/>
          <w:szCs w:val="40"/>
          <w:rtl w:val="0"/>
        </w:rPr>
        <w:t>lan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amento financeiro autom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tico.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Cancelamento e eventos como registros pr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prios.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Preserva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dos documentos originais.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XML preservado sem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Versionamento e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Idempot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Reprocessamento.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Conting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Auditoria.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Isolamento multi-tenant.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Controle de acesso conforme ADR-001.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Camada de abstra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entre SaaS e provedor fiscal.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 ponta a ponta.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entre 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 regra fiscal.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Preserva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dos efeitos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ricos.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e diverg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vis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e trat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Arquitetura preparada para 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fiscal.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31. HIERARQUIA DE REFER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Ê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NCIA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 caso de conflito, prevalece: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Arquitetura Mestre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Escopo do Projeto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ADRs aprovados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Especifica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funcionais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Especifica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cnica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Contratos de API/Eventos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Modelo de dados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Nenhuma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contrariar este ADR sem 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arquitetural formal.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32. CONCLUS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Ã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 xml:space="preserve">O ADR-004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pt-PT"/>
        </w:rPr>
        <w:t>Estrat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gia Fiscal estabelece uma arquitetura fiscal robusta, parametriz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vel, rastre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vel, multi-tenant e independente de fornecedor, adequada ao MVP e preparada para 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objetivo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transformar o SaaS em um sistema fiscal isolado, mas permitir que a dimens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fiscal seja integrada de forma segura aos processos industriais, preservando a responsabilidade de cada dom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nio.</w:t>
      </w:r>
    </w:p>
    <w:p>
      <w:pPr>
        <w:pStyle w:val="Padrão"/>
        <w:suppressAutoHyphens w:val="1"/>
        <w:spacing w:before="0" w:after="240" w:line="240" w:lineRule="auto"/>
        <w:jc w:val="left"/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STATUS FINAL: APROVADO E FECHADO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VERS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1.0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Marcador"/>
  </w:abstractNum>
  <w:abstractNum w:abstractNumId="1">
    <w:multiLevelType w:val="hybridMultilevel"/>
    <w:styleLink w:val="Marcador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úmeros"/>
  </w:abstractNum>
  <w:abstractNum w:abstractNumId="3">
    <w:multiLevelType w:val="hybridMultilevel"/>
    <w:styleLink w:val="Números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Marcador">
    <w:name w:val="Marcador"/>
    <w:pPr>
      <w:numPr>
        <w:numId w:val="1"/>
      </w:numPr>
    </w:pPr>
  </w:style>
  <w:style w:type="paragraph" w:styleId="Estilo de Tabela 2">
    <w:name w:val="Estilo de Tabela 2"/>
    <w:next w:val="Estilo de Tabela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Números">
    <w:name w:val="Números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