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94651" w14:textId="77777777" w:rsidR="00841813" w:rsidRPr="00841813" w:rsidRDefault="00841813" w:rsidP="00841813">
      <w:pPr>
        <w:spacing w:before="100" w:beforeAutospacing="1" w:after="100" w:afterAutospacing="1"/>
        <w:rPr>
          <w:rFonts w:ascii="Times New Roman" w:eastAsia="Times New Roman" w:hAnsi="Times New Roman" w:cs="Times New Roman"/>
          <w:kern w:val="0"/>
          <w14:ligatures w14:val="none"/>
        </w:rPr>
      </w:pPr>
      <w:r w:rsidRPr="00841813">
        <w:rPr>
          <w:rFonts w:ascii="Times New Roman" w:eastAsia="Times New Roman" w:hAnsi="Times New Roman" w:cs="Times New Roman"/>
          <w:i/>
          <w:iCs/>
          <w:kern w:val="0"/>
          <w14:ligatures w14:val="none"/>
        </w:rPr>
        <w:t>Refinery Inflexibility and the Decarbonization of Transport: Implications for Net-Zero Emissions Transitions</w:t>
      </w:r>
    </w:p>
    <w:p w14:paraId="4BF396F4" w14:textId="77777777" w:rsidR="002D3060" w:rsidRDefault="002D3060" w:rsidP="00841813">
      <w:pPr>
        <w:spacing w:before="100" w:beforeAutospacing="1" w:after="100" w:afterAutospacing="1"/>
        <w:outlineLvl w:val="2"/>
        <w:rPr>
          <w:rFonts w:ascii="Times New Roman" w:eastAsia="Times New Roman" w:hAnsi="Times New Roman" w:cs="Times New Roman"/>
          <w:b/>
          <w:bCs/>
          <w:kern w:val="0"/>
          <w:sz w:val="27"/>
          <w:szCs w:val="27"/>
          <w14:ligatures w14:val="none"/>
        </w:rPr>
      </w:pPr>
    </w:p>
    <w:p w14:paraId="3069D00F" w14:textId="1895F563" w:rsidR="00841813" w:rsidRPr="00841813" w:rsidRDefault="00841813" w:rsidP="0084181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41813">
        <w:rPr>
          <w:rFonts w:ascii="Times New Roman" w:eastAsia="Times New Roman" w:hAnsi="Times New Roman" w:cs="Times New Roman"/>
          <w:b/>
          <w:bCs/>
          <w:kern w:val="0"/>
          <w:sz w:val="27"/>
          <w:szCs w:val="27"/>
          <w14:ligatures w14:val="none"/>
        </w:rPr>
        <w:t>1. Introduction</w:t>
      </w:r>
    </w:p>
    <w:p w14:paraId="38B24F3F" w14:textId="77777777" w:rsidR="0045071C" w:rsidRPr="0007301E" w:rsidRDefault="00CF7FBB" w:rsidP="0045071C">
      <w:pPr>
        <w:pStyle w:val="NormalWeb"/>
      </w:pPr>
      <w:r w:rsidRPr="0007301E">
        <w:t xml:space="preserve">The </w:t>
      </w:r>
      <w:r w:rsidR="00337D1E" w:rsidRPr="0007301E">
        <w:t>goal</w:t>
      </w:r>
      <w:r w:rsidRPr="0007301E">
        <w:t xml:space="preserve"> to reach </w:t>
      </w:r>
      <w:r w:rsidRPr="0007301E">
        <w:rPr>
          <w:rStyle w:val="Strong"/>
        </w:rPr>
        <w:t>net-zero emissions</w:t>
      </w:r>
      <w:r w:rsidRPr="0007301E">
        <w:t xml:space="preserve"> by mid-century has reshaped the policy landscape across transportation, energy, and industrial sectors. Many </w:t>
      </w:r>
      <w:r w:rsidR="00337D1E" w:rsidRPr="0007301E">
        <w:t>countries</w:t>
      </w:r>
      <w:r w:rsidRPr="0007301E">
        <w:t xml:space="preserve"> now impose mandates, standards, or targets that effectively push for the </w:t>
      </w:r>
      <w:r w:rsidRPr="0007301E">
        <w:rPr>
          <w:rStyle w:val="Strong"/>
        </w:rPr>
        <w:t>phaseout of internal combustion engine (ICE) vehicles</w:t>
      </w:r>
      <w:r w:rsidRPr="0007301E">
        <w:t xml:space="preserve"> </w:t>
      </w:r>
      <w:r w:rsidR="002C756B" w:rsidRPr="0007301E">
        <w:t>and the adoption</w:t>
      </w:r>
      <w:r w:rsidRPr="0007301E">
        <w:t xml:space="preserve"> of zero-emission alternatives</w:t>
      </w:r>
      <w:r w:rsidR="002C756B" w:rsidRPr="0007301E">
        <w:t>, such as battery electric vehicles (BEVs) and hydrogen fuel cell vehicles (FCEVs)</w:t>
      </w:r>
      <w:r w:rsidRPr="0007301E">
        <w:t xml:space="preserve">. </w:t>
      </w:r>
      <w:r w:rsidR="000075B6" w:rsidRPr="0007301E">
        <w:t>Historically, most of the near-term decarbonization emphasis has focused on light-duty vehicles (LDV)</w:t>
      </w:r>
      <w:r w:rsidRPr="0007301E">
        <w:t xml:space="preserve">, given their high turnover, existing charging infrastructure momentum, and </w:t>
      </w:r>
      <w:proofErr w:type="spellStart"/>
      <w:r w:rsidRPr="0007301E">
        <w:t>favo</w:t>
      </w:r>
      <w:r w:rsidR="000075B6" w:rsidRPr="0007301E">
        <w:t>u</w:t>
      </w:r>
      <w:r w:rsidRPr="0007301E">
        <w:t>rable</w:t>
      </w:r>
      <w:proofErr w:type="spellEnd"/>
      <w:r w:rsidRPr="0007301E">
        <w:t xml:space="preserve"> cost trajectories for battery electric vehicles (BEVs)</w:t>
      </w:r>
      <w:r w:rsidR="00DD2767" w:rsidRPr="0007301E">
        <w:t xml:space="preserve"> </w:t>
      </w:r>
      <w:r w:rsidR="00DD2767" w:rsidRPr="0007301E">
        <w:fldChar w:fldCharType="begin"/>
      </w:r>
      <w:r w:rsidR="0045071C" w:rsidRPr="0007301E">
        <w:instrText xml:space="preserve"> ADDIN ZOTERO_ITEM CSL_CITATION {"citationID":"bkntvhDN","properties":{"formattedCitation":"\\super 1,2\\nosupersub{}","plainCitation":"1,2","noteIndex":0},"citationItems":[{"id":355,"uris":["http://zotero.org/users/2470470/items/WS4JGWW5"],"itemData":{"id":355,"type":"article-journal","container-title":"MIT Center for Energy and Environmental Policy Research","title":"Electrifying Transportation: Issues and Opportunities","author":[{"family":"Clinton","given":"Bentley C"},{"family":"Knittel","given":"Christopher R"},{"family":"Metaxoglou","given":"Konstantinos"}],"issued":{"date-parts":[["2020"]]}}},{"id":356,"uris":["http://zotero.org/users/2470470/items/CJ4V9Z2V"],"itemData":{"id":356,"type":"webpage","abstract":"Global EV Outlook 2023 - Analysis and key findings. A report by the International Energy Agency.","container-title":"IEA","language":"en-GB","title":"Global EV Outlook 2023 – Analysis","URL":"https://www.iea.org/reports/global-ev-outlook-2023","accessed":{"date-parts":[["2025",10,16]]},"issued":{"date-parts":[["2023",4,26]]}}}],"schema":"https://github.com/citation-style-language/schema/raw/master/csl-citation.json"} </w:instrText>
      </w:r>
      <w:r w:rsidR="00DD2767" w:rsidRPr="0007301E">
        <w:fldChar w:fldCharType="separate"/>
      </w:r>
      <w:r w:rsidR="0045071C" w:rsidRPr="0007301E">
        <w:rPr>
          <w:vertAlign w:val="superscript"/>
        </w:rPr>
        <w:t>1,2</w:t>
      </w:r>
      <w:r w:rsidR="00DD2767" w:rsidRPr="0007301E">
        <w:fldChar w:fldCharType="end"/>
      </w:r>
      <w:r w:rsidRPr="0007301E">
        <w:t xml:space="preserve">. </w:t>
      </w:r>
      <w:bookmarkStart w:id="0" w:name="_Hlk211508078"/>
      <w:r w:rsidRPr="0007301E">
        <w:t>In many climate and transport models, electrification of LDVs is treated as a “low-hanging fruit” pathway toward emission reductions, often outpacing efforts in heavy-duty, marine, aviation, or alternative fuels</w:t>
      </w:r>
      <w:bookmarkEnd w:id="0"/>
      <w:r w:rsidR="0045071C" w:rsidRPr="0007301E">
        <w:fldChar w:fldCharType="begin"/>
      </w:r>
      <w:r w:rsidR="0045071C" w:rsidRPr="0007301E">
        <w:instrText xml:space="preserve"> ADDIN ZOTERO_ITEM CSL_CITATION {"citationID":"pWopRQsS","properties":{"formattedCitation":"\\super 3\\nosupersub{}","plainCitation":"3","noteIndex":0},"citationItems":[{"id":358,"uris":["http://zotero.org/users/2470470/items/R26EE5KZ"],"itemData":{"id":358,"type":"webpage","abstract":"Global EV Outlook 2024 - Analysis and key findings. A report by the International Energy Agency.","container-title":"IEA","language":"en-GB","title":"Outlook for emissions reductions – Global EV Outlook 2024 – Analysis","URL":"https://www.iea.org/reports/global-ev-outlook-2024/outlook-for-emissions-reductions","accessed":{"date-parts":[["2025",10,16]]}}}],"schema":"https://github.com/citation-style-language/schema/raw/master/csl-citation.json"} </w:instrText>
      </w:r>
      <w:r w:rsidR="0045071C" w:rsidRPr="0007301E">
        <w:fldChar w:fldCharType="separate"/>
      </w:r>
      <w:r w:rsidR="0045071C" w:rsidRPr="0007301E">
        <w:rPr>
          <w:vertAlign w:val="superscript"/>
        </w:rPr>
        <w:t>3</w:t>
      </w:r>
      <w:r w:rsidR="0045071C" w:rsidRPr="0007301E">
        <w:fldChar w:fldCharType="end"/>
      </w:r>
      <w:r w:rsidRPr="0007301E">
        <w:t>.</w:t>
      </w:r>
      <w:r w:rsidR="0045071C" w:rsidRPr="0007301E">
        <w:t xml:space="preserve"> However, this emphasis on passenger vehicle strategies often assumes that the fuel and energy supply sector will seamlessly adjust to reduced fuel demand, implicitly expecting that demand for refined petroleum products will simply decline as a result. </w:t>
      </w:r>
    </w:p>
    <w:p w14:paraId="7279F786" w14:textId="02B8B272" w:rsidR="00CF7FBB" w:rsidRPr="0007301E" w:rsidRDefault="00CF7FBB" w:rsidP="0045071C">
      <w:pPr>
        <w:pStyle w:val="NormalWeb"/>
      </w:pPr>
      <w:r w:rsidRPr="0007301E">
        <w:t xml:space="preserve">The output slate of a refinery depends critically on its configuration (simple vs. complex units, presence of </w:t>
      </w:r>
      <w:r w:rsidR="00B35E3C" w:rsidRPr="0007301E">
        <w:t>upgrader</w:t>
      </w:r>
      <w:r w:rsidRPr="0007301E">
        <w:t>, cracking, coking, hydrocracking, hydrotreating</w:t>
      </w:r>
      <w:r w:rsidR="00B35E3C" w:rsidRPr="0007301E">
        <w:t>) and</w:t>
      </w:r>
      <w:r w:rsidRPr="0007301E">
        <w:t xml:space="preserve"> the types of crude oil feedstocks it can accept (e.g. light vs. heavy, </w:t>
      </w:r>
      <w:proofErr w:type="spellStart"/>
      <w:r w:rsidRPr="0007301E">
        <w:t>sul</w:t>
      </w:r>
      <w:r w:rsidR="00B35E3C" w:rsidRPr="0007301E">
        <w:t>ph</w:t>
      </w:r>
      <w:r w:rsidRPr="0007301E">
        <w:t>ur</w:t>
      </w:r>
      <w:proofErr w:type="spellEnd"/>
      <w:r w:rsidRPr="0007301E">
        <w:t xml:space="preserve"> content). Transforming a refinery’s product mix (e.g., cutting gasoline yield sharply while boosting diesel or petrochemical feedstocks) may </w:t>
      </w:r>
      <w:r w:rsidRPr="00C60905">
        <w:t xml:space="preserve">require </w:t>
      </w:r>
      <w:r w:rsidRPr="00C60905">
        <w:rPr>
          <w:rStyle w:val="Strong"/>
          <w:b w:val="0"/>
          <w:bCs w:val="0"/>
        </w:rPr>
        <w:t>costly capital investments, retrofits, or entire unit additions</w:t>
      </w:r>
      <w:r w:rsidR="00E31680" w:rsidRPr="00C60905">
        <w:fldChar w:fldCharType="begin"/>
      </w:r>
      <w:r w:rsidR="00E31680" w:rsidRPr="00C60905">
        <w:instrText xml:space="preserve"> ADDIN ZOTERO_ITEM CSL_CITATION {"citationID":"O0M3yOac","properties":{"formattedCitation":"\\super 4\\nosupersub{}","plainCitation":"4","noteIndex":0},"citationItems":[{"id":360,"uris":["http://zotero.org/users/2470470/items/J87VUCT7"],"itemData":{"id":360,"type":"book","publisher":"CRC Press","title":"Petroleum refining: Technology, economics, and markets","author":[{"family":"Kaiser","given":"Mark J"},{"family":"Klerk","given":"Arno","non-dropping-particle":"de"},{"family":"Gary","given":"James H"},{"family":"Handwerk","given":"Glenn E"}],"issued":{"date-parts":[["2019"]]}}}],"schema":"https://github.com/citation-style-language/schema/raw/master/csl-citation.json"} </w:instrText>
      </w:r>
      <w:r w:rsidR="00E31680" w:rsidRPr="00C60905">
        <w:fldChar w:fldCharType="separate"/>
      </w:r>
      <w:r w:rsidR="00E31680" w:rsidRPr="00C60905">
        <w:rPr>
          <w:vertAlign w:val="superscript"/>
        </w:rPr>
        <w:t>4</w:t>
      </w:r>
      <w:r w:rsidR="00E31680" w:rsidRPr="00C60905">
        <w:fldChar w:fldCharType="end"/>
      </w:r>
      <w:r w:rsidRPr="0007301E">
        <w:t xml:space="preserve">. Even storage, logistics, and blending constraints limit how rapidly or flexibly a refinery can shift its output. </w:t>
      </w:r>
      <w:r w:rsidR="00E31680" w:rsidRPr="0007301E">
        <w:t>As a result,</w:t>
      </w:r>
      <w:r w:rsidRPr="0007301E">
        <w:t xml:space="preserve"> sudden or steep declines in one product may not be easily absorbed without stranded assets or operating inefficiencies.</w:t>
      </w:r>
    </w:p>
    <w:p w14:paraId="4C19D1E8" w14:textId="0A7C3E93" w:rsidR="00CF7FBB" w:rsidRDefault="0007301E" w:rsidP="00CF7FBB">
      <w:pPr>
        <w:pStyle w:val="NormalWeb"/>
      </w:pPr>
      <w:r w:rsidRPr="0007301E">
        <w:t>M</w:t>
      </w:r>
      <w:r w:rsidR="00CF7FBB" w:rsidRPr="0007301E">
        <w:t xml:space="preserve">ost </w:t>
      </w:r>
      <w:r w:rsidR="00CF7FBB" w:rsidRPr="0007301E">
        <w:rPr>
          <w:rStyle w:val="Strong"/>
          <w:b w:val="0"/>
          <w:bCs w:val="0"/>
        </w:rPr>
        <w:t>energy-economy models</w:t>
      </w:r>
      <w:r w:rsidR="005473D5">
        <w:rPr>
          <w:rStyle w:val="Strong"/>
          <w:b w:val="0"/>
          <w:bCs w:val="0"/>
        </w:rPr>
        <w:fldChar w:fldCharType="begin"/>
      </w:r>
      <w:r w:rsidR="005473D5">
        <w:rPr>
          <w:rStyle w:val="Strong"/>
          <w:b w:val="0"/>
          <w:bCs w:val="0"/>
        </w:rPr>
        <w:instrText xml:space="preserve"> ADDIN ZOTERO_ITEM CSL_CITATION {"citationID":"Orau4fId","properties":{"formattedCitation":"\\super 5\\nosupersub{}","plainCitation":"5","noteIndex":0},"citationItems":[{"id":372,"uris":["http://zotero.org/users/2470470/items/DV3A5EYK"],"itemData":{"id":372,"type":"article-journal","abstract":"Energy-economy models play an increasingly important role in informing climate policy decisions, yet their results lack consistency in terms of projected greenhouse gas emissions and economic impacts. The paper employs a scoping review of the key improvements, knowledge gaps, and critiques of energy-economy models in the academic, public, private, and not-for-profit sectors in Canada over the past ten years. The three objectives are to (1) identify the key energy-economy modelling assessment criteria, (2) develop an inventory of energy-economy models assessed against the criteria in objective 1, and (3) discuss implications for modelling climate policies. Four criteria for assessing the ability of energy-economy models to evaluate climate policy impacts are identified: treatment of technology, microeconomic realism, macroeconomic realism, and policy representation. The assessment of 21 models against these criteria reveals similarities and differences across models. Models that share similarities in over-arching methodological approaches are also similar in the way they represent technologies, market heterogeneity, trade effects, different policy types, and energy equilibrium. Conversely, there are quite diverse approaches used in the representation of technological change, non-financial decision factors, financial or monetary features, and non-energy equilibrium. Model documentation does not often address how policy interaction is taken into account. Based on this assessment, implications for climate policy modelling and future research are discussed.","container-title":"Renewable and Sustainable Energy Reviews","DOI":"10.1016/j.rser.2021.111739","ISSN":"1364-0321","journalAbbreviation":"Renewable and Sustainable Energy Reviews","page":"111739","source":"ScienceDirect","title":"Understanding climate policy projections: A scoping review of energy-economy models in Canada","title-short":"Understanding climate policy projections","volume":"153","author":[{"family":"Rhodes","given":"Ekaterina"},{"family":"Hoyle","given":"Aaron"},{"family":"McPherson","given":"Madeleine"},{"family":"Craig","given":"Kira"}],"issued":{"date-parts":[["2022",1,1]]}}}],"schema":"https://github.com/citation-style-language/schema/raw/master/csl-citation.json"} </w:instrText>
      </w:r>
      <w:r w:rsidR="005473D5">
        <w:rPr>
          <w:rStyle w:val="Strong"/>
          <w:b w:val="0"/>
          <w:bCs w:val="0"/>
        </w:rPr>
        <w:fldChar w:fldCharType="separate"/>
      </w:r>
      <w:r w:rsidR="005473D5" w:rsidRPr="005473D5">
        <w:rPr>
          <w:vertAlign w:val="superscript"/>
        </w:rPr>
        <w:t>5</w:t>
      </w:r>
      <w:r w:rsidR="005473D5">
        <w:rPr>
          <w:rStyle w:val="Strong"/>
          <w:b w:val="0"/>
          <w:bCs w:val="0"/>
        </w:rPr>
        <w:fldChar w:fldCharType="end"/>
      </w:r>
      <w:r w:rsidR="00CF7FBB" w:rsidRPr="0007301E">
        <w:t xml:space="preserve"> (including many integrated assessment models, IAMs, and sectoral optimization frameworks)</w:t>
      </w:r>
      <w:r>
        <w:t xml:space="preserve"> and studies about the impact of vehicle electrification</w:t>
      </w:r>
      <w:r>
        <w:fldChar w:fldCharType="begin"/>
      </w:r>
      <w:r w:rsidR="005473D5">
        <w:instrText xml:space="preserve"> ADDIN ZOTERO_ITEM CSL_CITATION {"citationID":"GE89Fm1U","properties":{"formattedCitation":"\\super 6\\uc0\\u8211{}9\\nosupersub{}","plainCitation":"6–9","noteIndex":0},"citationItems":[{"id":361,"uris":["http://zotero.org/users/2470470/items/6XBDDYY8"],"itemData":{"id":361,"type":"article-journal","abstract":"Transportation electrification is a pivotal factor in accelerating the transition to sustainable energy. Electric vehicles (EVs) can operate either as loads or distributed power resources in vehicle-to-grid (V2G) or vehicle-to-vehicle (V2V) linkage. This paper reviews the status quo and the implications of transportation electrification in regard to environmental benefits, consumer side impacts, battery technologies, sustainability of batteries, technology trends, utility side impacts, self-driving technologies, and socio-economic benefits. These are crucial subject matters that have not received appropriate research focus in the relevant literature and this review paper aims to explore them. Our findings suggest that transitioning toward cleaner sources of electricity generation should be considered along with transportation electrification. In addition, the lower cost of EV ownership is correlated with higher EV adoption and increased social justice. It is also found that EVs suffer from a higher mile-per-hour charging rate than conventional vehicles, which is an open technological challenge. Literature indicates that electric vehicle penetration will not affect the power grid in short term but charging management is required for higher vehicle penetration in the long-term scenario. The bi-directional power flow in a V2G linkage enhances the efficiency, security, reliability, scalability, and sustainability of the electricity grid. Vehicle-to-Vehicle (V2V) charging/discharging has also been found to be effective to offload the distribution system in presence of high EV loads.","container-title":"Vehicles","DOI":"10.3390/vehicles4040056","ISSN":"2624-8921","issue":"4","language":"en","license":"http://creativecommons.org/licenses/by/3.0/","note":"publisher: Multidisciplinary Digital Publishing Institute","page":"1042-1079","source":"www.mdpi.com","title":"Impact of Transportation Electrification on the Electricity Grid—A Review","volume":"4","author":[{"family":"Bayani","given":"Reza"},{"family":"Soofi","given":"Arash F."},{"family":"Waseem","given":"Muhammad"},{"family":"Manshadi","given":"Saeed D."}],"issued":{"date-parts":[["2022",12]]}}},{"id":"3RCbLWfa/VUBwxeAg","uris":["http://zotero.org/users/2470470/items/KQ2H5TTW"],"itemData":{"id":363,"type":"article-journal","abstract":"Breaking the highly oil-dependent energy use structure in the transportation sector will be crucial for China to reduce its dependence on crude oil imports and ensure its energy security, and the development of new energy vehicles is helping to break this dilemma. A time series analysis summarizes the possible relationships between new energy vehicles and crude oil imports, i.e., new energy vehicles, as alternatives to fuel vehicles, will reduce the demand for oil in the transportation sector, which will in turn reduce crude oil imports, and crude oil prices and crude oil production will inhibit crude oil imports. In this empirical study, monthly data from 2015 to 2021 on crude oil imports, the market share of new energy vehicles, crude oil prices, and crude oil production are selected, time-series multiple regression modelling is adopted, and endogeneity is treated using a generalized method of moments (GMM). The regression results show that crude oil imports decrease by one unit for every 16.32% increase in crude oil prices, indicating that price factor is the most influential factor in China’s crude oil imports, while crude oil imports decrease by one unit for every 133.99% increase in crude oil production, indicating that an increase in crude oil production contributes less to the reduction of crude oil imports. One unit of crude oil imports is added for every 15.53% increase in the share of new energy vehicles, indicating that the effect of new energy vehicles on limiting crude oil imports has not yet emerged. Probably due to the fact that new energy vehicles have not yet had a significant impact on fuel vehicles, oil consumption will continue to increase in the short and medium term, with oil for the petrochemical industry becoming the primary driver of this increase. Finally, policy implications are provided from the perspective of crude oil demand, supply, and China’s oil price mechanism.","container-title":"World Electric Vehicle Journal","DOI":"10.3390/wevj14020046","ISSN":"2032-6653","issue":"2","language":"en","license":"http://creativecommons.org/licenses/by/3.0/","note":"publisher: Multidisciplinary Digital Publishing Institute","page":"46","source":"www.mdpi.com","title":"Impact of New Energy Vehicle Development on China’s Crude Oil Imports: An Empirical Analysis","title-short":"Impact of New Energy Vehicle Development on China’s Crude Oil Imports","volume":"14","author":[{"family":"Guo","given":"Zehui"},{"family":"Sun","given":"Shujie"},{"family":"Wang","given":"Yishan"},{"family":"Ni","given":"Jingru"},{"family":"Qian","given":"Xuepeng"}],"issued":{"date-parts":[["2023",2]]}}},{"id":365,"uris":["http://zotero.org/users/2470470/items/P757IAJY"],"itemData":{"id":365,"type":"article-journal","abstract":"This review article explores the implications of electrifying the transportation sector for the oil and gas industry. The current state of the transportation sector and the role of oil and gas in it are discussed, followed by an introduction to the concept of electrification and its potential benefits and challenges. The article analyzes the potential impacts of electrification on the oil and gas industry, including changes in demand for oil and gas and opportunities for investing in renewable energy and developing new technologies. Several case studies of companies in the oil and gas industry that are adapting to the transition to electrification are presented, including those investing in renewable energy and developing electric vehicle charging infrastructure. The role of government policies and regulations in the transition to electrification is also discussed, including incentives for electric vehicles and renewable energy and their potential impact on the oil and gas industry. The article concludes with a summary of the potential implications of electrifying the transportation sector for the oil and gas industry, along with recommendations for how companies in the oil and gas industry can adapt to the transition to electrification. Overall, the article provides a comprehensive overview of the electrification of the transportation sector and its impact on the oil and gas industry, offering insights and recommendations for industry stakeholders.","container-title":"International Journal of Energy and Smart Grid","DOI":"10.55088/ijesg.1260882","ISSN":"2548-0332, 2636-7904","issue":"1","journalAbbreviation":"IJESG","language":"en","note":"publisher: Zülküf GÜLSÜN","page":"25-35","source":"dergipark.org.tr","title":"Electrifying the Transportation Sector: Implications for the Oil and Gas Industry","title-short":"Electrifying the Transportation Sector","volume":"8","author":[{"family":"Alagoz","given":"Ekrem"}],"issued":{"date-parts":[["2023",12,29]]}}},{"id":369,"uris":["http://zotero.org/users/2470470/items/DWLMHZ63"],"itemData":{"id":369,"type":"article-journal","abstract":"While electrification of road transport is a key component of decarbonisation, the implications for the broader economy and related jobs remain underexplored. We quantify these impacts in the EU in a global Computable General Equilibrium (CGE) model, combining techno-economic assumptions about electric vehicles with deployment scenarios derived by energy models. We augment input-output tables underlying the JRC-GEM-E3 model with an explicit representation of vehicle manufacturing and upgrade the modelling of vehicle purchase and operation. Our findings illustrate that greater road transport electrification reduces the overall costs of climate mitigation, primarily driven by lower fuel costs for electric vehicles and a faster decline of battery costs. Transport electrification alters supply-chains and leads to structural shifts in employment from traditional vehicle manufacturing towards battery production, electricity supply and related investments. Finally, we expand the set of labour market indicators to cover skills and occupations, to refine the socio-economic assessments of climate policy.","container-title":"Technological Forecasting and Social Change","DOI":"10.1016/j.techfore.2022.121803","ISSN":"0040-1625","journalAbbreviation":"Technological Forecasting and Social Change","page":"121803","source":"ScienceDirect","title":"Economy-wide impacts of road transport electrification in the EU","volume":"182","author":[{"family":"Tamba","given":"Marie"},{"family":"Krause","given":"Jette"},{"family":"Weitzel","given":"Matthias"},{"family":"Ioan","given":"Raileanu"},{"family":"Duboz","given":"Louison"},{"family":"Grosso","given":"Monica"},{"family":"Vandyck","given":"Toon"}],"issued":{"date-parts":[["2022",9,1]]}}}],"schema":"https://github.com/citation-style-language/schema/raw/master/csl-citation.json"} </w:instrText>
      </w:r>
      <w:r>
        <w:fldChar w:fldCharType="separate"/>
      </w:r>
      <w:r w:rsidR="005473D5" w:rsidRPr="005473D5">
        <w:rPr>
          <w:vertAlign w:val="superscript"/>
        </w:rPr>
        <w:t>6–9</w:t>
      </w:r>
      <w:r>
        <w:fldChar w:fldCharType="end"/>
      </w:r>
      <w:r w:rsidR="00CF7FBB" w:rsidRPr="0007301E">
        <w:t xml:space="preserve"> </w:t>
      </w:r>
      <w:r w:rsidR="00CF7FBB" w:rsidRPr="0007301E">
        <w:rPr>
          <w:rStyle w:val="Strong"/>
          <w:b w:val="0"/>
          <w:bCs w:val="0"/>
        </w:rPr>
        <w:t>do not incorporate refinery flexibilit</w:t>
      </w:r>
      <w:r w:rsidRPr="0007301E">
        <w:rPr>
          <w:rStyle w:val="Strong"/>
          <w:b w:val="0"/>
          <w:bCs w:val="0"/>
        </w:rPr>
        <w:t>ies</w:t>
      </w:r>
      <w:r w:rsidR="00CF7FBB" w:rsidRPr="0007301E">
        <w:rPr>
          <w:rStyle w:val="Strong"/>
          <w:b w:val="0"/>
          <w:bCs w:val="0"/>
        </w:rPr>
        <w:t xml:space="preserve"> or detailed constraints on refined product supply</w:t>
      </w:r>
      <w:r w:rsidR="00CF7FBB" w:rsidRPr="0007301E">
        <w:t xml:space="preserve"> when assessing the environmental and economic impacts of vehicle electrification. These models ty</w:t>
      </w:r>
      <w:r w:rsidR="00CF7FBB">
        <w:t xml:space="preserve">pically assume that energy supply adjusts smoothly (or is cost-optimally reconfigured) to meet demand changes, without internal frictions or rigidities in downstream refinement. As a result, model projections may understate transition costs, overestimate co-benefits, or misallocate investment signals. </w:t>
      </w:r>
    </w:p>
    <w:p w14:paraId="499DCA5E" w14:textId="5D7F975F" w:rsidR="00CF7FBB" w:rsidRDefault="00CF7FBB" w:rsidP="00CF7FBB">
      <w:pPr>
        <w:pStyle w:val="NormalWeb"/>
      </w:pPr>
      <w:r>
        <w:t xml:space="preserve">This paper aims to </w:t>
      </w:r>
      <w:r w:rsidR="00834FBA">
        <w:t xml:space="preserve">shed light on </w:t>
      </w:r>
      <w:r>
        <w:t xml:space="preserve">how </w:t>
      </w:r>
      <w:r w:rsidRPr="00C60905">
        <w:rPr>
          <w:rStyle w:val="Strong"/>
          <w:b w:val="0"/>
          <w:bCs w:val="0"/>
        </w:rPr>
        <w:t>refinery inflexibility</w:t>
      </w:r>
      <w:r>
        <w:t xml:space="preserve"> constrains the pace and cost of transport decarbonization and </w:t>
      </w:r>
      <w:r w:rsidR="00834FBA">
        <w:t>explore</w:t>
      </w:r>
      <w:r>
        <w:t xml:space="preserve"> the </w:t>
      </w:r>
      <w:r w:rsidRPr="00C60905">
        <w:rPr>
          <w:rStyle w:val="Strong"/>
          <w:b w:val="0"/>
          <w:bCs w:val="0"/>
        </w:rPr>
        <w:t>systemic feedback</w:t>
      </w:r>
      <w:r w:rsidRPr="00C60905">
        <w:rPr>
          <w:b/>
          <w:bCs/>
        </w:rPr>
        <w:t xml:space="preserve"> </w:t>
      </w:r>
      <w:r>
        <w:t>that emerge</w:t>
      </w:r>
      <w:r w:rsidR="00C60905">
        <w:t>s</w:t>
      </w:r>
      <w:r>
        <w:t xml:space="preserve"> when shifting demand from liquid fuels to electricity. </w:t>
      </w:r>
    </w:p>
    <w:p w14:paraId="532FB790" w14:textId="77777777" w:rsidR="00841813" w:rsidRPr="00841813" w:rsidRDefault="00841813" w:rsidP="0084181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41813">
        <w:rPr>
          <w:rFonts w:ascii="Times New Roman" w:eastAsia="Times New Roman" w:hAnsi="Times New Roman" w:cs="Times New Roman"/>
          <w:b/>
          <w:bCs/>
          <w:kern w:val="0"/>
          <w:sz w:val="27"/>
          <w:szCs w:val="27"/>
          <w14:ligatures w14:val="none"/>
        </w:rPr>
        <w:t>2. Background and Literature Review</w:t>
      </w:r>
    </w:p>
    <w:p w14:paraId="68A1EE2B" w14:textId="77777777" w:rsidR="00841813" w:rsidRPr="00841813" w:rsidRDefault="00841813" w:rsidP="00841813">
      <w:pPr>
        <w:spacing w:before="100" w:beforeAutospacing="1" w:after="100" w:afterAutospacing="1"/>
        <w:outlineLvl w:val="3"/>
        <w:rPr>
          <w:rFonts w:ascii="Times New Roman" w:eastAsia="Times New Roman" w:hAnsi="Times New Roman" w:cs="Times New Roman"/>
          <w:b/>
          <w:bCs/>
          <w:kern w:val="0"/>
          <w14:ligatures w14:val="none"/>
        </w:rPr>
      </w:pPr>
      <w:r w:rsidRPr="00841813">
        <w:rPr>
          <w:rFonts w:ascii="Times New Roman" w:eastAsia="Times New Roman" w:hAnsi="Times New Roman" w:cs="Times New Roman"/>
          <w:b/>
          <w:bCs/>
          <w:kern w:val="0"/>
          <w14:ligatures w14:val="none"/>
        </w:rPr>
        <w:t>2.1. Vehicle Electrification Approaches</w:t>
      </w:r>
    </w:p>
    <w:p w14:paraId="49C981D4" w14:textId="340EF1BF" w:rsidR="00841813" w:rsidRPr="00841813" w:rsidRDefault="00841813" w:rsidP="00841813">
      <w:pPr>
        <w:spacing w:before="100" w:beforeAutospacing="1" w:after="100" w:afterAutospacing="1"/>
        <w:rPr>
          <w:rFonts w:ascii="Times New Roman" w:eastAsia="Times New Roman" w:hAnsi="Times New Roman" w:cs="Times New Roman"/>
          <w:kern w:val="0"/>
          <w14:ligatures w14:val="none"/>
        </w:rPr>
      </w:pPr>
      <w:r w:rsidRPr="00841813">
        <w:rPr>
          <w:rFonts w:ascii="Times New Roman" w:eastAsia="Times New Roman" w:hAnsi="Times New Roman" w:cs="Times New Roman"/>
          <w:kern w:val="0"/>
          <w14:ligatures w14:val="none"/>
        </w:rPr>
        <w:lastRenderedPageBreak/>
        <w:t xml:space="preserve">The transition to electric vehicles (EVs) has emerged as </w:t>
      </w:r>
      <w:r>
        <w:rPr>
          <w:rFonts w:ascii="Times New Roman" w:eastAsia="Times New Roman" w:hAnsi="Times New Roman" w:cs="Times New Roman"/>
          <w:kern w:val="0"/>
          <w14:ligatures w14:val="none"/>
        </w:rPr>
        <w:t>an important</w:t>
      </w:r>
      <w:r w:rsidRPr="00841813">
        <w:rPr>
          <w:rFonts w:ascii="Times New Roman" w:eastAsia="Times New Roman" w:hAnsi="Times New Roman" w:cs="Times New Roman"/>
          <w:kern w:val="0"/>
          <w14:ligatures w14:val="none"/>
        </w:rPr>
        <w:t xml:space="preserve"> decarbonization strateg</w:t>
      </w:r>
      <w:r>
        <w:rPr>
          <w:rFonts w:ascii="Times New Roman" w:eastAsia="Times New Roman" w:hAnsi="Times New Roman" w:cs="Times New Roman"/>
          <w:kern w:val="0"/>
          <w14:ligatures w14:val="none"/>
        </w:rPr>
        <w:t>y</w:t>
      </w:r>
      <w:r w:rsidRPr="00841813">
        <w:rPr>
          <w:rFonts w:ascii="Times New Roman" w:eastAsia="Times New Roman" w:hAnsi="Times New Roman" w:cs="Times New Roman"/>
          <w:kern w:val="0"/>
          <w14:ligatures w14:val="none"/>
        </w:rPr>
        <w:t xml:space="preserve"> to meet net-zero emissions targets. Governments and international organizations have outlined ambitious timelines for phasing out internal combustion engine (ICE) vehicles, particularly in the light-duty vehicle (LDV) segment. For example, the </w:t>
      </w:r>
      <w:bookmarkStart w:id="1" w:name="_Hlk211514010"/>
      <w:r w:rsidRPr="00841813">
        <w:rPr>
          <w:rFonts w:ascii="Times New Roman" w:eastAsia="Times New Roman" w:hAnsi="Times New Roman" w:cs="Times New Roman"/>
          <w:kern w:val="0"/>
          <w14:ligatures w14:val="none"/>
        </w:rPr>
        <w:t>European Union has legislated a ban on new ICE car sales by 2035</w:t>
      </w:r>
      <w:bookmarkEnd w:id="1"/>
      <w:r w:rsidR="000E7782">
        <w:rPr>
          <w:rFonts w:ascii="Times New Roman" w:eastAsia="Times New Roman" w:hAnsi="Times New Roman" w:cs="Times New Roman"/>
          <w:kern w:val="0"/>
          <w14:ligatures w14:val="none"/>
        </w:rPr>
        <w:fldChar w:fldCharType="begin"/>
      </w:r>
      <w:r w:rsidR="000E7782">
        <w:rPr>
          <w:rFonts w:ascii="Times New Roman" w:eastAsia="Times New Roman" w:hAnsi="Times New Roman" w:cs="Times New Roman"/>
          <w:kern w:val="0"/>
          <w14:ligatures w14:val="none"/>
        </w:rPr>
        <w:instrText xml:space="preserve"> ADDIN ZOTERO_ITEM CSL_CITATION {"citationID":"fyVgPqo5","properties":{"formattedCitation":"\\super 10\\nosupersub{}","plainCitation":"10","noteIndex":0},"citationItems":[{"id":375,"uris":["http://zotero.org/users/2470470/items/TIQAEK5T"],"itemData":{"id":375,"type":"post-weblog","abstract":"Goodbye Gas, Hello Electric — Europe’s Auto Industry Just Changed Forever","container-title":"Climate Wins","language":"en","title":"The EU Finalizes Ban on New Gas and Diesel Cars by 2035, Cementing the EV Transition","URL":"https://medium.com/climate-wins/the-eu-finalizes-ban-on-new-gas-and-diesel-cars-by-2035-cementing-the-ev-transition-c149dbf03636","author":[{"family":"Barnard","given":"Michael"}],"accessed":{"date-parts":[["2025",10,16]]},"issued":{"date-parts":[["2025",3,14]]}}}],"schema":"https://github.com/citation-style-language/schema/raw/master/csl-citation.json"} </w:instrText>
      </w:r>
      <w:r w:rsidR="000E7782">
        <w:rPr>
          <w:rFonts w:ascii="Times New Roman" w:eastAsia="Times New Roman" w:hAnsi="Times New Roman" w:cs="Times New Roman"/>
          <w:kern w:val="0"/>
          <w14:ligatures w14:val="none"/>
        </w:rPr>
        <w:fldChar w:fldCharType="separate"/>
      </w:r>
      <w:r w:rsidR="000E7782" w:rsidRPr="000E7782">
        <w:rPr>
          <w:rFonts w:ascii="Times New Roman" w:hAnsi="Times New Roman" w:cs="Times New Roman"/>
          <w:kern w:val="0"/>
          <w:vertAlign w:val="superscript"/>
        </w:rPr>
        <w:t>10</w:t>
      </w:r>
      <w:r w:rsidR="000E7782">
        <w:rPr>
          <w:rFonts w:ascii="Times New Roman" w:eastAsia="Times New Roman" w:hAnsi="Times New Roman" w:cs="Times New Roman"/>
          <w:kern w:val="0"/>
          <w14:ligatures w14:val="none"/>
        </w:rPr>
        <w:fldChar w:fldCharType="end"/>
      </w:r>
      <w:r w:rsidRPr="00841813">
        <w:rPr>
          <w:rFonts w:ascii="Times New Roman" w:eastAsia="Times New Roman" w:hAnsi="Times New Roman" w:cs="Times New Roman"/>
          <w:kern w:val="0"/>
          <w14:ligatures w14:val="none"/>
        </w:rPr>
        <w:t xml:space="preserve">, while jurisdictions like </w:t>
      </w:r>
      <w:bookmarkStart w:id="2" w:name="_Hlk211514066"/>
      <w:r w:rsidRPr="00841813">
        <w:rPr>
          <w:rFonts w:ascii="Times New Roman" w:eastAsia="Times New Roman" w:hAnsi="Times New Roman" w:cs="Times New Roman"/>
          <w:kern w:val="0"/>
          <w14:ligatures w14:val="none"/>
        </w:rPr>
        <w:t>California and Norway have committed to even earlier phaseout timelines</w:t>
      </w:r>
      <w:bookmarkEnd w:id="2"/>
      <w:r w:rsidR="000E7782">
        <w:rPr>
          <w:rFonts w:ascii="Times New Roman" w:eastAsia="Times New Roman" w:hAnsi="Times New Roman" w:cs="Times New Roman"/>
          <w:kern w:val="0"/>
          <w14:ligatures w14:val="none"/>
        </w:rPr>
        <w:fldChar w:fldCharType="begin"/>
      </w:r>
      <w:r w:rsidR="000E7782">
        <w:rPr>
          <w:rFonts w:ascii="Times New Roman" w:eastAsia="Times New Roman" w:hAnsi="Times New Roman" w:cs="Times New Roman"/>
          <w:kern w:val="0"/>
          <w14:ligatures w14:val="none"/>
        </w:rPr>
        <w:instrText xml:space="preserve"> ADDIN ZOTERO_ITEM CSL_CITATION {"citationID":"SsFhzZn7","properties":{"formattedCitation":"\\super 11\\nosupersub{}","plainCitation":"11","noteIndex":0},"citationItems":[{"id":377,"uris":["http://zotero.org/users/2470470/items/Y23PLTGT"],"itemData":{"id":377,"type":"post-weblog","abstract":"Norway will phase out new ICE vehicle sales in 2025, followed by Singapore and Iceland by 2030. Canada targets 100% zero-emission vehicle sales by 2035, with interim goals starting in 2026. The U.S. lacks a federal ban but several states align with California’s 2035 phase-out plan. Many have cried foul at the recent termination of …","container-title":"Motor Illustrated","language":"en-CA","note":"section: News","title":"EV Mandates Will Stay Because Canada is Not The Only Country Planning to Phase Out Internal Combustion Engine Vehicles","URL":"https://motorillustrated.com/ev-mandates-will-stay-because-canadas-only-one-country-with-targets-for-phasing-out-internal-combustion-engine-vehicles/147106/","accessed":{"date-parts":[["2025",10,16]]},"issued":{"date-parts":[["2025",1,18]]}}}],"schema":"https://github.com/citation-style-language/schema/raw/master/csl-citation.json"} </w:instrText>
      </w:r>
      <w:r w:rsidR="000E7782">
        <w:rPr>
          <w:rFonts w:ascii="Times New Roman" w:eastAsia="Times New Roman" w:hAnsi="Times New Roman" w:cs="Times New Roman"/>
          <w:kern w:val="0"/>
          <w14:ligatures w14:val="none"/>
        </w:rPr>
        <w:fldChar w:fldCharType="separate"/>
      </w:r>
      <w:r w:rsidR="000E7782" w:rsidRPr="000E7782">
        <w:rPr>
          <w:rFonts w:ascii="Times New Roman" w:hAnsi="Times New Roman" w:cs="Times New Roman"/>
          <w:kern w:val="0"/>
          <w:vertAlign w:val="superscript"/>
        </w:rPr>
        <w:t>11</w:t>
      </w:r>
      <w:r w:rsidR="000E7782">
        <w:rPr>
          <w:rFonts w:ascii="Times New Roman" w:eastAsia="Times New Roman" w:hAnsi="Times New Roman" w:cs="Times New Roman"/>
          <w:kern w:val="0"/>
          <w14:ligatures w14:val="none"/>
        </w:rPr>
        <w:fldChar w:fldCharType="end"/>
      </w:r>
      <w:r w:rsidRPr="00841813">
        <w:rPr>
          <w:rFonts w:ascii="Times New Roman" w:eastAsia="Times New Roman" w:hAnsi="Times New Roman" w:cs="Times New Roman"/>
          <w:kern w:val="0"/>
          <w14:ligatures w14:val="none"/>
        </w:rPr>
        <w:t>. These policies are typically accompanied by financial incentives, such as purchase subsidies, tax exemptions, and investments in charging infrastructure, aimed at accelerating the market uptake of EVs</w:t>
      </w:r>
      <w:r w:rsidR="002D7582">
        <w:rPr>
          <w:rFonts w:ascii="Times New Roman" w:eastAsia="Times New Roman" w:hAnsi="Times New Roman" w:cs="Times New Roman"/>
          <w:kern w:val="0"/>
          <w14:ligatures w14:val="none"/>
        </w:rPr>
        <w:fldChar w:fldCharType="begin"/>
      </w:r>
      <w:r w:rsidR="002D7582">
        <w:rPr>
          <w:rFonts w:ascii="Times New Roman" w:eastAsia="Times New Roman" w:hAnsi="Times New Roman" w:cs="Times New Roman"/>
          <w:kern w:val="0"/>
          <w14:ligatures w14:val="none"/>
        </w:rPr>
        <w:instrText xml:space="preserve"> ADDIN ZOTERO_ITEM CSL_CITATION {"citationID":"G3du02ok","properties":{"formattedCitation":"\\super 12\\nosupersub{}","plainCitation":"12","noteIndex":0},"citationItems":[{"id":379,"uris":["http://zotero.org/users/2470470/items/GRPXJVBH"],"itemData":{"id":379,"type":"webpage","abstract":"Global EV Outlook 2021 - Analysis and key findings. A report by the International Energy Agency.","container-title":"IEA","language":"en-GB","title":"Policies to promote electric vehicle deployment – Global EV Outlook 2021 – Analysis","URL":"https://www.iea.org/reports/global-ev-outlook-2021/policies-to-promote-electric-vehicle-deployment","accessed":{"date-parts":[["2025",10,16]]}}}],"schema":"https://github.com/citation-style-language/schema/raw/master/csl-citation.json"} </w:instrText>
      </w:r>
      <w:r w:rsidR="002D7582">
        <w:rPr>
          <w:rFonts w:ascii="Times New Roman" w:eastAsia="Times New Roman" w:hAnsi="Times New Roman" w:cs="Times New Roman"/>
          <w:kern w:val="0"/>
          <w14:ligatures w14:val="none"/>
        </w:rPr>
        <w:fldChar w:fldCharType="separate"/>
      </w:r>
      <w:r w:rsidR="002D7582" w:rsidRPr="002D7582">
        <w:rPr>
          <w:rFonts w:ascii="Times New Roman" w:hAnsi="Times New Roman" w:cs="Times New Roman"/>
          <w:kern w:val="0"/>
          <w:vertAlign w:val="superscript"/>
        </w:rPr>
        <w:t>12</w:t>
      </w:r>
      <w:r w:rsidR="002D7582">
        <w:rPr>
          <w:rFonts w:ascii="Times New Roman" w:eastAsia="Times New Roman" w:hAnsi="Times New Roman" w:cs="Times New Roman"/>
          <w:kern w:val="0"/>
          <w14:ligatures w14:val="none"/>
        </w:rPr>
        <w:fldChar w:fldCharType="end"/>
      </w:r>
      <w:r w:rsidRPr="00841813">
        <w:rPr>
          <w:rFonts w:ascii="Times New Roman" w:eastAsia="Times New Roman" w:hAnsi="Times New Roman" w:cs="Times New Roman"/>
          <w:kern w:val="0"/>
          <w14:ligatures w14:val="none"/>
        </w:rPr>
        <w:t>.</w:t>
      </w:r>
    </w:p>
    <w:p w14:paraId="1A46E051" w14:textId="02E1D735" w:rsidR="00841813" w:rsidRPr="001E5C3B" w:rsidRDefault="00841813" w:rsidP="001E5C3B">
      <w:pPr>
        <w:spacing w:before="100" w:beforeAutospacing="1" w:after="100" w:afterAutospacing="1"/>
        <w:rPr>
          <w:rFonts w:ascii="Times New Roman" w:eastAsia="Times New Roman" w:hAnsi="Times New Roman" w:cs="Times New Roman"/>
          <w:kern w:val="0"/>
          <w14:ligatures w14:val="none"/>
        </w:rPr>
      </w:pPr>
      <w:r w:rsidRPr="00841813">
        <w:rPr>
          <w:rFonts w:ascii="Times New Roman" w:eastAsia="Times New Roman" w:hAnsi="Times New Roman" w:cs="Times New Roman"/>
          <w:kern w:val="0"/>
          <w14:ligatures w14:val="none"/>
        </w:rPr>
        <w:t xml:space="preserve">Numerous </w:t>
      </w:r>
      <w:bookmarkStart w:id="3" w:name="_Hlk211514893"/>
      <w:r w:rsidRPr="00841813">
        <w:rPr>
          <w:rFonts w:ascii="Times New Roman" w:eastAsia="Times New Roman" w:hAnsi="Times New Roman" w:cs="Times New Roman"/>
          <w:kern w:val="0"/>
          <w14:ligatures w14:val="none"/>
        </w:rPr>
        <w:t>studies have projected significant reductions in greenhouse gas (GHG) emissions, air pollutants, and operating costs through widespread adoption of EVs</w:t>
      </w:r>
      <w:bookmarkEnd w:id="3"/>
      <w:r w:rsidR="002D7582">
        <w:rPr>
          <w:rFonts w:ascii="Times New Roman" w:eastAsia="Times New Roman" w:hAnsi="Times New Roman" w:cs="Times New Roman"/>
          <w:kern w:val="0"/>
          <w14:ligatures w14:val="none"/>
        </w:rPr>
        <w:fldChar w:fldCharType="begin"/>
      </w:r>
      <w:r w:rsidR="00C60905">
        <w:rPr>
          <w:rFonts w:ascii="Times New Roman" w:eastAsia="Times New Roman" w:hAnsi="Times New Roman" w:cs="Times New Roman"/>
          <w:kern w:val="0"/>
          <w14:ligatures w14:val="none"/>
        </w:rPr>
        <w:instrText xml:space="preserve"> ADDIN ZOTERO_ITEM CSL_CITATION {"citationID":"5KQJWv46","properties":{"formattedCitation":"\\super 13\\uc0\\u8211{}17\\nosupersub{}","plainCitation":"13–17","noteIndex":0},"citationItems":[{"id":390,"uris":["http://zotero.org/users/2470470/items/NJVVFAKF"],"itemData":{"id":390,"type":"article-journal","abstract":"The environmental consequences of electric vehicles (EV) have been extensively studied, but the literature on their health impacts is scant. At the same time, fine particulate matter (PM2.5), for which transportation is a major source, remains an important public health issue in the United States. Motivated by recent developments in epidemiology and reduced-form air pollution modeling, as well as reductions in power plant emissions, we conduct an updated assessment of health benefits of light-duty vehicle electrification in large metropolitan areas (MSAs) in the United States. We first calculate MSA-specific mortality impacts per mile attributable to fine particles from internal combustion engine vehicle (ICEV) tailpipe emissions of PM2.5, SO2, NOx, NH3, and volatile organic compounds, and power plant emissions of PM2.5, SO2, and NOx. We complement these with changes in greenhouse-gas emissions associated with vehicle electrification. We find that electrification leads to large benefits, even with EVs powered exclusively by fossil fuel plants. VMT-weighted mean benefits in the 53 MSAs are 6.9 ¢/mile ($10,400 per 150,000 miles), 83% of which (5.7 ¢/mile or $8600 per 150,000 miles) comes from reductions in PM2.5-attributable mortality. Variability among the MSAs is large, with benefits ranging from 3.4 ¢/mile ($5100 per 150,000 miles) in Rochester, NY, to 11.5 ¢/mile ($17,200 per 150,000 miles) in New York, NY. This large variability suggests incentives should vary by MSA and presents an opportunity to target areas for EV deployment aimed at maximizing public health benefits. Impacts are smaller when EVs disproportionately replace newer ICEV models but EVs still lead to positive benefits in all MSAs. Vehicle electrification in urban areas is an opportunity to achieve large public health benefits in the United States in the short term.","container-title":"Environment International","DOI":"10.1016/j.envint.2020.106015","ISSN":"0160-4120","journalAbbreviation":"Environment International","page":"106015","source":"ScienceDirect","title":"Assessing the health impacts of electric vehicles through air pollution in the United States","volume":"144","author":[{"family":"Choma","given":"Ernani F."},{"family":"Evans","given":"John S."},{"family":"Hammitt","given":"James K."},{"family":"Gómez-Ibáñez","given":"José A."},{"family":"Spengler","given":"John D."}],"issued":{"date-parts":[["2020",11,1]]}}},{"id":388,"uris":["http://zotero.org/users/2470470/items/F3N77EUL"],"itemData":{"id":388,"type":"article-journal","abstract":"Battery electric vehicles (BEVs) have received increasing attention in recent years as BEV technical capabilities have rapidly developed. While many studies have attempted to investigate the societal impacts of BEV adoption, there is still a limited understanding of the extent to which widespread adoption of BEVs may affect both environmental and economic variables simultaneously. This study intends to address this research gap by conducting a comprehensive impact assessment of BEV adoption. Using demand estimates derived from a discrete choice experiment, the impact of various scenarios is evaluated using a computable general equilibrium model. Three drivers of BEV total cost of ownership are considered, namely, subsidy levels, cash incentives by manufacturers, and fuel costs. Furthermore, in light of current trends, improvements in BEV battery manufacturing productivity are considered. This research shows that changes in fuel price and incentives by manufacturers have relatively low impacts on GDP growth, but that the effect of subsidies on GDP and on BEV adoption is considerable, due to a stimulus effect on both household expenditures and on vehicle-manufacturing-related sectors. Productivity shocks moderately impact GDP but only affect BEV adoption in competitive markets. Conversely, the environmental impact is more nuanced. Although BEV adoption leads to decreases in tailpipe emissions, increased manufacturing activity as a result of productivity increases or subsidies can lead to growth in non-tailpipe emissions that cancels out some or all of the tailpipe emissions savings. This demonstrates that in order to achieve desired emissions reductions, policies to promote BEV adoption with subsidies should be accompanied by green manufacturing and green power generation initiatives.","container-title":"Environmental Research Letters","DOI":"10.1088/1748-9326/abe2d0","ISSN":"1748-9326","issue":"4","journalAbbreviation":"Environ. Res. Lett.","language":"en","note":"publisher: IOP Publishing","page":"045011","source":"Institute of Physics","title":"Environmental and economic impact of electric vehicle adoption in the U.S","volume":"16","author":[{"family":"Chen","given":"Zhenhua"},{"family":"Carrel","given":"Andre L"},{"family":"Gore","given":"Christina"},{"family":"Shi","given":"Wei"}],"issued":{"date-parts":[["2021",4]]}}},{"id":383,"uris":["http://zotero.org/users/2470470/items/B3NEJ3LP"],"itemData":{"id":383,"type":"article-journal","abstract":"The transition of onroad vehicles from internal combustion engine vehicles to electric vehicles (EVs) has been promoted in the United States at federal and state levels to reduce emissions of conventional air pollutants and CO2. One state level effort is a plan from California to mandate that all new passenger vehicle sales are EVs by 2035. Using the Community Multiscale Air Quality (CMAQ) model, we analyze the potential air quality impacts of having varying amounts of EVs in the California fleet for a historical (2016) and a future (2028) year, with emphasis on ozone (O3) and fine particulate matter (PM2.5). We find that for both PM2.5 and O3, reductions in concentrations scale approximately linearly with increasing EV fleet turnover. Improvements in air quality are widespread throughout the state, with the largest improvements occurring near Los Angeles and throughout the Central Valley. With full electrification of onroad vehicle fleets, the statewide population-weighted annual average PM2.5 concentration is reduced by about 0.5 μg/m3 for both 2016 and 2028. Reductions in state population-weighted average fourth highest MDA8 O3 are 6.6 ppb and 4.3 ppb for 2016 and 2028. The results indicate that there are air quality benefits, and thus health benefits, to be gained from the transition to EVs and that these benefits do not diminish with increasing rates of EV adoption.","container-title":"Atmospheric Environment","DOI":"10.1016/j.atmosenv.2022.119492","ISSN":"1352-2310","journalAbbreviation":"Atmospheric Environment","page":"119492","source":"ScienceDirect","title":"Air quality impacts of electric vehicle adoption in California","volume":"294","author":[{"family":"Skipper","given":"T. Nash"},{"family":"Lawal","given":"Abiola S."},{"family":"Hu","given":"Yongtao"},{"family":"Russell","given":"Armistead G."}],"issued":{"date-parts":[["2023",2,1]]}}},{"id":381,"uris":["http://zotero.org/users/2470470/items/8VL76V49"],"itemData":{"id":381,"type":"article-journal","abstract":"The transition to electric vehicles (EVs) will impact the climate, the environment, and society in highly significant ways. This study compares EVs to vehicles with internal combustion engines for three major areas: greenhouse gas emissions (GHGs), fuel costs, and transportation energy burden (i.e. percentage of income spent on vehicle fuels). Excluded in the analysis is the purchase cost of the vehicles themselves. The results reveal that over 90% of vehicle-owning U.S. households would see reductions in both GHGs and transportation energy burden by adopting an EV. For 60% of households these savings would be moderate to high (i.e. &gt;2.3 metric tons of CO2e reduction per household annually and &gt;0.6% of energy burden reduction). These reductions are especially pronounced in the American West (e.g. California, Washington) and parts of the Northeast (e.g. New York) primarily due to a varying combination of cleaner electricity grids, lower electricity prices (relative to gas prices), and smaller drive-cycle and temperature-related impacts on fuel efficiency. Moreover, adopting an EV would more than double the percentage of households that enjoy a low transportation energy burden (&lt;2% of income spent on fuel annually). This equates to 80% of all vehicle-owning U.S. households. Nevertheless, over half of the lowest income households would still have a high EV energy burden (&gt;4% income spent on fuel annually), and if at-home charging is unavailable, this rises to over 75 percent. Addressing this inequity hinges on three major interventions: 1) targeted policies to promote energy justice in lower-income communities, including subsidizing charging infrastructure; 2) strategies to reduce electricity costs; and 3) expanding access to low-carbon transport infrastructure (e.g. public transit, biking, and car sharing).","container-title":"Environmental Research Letters","DOI":"10.1088/1748-9326/aca4e6","ISSN":"1748-9326","issue":"1","journalAbbreviation":"Environ. Res. Lett.","language":"en","note":"publisher: IOP Publishing","page":"014027","source":"Institute of Physics","title":"Mapping electric vehicle impacts: greenhouse gas emissions, fuel costs, and energy justice in the United States","title-short":"Mapping electric vehicle impacts","volume":"18","author":[{"family":"Vega-Perkins","given":"Jesse"},{"family":"Newell","given":"Joshua P"},{"family":"Keoleian","given":"Gregory"}],"issued":{"date-parts":[["2023",1]]}}},{"id":393,"uris":["http://zotero.org/users/2470470/items/87TLN44C"],"itemData":{"id":393,"type":"article-journal","abstract":"Abstract \n             \n              Due to zero tailpipe emissions, battery electric vehicles (BEVs) are considered an alternative for internal combustion engine vehicles (ICEVs) toward a cleaner transportation. However, since the BEVs are powered by electricity, the environmental impact of the electricity supply should be examined meticulously. This article focuses on greenhouse gases (GHGs), NO \n              x \n              , PM10, and PM2.5 emissions due to the generation of electricity for the overall US electricity consumption and each of the US 50 states. By considering different energy resources, the amount of emissions produced during the electricity generation phase were calculated. In addition, an analysis of the effect of driving patterns was carried out and extended via the Monte Carlo method. The results were then compared to ICEV average emissions. The results revealed that when the overall US electricity generation is considered, only the total emission of GHG, NO \n              x \n              , and PM2.5 would benefit from switching from ICEVs to BEVs. Regarding the urban share emission, shifting from the ICEVs to BEVs can have a positive effect on reducing all the emissions (GHG, NO \n              x \n              , PM10, and PM2.5). In addition, from the US 50 states, only California, Connecticut, Idaho, Main, New Hampshire, New Jersey, New York, Oregon, Vermont, and Washington are ready to take the advantage of emissions' reduction by switching over to the BEVs.","container-title":"Energy Storage","DOI":"10.1002/est2.280","ISSN":"2578-4862, 2578-4862","issue":"1","journalAbbreviation":"Energy Storage","language":"en","page":"e280","source":"DOI.org (Crossref)","title":"Adoption of battery electric vehicles for reduction of greenhouse gases and air pollutant emissions: A case study of the United States","title-short":"Adoption of battery electric vehicles for reduction of greenhouse gases and air pollutant emissions","volume":"4","author":[{"family":"Afkhami","given":"Behdad"},{"family":"Akbarian","given":"Babak"},{"family":"Ansari","given":"Ehsan"}],"issued":{"date-parts":[["2022",2]]}}}],"schema":"https://github.com/citation-style-language/schema/raw/master/csl-citation.json"} </w:instrText>
      </w:r>
      <w:r w:rsidR="002D7582">
        <w:rPr>
          <w:rFonts w:ascii="Times New Roman" w:eastAsia="Times New Roman" w:hAnsi="Times New Roman" w:cs="Times New Roman"/>
          <w:kern w:val="0"/>
          <w14:ligatures w14:val="none"/>
        </w:rPr>
        <w:fldChar w:fldCharType="separate"/>
      </w:r>
      <w:r w:rsidR="00C60905" w:rsidRPr="00C60905">
        <w:rPr>
          <w:rFonts w:ascii="Times New Roman" w:hAnsi="Times New Roman" w:cs="Times New Roman"/>
          <w:kern w:val="0"/>
          <w:vertAlign w:val="superscript"/>
        </w:rPr>
        <w:t>13–17</w:t>
      </w:r>
      <w:r w:rsidR="002D7582">
        <w:rPr>
          <w:rFonts w:ascii="Times New Roman" w:eastAsia="Times New Roman" w:hAnsi="Times New Roman" w:cs="Times New Roman"/>
          <w:kern w:val="0"/>
          <w14:ligatures w14:val="none"/>
        </w:rPr>
        <w:fldChar w:fldCharType="end"/>
      </w:r>
      <w:r w:rsidRPr="00841813">
        <w:rPr>
          <w:rFonts w:ascii="Times New Roman" w:eastAsia="Times New Roman" w:hAnsi="Times New Roman" w:cs="Times New Roman"/>
          <w:kern w:val="0"/>
          <w14:ligatures w14:val="none"/>
        </w:rPr>
        <w:t>. However, the electrification of heavy-duty vehicles (HDVs) remains more complex, due to technical challenges such as vehicle weight, range requirements, and charging logistics</w:t>
      </w:r>
      <w:r w:rsidR="000466A0">
        <w:rPr>
          <w:rFonts w:ascii="Times New Roman" w:eastAsia="Times New Roman" w:hAnsi="Times New Roman" w:cs="Times New Roman"/>
          <w:kern w:val="0"/>
          <w14:ligatures w14:val="none"/>
        </w:rPr>
        <w:fldChar w:fldCharType="begin"/>
      </w:r>
      <w:r w:rsidR="000466A0">
        <w:rPr>
          <w:rFonts w:ascii="Times New Roman" w:eastAsia="Times New Roman" w:hAnsi="Times New Roman" w:cs="Times New Roman"/>
          <w:kern w:val="0"/>
          <w14:ligatures w14:val="none"/>
        </w:rPr>
        <w:instrText xml:space="preserve"> ADDIN ZOTERO_ITEM CSL_CITATION {"citationID":"kBKx10Hs","properties":{"formattedCitation":"\\super 18\\uc0\\u8211{}25\\nosupersub{}","plainCitation":"18–25","noteIndex":0},"citationItems":[{"id":394,"uris":["http://zotero.org/users/2470470/items/HSYB7YQC"],"itemData":{"id":394,"type":"article-journal","abstract":"This article provides an overview of the pathways in the electrification of medium- and heavy-duty vehicles (MHDVs). A deep understanding of the challenges in MHDV electrification in terms of the electric powertrain is required to keep pace with decarbonization targets, which also requires more efforts in research and development. The objective of this article is to identify key trends and directions for the MHDV electric powertrain system and its components. Different electric motor types and configurations are discussed to meet the demands of MHDVs. Comparison of existing solutions for motor drive challenges of MHDVs is conducted through a tradeoff analysis of inverter topologies including multilevel inverters (MLIs) and space vector modulation (SVM) techniques. In addition, recommendations for the energy storage system (ESS) of MHDVs are provided from empirical drive cycle analysis. Finally, a summary of the major takeaways, future directions, and actions in the electric powertrain systems for MHDVs are presented.","container-title":"IEEE Transactions on Transportation Electrification","DOI":"10.1109/TTE.2024.3444692","ISSN":"2332-7782","issue":"1","page":"3602-3616","source":"IEEE Xplore","title":"Medium- and Heavy-Duty Vehicle Electrification: Trends and Technologies","title-short":"Medium- and Heavy-Duty Vehicle Electrification","volume":"11","author":[{"family":"Hasnain","given":"Arafat"},{"family":"Somiruwan Gamwari","given":"Ayodhya"},{"family":"Resalayyan","given":"Rakesh"},{"family":"Farokhi Sadabadi","given":"Kaveh"},{"family":"Khaligh","given":"Alireza"}],"issued":{"date-parts":[["2025",2]]}}},{"id":411,"uris":["http://zotero.org/users/2470470/items/VYF3DDLZ"],"itemData":{"id":411,"type":"article-journal","container-title":"Resource for the Future, Washington DC, Tech. Rep.","title":"Medium-and heavy-duty vehicle electrification: Challenges, policy solutions, and open research questions","author":[{"family":"Spiller","given":"Beia"},{"family":"Lohawala","given":"Nafisa"},{"family":"DeAngeli","given":"Emma"}],"issued":{"date-parts":[["2023"]]}}},{"id":397,"uris":["http://zotero.org/users/2470470/items/D6LHYS68"],"itemData":{"id":397,"type":"article-journal","abstract":"Battery-electric heavy-duty vehicles are considered a potential solution to reduce emissions in freight transport and increase energy security. However, battery-electric trucks are not a one-fits-all solution due to current battery technology limitations and vast diversity in freight operations and vehicle categories. Although the literature available in electric truck feasibility provides an insightful overview of their potential, it does not fully cover the performance variations under adverse climate and technical conditions. This paper attempts to fill the gap in the literature by quantifying the impact of low temperatures, headwind, variable payload, and tail-lift use over different freight vehicles from a case study fleet in Iceland. NREL's FASTSim is the vehicle energy consumption model used for the analysis. The study also addresses on-route fast-charging, considering realistic non-linear charging rates and performance in low temperatures. The results showed that the range of the analyzed vehicles can experience a decrease of 41–47% under unfavorable conditions, compared to the estimated range under ideal conditions. Short-haul routes could be electrified even under the most challenging conditions, while regional routes might require some planification adjustments to reach 100% route electrification in tough conditions. On-route charging would be necessary to achieve full fleet electrification. In tough conditions, sprinter vans met 49% (85% with charging) of the analyzed routes, while trucks met 83% (90% with charging). The outcomes of this research support several UN Sustainable Development Goals (3, 7, 8, 11, 12, 13), and could be used to develop specific measures within the Icelandic 2020 Climate Action Plan. The methodology used is feasibly replicable for teams who wish to perform a similar analysis in different contexts.","container-title":"Journal of Cleaner Production","DOI":"10.1016/j.jclepro.2023.137997","ISSN":"0959-6526","journalAbbreviation":"Journal of Cleaner Production","page":"137997","source":"ScienceDirect","title":"Electrification potential for heavy-duty vehicles in harsh climate conditions: A case study based technical feasibility assessment","title-short":"Electrification potential for heavy-duty vehicles in harsh climate conditions","volume":"417","author":[{"family":"Alonso-Villar","given":"Albert"},{"family":"Davíðsdóttir","given":"Brynhildur"},{"family":"Stefánsson","given":"Hlynur"},{"family":"Ásgeirsson","given":"Eyjólfur Ingi"},{"family":"Kristjánsson","given":"Ragnar"}],"issued":{"date-parts":[["2023",9,10]]}}},{"id":401,"uris":["http://zotero.org/users/2470470/items/8RZNHV5R"],"itemData":{"id":401,"type":"article-journal","abstract":"Because of the rising demand for CO2 emission limits and the high cost of fuel, the electrification of heavy-duty vehicles has become a hot topic. Manufacturers have tried a variety of designs to entice customers, but the outcomes vary depending on the application and availability of recharging. Without affecting vehicle range, plug-in hybrids provide a potential for the automobile industry to reach its CO2 reduction objectives. However, the actual CO2 emission reductions will largely rely on the energy source, user behavior, and vehicle design. This research compares a series plug-in hybrid medium-duty truck against two baselines: nonhybrid and pure electric commercial trucks. As well as evaluating and contrasting the different tools to quantify CO2 emissions, this manuscript offers fresh information on how to simulate various powertrain components used in electrified vehicles. According to the findings, plug-in hybrids with batteries larger than 50 kWh can reduce emissions by 30%, while still meeting the 2030 well-to-wheel CO2 regulations. The recommended battery size for plug-in hybrid is 100 kWh, and for electric vehicles it is 320 kWh. The range of a plug-in hybrid is 18% longer than that of nonhybrid, 6% longer than that of a full hybrid, and 76% longer than that of a pure electric powertrain with a fully charged battery.","container-title":"Energies","DOI":"10.3390/en16083565","ISSN":"1996-1073","issue":"8","language":"en","license":"http://creativecommons.org/licenses/by/3.0/","note":"publisher: Multidisciplinary Digital Publishing Institute","page":"3565","source":"www.mdpi.com","title":"High Degree of Electrification in Heavy-Duty Vehicles","volume":"16","author":[{"family":"Martinez-Boggio","given":"Santiago"},{"family":"Monsalve-Serrano","given":"Javier"},{"family":"García","given":"Antonio"},{"family":"Curto-Risso","given":"Pedro"}],"issued":{"date-parts":[["2023",1]]}}},{"id":403,"uris":["http://zotero.org/users/2470470/items/9PHAV7NF"],"itemData":{"id":403,"type":"article-journal","abstract":"Even though diesel-powered Heavy Goods Vehicles (HGVs) are major contributors of greenhouse gas emission, HGV electrification is still in its infancy owing to various challenges. Costlier and heavier batteries and lack of charging infrastructure along long routes are the major bottlenecks in the realisation of HGV electrification for long-haul freight transportation. In this regard, adopting technologies that can make HGV electrification viable is vital to aid the transportation sector decarbonisation. Benefiting from approaches such as the use of overhead catenary power, and conforming to operate in a platoon formation, it would be possible to considerably reduce the cost of HGV electrification and make it economically feasible. Utilising overhead catenary infrastructure would result in requiring economical charging infrastructure, shorter charging cycles, and smaller batteries, while not compromising on the overall payload of HGVs. HGVs in platoon formation result in energy consumption reduction and increased traffic throughput. This paper investigates the benefits of using overhead catenary-powered electric HGVs for freight transportation and also explores the advantages associated with electric HGV platoon formations on the same. The feasibility analysis has been done with the support of close to real physics-based electric HGV models on realistic operating scenarios adopting an in-service highway drive cycle. From the analysis, electric HGV platooning using overhead catenary as the power source was found to be economical with \\approx 10.4% reduction in electricity cost when compared to without platooning while devising electrification strategies for long-haul freight transportation.","container-title":"IEEE Access","DOI":"10.1109/ACCESS.2023.3257431","ISSN":"2169-3536","page":"26459-26470","source":"IEEE Xplore","title":"Sustainable Heavy Goods Vehicle Electrification Strategies for Long-Haul Road Freight Transportation","volume":"11","author":[{"family":"Rohith","given":"G."},{"family":"Devika","given":"K. B."},{"family":"Menon","given":"Prathyush P."},{"family":"Subramanian","given":"Shankar C."}],"issued":{"date-parts":[["2023"]]}}},{"id":405,"uris":["http://zotero.org/users/2470470/items/8FFPCRVC"],"itemData":{"id":405,"type":"article-journal","abstract":"Fuel cell and hydrogen energy technologies have been investigated by academia, industry, and government to reduce air pollution and mitigate global warming. The transition of heavy-duty trucks (HDTs) from diesel to hydrogen fuel cells (HFCs) could maintain the contribution of HDTs to freight transport at nearly zero carbon dioxide emission. This paper analyzes and discusses the opportunities and challenges of this transition and presents recommendations. The opportunities include the global need for HDTs with low emissions and a long driving range, the unique advantages of HFCs for future energy systems, the anticipated cost reduction of HFCs owing to economies of scale, and the excellent market potential of zero-emission trucks. The challenges include the high total usage cost, research and development barriers, and market share competition from other alternatives. Some recommendations are proposed: synergistic utilization of a battery and HFCs in the HDTs power system, an incremental transition pathway, and the construction of a hydrogen highway based on renewable electricity. This study attempts to provide techno-economic insights and direction for the transition of HDTs from diesel to HFCs.","container-title":"International Journal of Energy Research","DOI":"10.1002/er.8066","ISSN":"1099-114X","issue":"9","language":"en","license":"© 2022 John Wiley &amp; Sons Ltd.","note":"_eprint: https://onlinelibrary.wiley.com/doi/pdf/10.1002/er.8066","page":"11718-11729","source":"Wiley Online Library","title":"Transition of heavy-duty trucks from diesel to hydrogen fuel cells: Opportunities, challenges, and recommendations","title-short":"Transition of heavy-duty trucks from diesel to hydrogen fuel cells","volume":"46","author":[{"family":"Li","given":"Shunxi"},{"family":"Djilali","given":"Ned"},{"family":"Rosen","given":"Marc A."},{"family":"Crawford","given":"Curran"},{"family":"Sui","given":"Pang-Chieh"}],"issued":{"date-parts":[["2022"]]}}},{"id":407,"uris":["http://zotero.org/users/2470470/items/WLPEG3CK"],"itemData":{"id":407,"type":"article-journal","abstract":"The medium- and heavy-duty vehicle sectors are responsible for an outsized portion of greenhouse gas emissions and harmful particulate emissions. Decarbonizing this sector is challenging and extremely necessary. This paper provides an overview of the current and future state of electrifying this sector.","container-title":"Current Sustainable/Renewable Energy Reports","DOI":"10.1007/s40518-021-00187-3","ISSN":"2196-3010","issue":"3","journalAbbreviation":"Curr Sustainable Renewable Energy Rep","language":"en","page":"180-188","source":"Springer Link","title":"Electrification of Medium- and Heavy-Duty Ground Transportation: Status Report","title-short":"Electrification of Medium- and Heavy-Duty Ground Transportation","volume":"8","author":[{"family":"Fleming","given":"Kelly L."},{"family":"Brown","given":"Austin L."},{"family":"Fulton","given":"Lew"},{"family":"Miller","given":"Marshall"}],"issued":{"date-parts":[["2021",9,1]]}}},{"id":409,"uris":["http://zotero.org/users/2470470/items/CGBW2WDZ"],"itemData":{"id":409,"type":"report","abstract":"The objective of this assessment was to leverage current medium- and heavy-duty vehicle (MHDV) data and information to evaluate the state of commercial vehicle electrification technologies, including the following: 1. Assessment and inventory of current MHDV electrification architectures; 2. Identification and assessment of MHDV component technologies; 3. Assessment of potential performance and cost drivers; and, 4. Identification of R&amp;amp;D gaps where appropriate R&amp;amp;D and technology would accelerate commercial vehicle electrification. These gaps include shortfalls in technology, gaps in data, and inadequate knowledge and understanding. To inform this study, the National Renewable Energy Laboratory–Oak Ridge National Laboratory team examined the open literature; conducted workshops; assessed and analyzed data on more than 175 electrified MHDVs, including vehicle and powertrain specifications; and conducted one-on-one meetings with industry representatives. This systems-level information was concatenated and parsed with respect to key characteristics such as battery energy, power, and range compared across vehicle classes. Operational data of many conventional vehicles were also examined to help determine the requirements on electrified vehicle attributes such as range. Previous studies on the total cost of ownership of electrified MHDVs were reviewed to determine where improvements in technologies (efficiency, cost, maintenance) were needed to accelerate adoption. The team also assessed the state of the art in electric drivetrains for component specifications and challenges for the commercial vehicle sector, including electric machines, power electronics, and off-board high-power charging systems (extreme fast charging and beyond). The goal of this analysis was to identify the barriers to widespread adoption of commercial vehicle electrification technologies and prioritize the research and development gaps that need to be overcome to accelerate significant market penetration of these technologies.","language":"English","note":"DOI: 10.2172/1615213","number":"ORNL/SPR-2020/7","publisher":"Oak Ridge National Laboratory (ORNL), Oak Ridge, TN (United States)","source":"www.osti.gov","title":"Medium- and Heavy-Duty Vehicle Electrification: An Assessment of Technology and Knowledge Gaps","title-short":"Medium- and Heavy-Duty Vehicle Electrification","URL":"https://www.osti.gov/biblio/1615213","author":[{"family":"Smith","given":"David"},{"family":"Ozpineci","given":"Burak"},{"family":"Graves","given":"Ronald L."},{"family":"Jones","given":"P. T."},{"family":"Lustbader","given":"Jason"},{"family":"Kelly","given":"Kenneth"},{"family":"Walkowicz","given":"Kevin"},{"family":"Birky","given":"Alicia"},{"family":"Payne","given":"Grant"},{"family":"Sigler","given":"Cory"},{"family":"Mosbacher","given":"Jeff"}],"accessed":{"date-parts":[["2025",10,16]]},"issued":{"date-parts":[["2020",1,31]]}}}],"schema":"https://github.com/citation-style-language/schema/raw/master/csl-citation.json"} </w:instrText>
      </w:r>
      <w:r w:rsidR="000466A0">
        <w:rPr>
          <w:rFonts w:ascii="Times New Roman" w:eastAsia="Times New Roman" w:hAnsi="Times New Roman" w:cs="Times New Roman"/>
          <w:kern w:val="0"/>
          <w14:ligatures w14:val="none"/>
        </w:rPr>
        <w:fldChar w:fldCharType="separate"/>
      </w:r>
      <w:r w:rsidR="000466A0" w:rsidRPr="000466A0">
        <w:rPr>
          <w:rFonts w:ascii="Times New Roman" w:hAnsi="Times New Roman" w:cs="Times New Roman"/>
          <w:kern w:val="0"/>
          <w:vertAlign w:val="superscript"/>
        </w:rPr>
        <w:t>18–25</w:t>
      </w:r>
      <w:r w:rsidR="000466A0">
        <w:rPr>
          <w:rFonts w:ascii="Times New Roman" w:eastAsia="Times New Roman" w:hAnsi="Times New Roman" w:cs="Times New Roman"/>
          <w:kern w:val="0"/>
          <w14:ligatures w14:val="none"/>
        </w:rPr>
        <w:fldChar w:fldCharType="end"/>
      </w:r>
      <w:r w:rsidRPr="00841813">
        <w:rPr>
          <w:rFonts w:ascii="Times New Roman" w:eastAsia="Times New Roman" w:hAnsi="Times New Roman" w:cs="Times New Roman"/>
          <w:kern w:val="0"/>
          <w14:ligatures w14:val="none"/>
        </w:rPr>
        <w:t>. As a result, decarbonization strategies often prioritize LDVs first, with HDV transitions occurring more gradually or relying on alternative fuels such as hydrogen or renewable diesel.</w:t>
      </w:r>
    </w:p>
    <w:p w14:paraId="79B80EB5" w14:textId="129286B7" w:rsidR="00841813" w:rsidRPr="00841813" w:rsidRDefault="00841813" w:rsidP="00841813">
      <w:pPr>
        <w:spacing w:before="100" w:beforeAutospacing="1" w:after="100" w:afterAutospacing="1"/>
        <w:outlineLvl w:val="3"/>
        <w:rPr>
          <w:rFonts w:ascii="Times New Roman" w:eastAsia="Times New Roman" w:hAnsi="Times New Roman" w:cs="Times New Roman"/>
          <w:b/>
          <w:bCs/>
          <w:kern w:val="0"/>
          <w14:ligatures w14:val="none"/>
        </w:rPr>
      </w:pPr>
      <w:r w:rsidRPr="00841813">
        <w:rPr>
          <w:rFonts w:ascii="Times New Roman" w:eastAsia="Times New Roman" w:hAnsi="Times New Roman" w:cs="Times New Roman"/>
          <w:b/>
          <w:bCs/>
          <w:kern w:val="0"/>
          <w14:ligatures w14:val="none"/>
        </w:rPr>
        <w:t>2.2. Refinery Operations and Product Slate Inflexibility</w:t>
      </w:r>
    </w:p>
    <w:p w14:paraId="2A7BD3EA" w14:textId="0866C009" w:rsidR="00841813" w:rsidRPr="00841813" w:rsidRDefault="00906B70" w:rsidP="00906B70">
      <w:pPr>
        <w:spacing w:before="100" w:beforeAutospacing="1" w:after="100" w:afterAutospacing="1"/>
        <w:ind w:left="360"/>
        <w:rPr>
          <w:rFonts w:ascii="Times New Roman" w:eastAsia="Times New Roman" w:hAnsi="Times New Roman" w:cs="Times New Roman"/>
          <w:color w:val="00B0F0"/>
          <w:kern w:val="0"/>
          <w14:ligatures w14:val="none"/>
        </w:rPr>
      </w:pPr>
      <w:r>
        <w:rPr>
          <w:rFonts w:ascii="Times New Roman" w:eastAsia="Times New Roman" w:hAnsi="Times New Roman" w:cs="Times New Roman"/>
          <w:color w:val="00B0F0"/>
          <w:kern w:val="0"/>
          <w14:ligatures w14:val="none"/>
        </w:rPr>
        <w:t>WIP</w:t>
      </w:r>
    </w:p>
    <w:p w14:paraId="1C80E5EA" w14:textId="77777777" w:rsidR="00841813" w:rsidRDefault="00841813" w:rsidP="0084181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41813">
        <w:rPr>
          <w:rFonts w:ascii="Times New Roman" w:eastAsia="Times New Roman" w:hAnsi="Times New Roman" w:cs="Times New Roman"/>
          <w:b/>
          <w:bCs/>
          <w:kern w:val="0"/>
          <w:sz w:val="27"/>
          <w:szCs w:val="27"/>
          <w14:ligatures w14:val="none"/>
        </w:rPr>
        <w:t>3. Methods</w:t>
      </w:r>
    </w:p>
    <w:p w14:paraId="459EE76C" w14:textId="77777777" w:rsidR="005D63E6" w:rsidRDefault="005D63E6" w:rsidP="005D63E6">
      <w:pPr>
        <w:pStyle w:val="NormalWeb"/>
      </w:pPr>
      <w:r>
        <w:t xml:space="preserve">This study employs the </w:t>
      </w:r>
      <w:r w:rsidRPr="005D63E6">
        <w:rPr>
          <w:rStyle w:val="Strong"/>
          <w:b w:val="0"/>
          <w:bCs w:val="0"/>
        </w:rPr>
        <w:t>Canadian Open Energy Outlook (CANOE)</w:t>
      </w:r>
      <w:r>
        <w:t xml:space="preserve"> model, an open-source, long-term energy systems optimization framework developed for Canada and based on the </w:t>
      </w:r>
      <w:r w:rsidRPr="005D63E6">
        <w:rPr>
          <w:rStyle w:val="Strong"/>
          <w:b w:val="0"/>
          <w:bCs w:val="0"/>
        </w:rPr>
        <w:t>Tools for Energy Model Optimization and Analysis (</w:t>
      </w:r>
      <w:proofErr w:type="spellStart"/>
      <w:r w:rsidRPr="005D63E6">
        <w:rPr>
          <w:rStyle w:val="Strong"/>
          <w:b w:val="0"/>
          <w:bCs w:val="0"/>
        </w:rPr>
        <w:t>Temoa</w:t>
      </w:r>
      <w:proofErr w:type="spellEnd"/>
      <w:r w:rsidRPr="005D63E6">
        <w:rPr>
          <w:rStyle w:val="Strong"/>
          <w:b w:val="0"/>
          <w:bCs w:val="0"/>
        </w:rPr>
        <w:t>)</w:t>
      </w:r>
      <w:r>
        <w:t xml:space="preserve"> platform. CANOE provides a technology-rich representation of Canada’s energy system, allowing for the detailed assessment of policy, technology, and demand-side scenarios that influence national decarbonization pathways. The model operates on a least-cost optimization framework, minimizing total system costs while satisfying energy service demands, resource constraints, and technology performance limits.</w:t>
      </w:r>
    </w:p>
    <w:p w14:paraId="15D33F00" w14:textId="1E4FD06B" w:rsidR="005D63E6" w:rsidRDefault="005D63E6" w:rsidP="005D63E6">
      <w:pPr>
        <w:pStyle w:val="NormalWeb"/>
      </w:pPr>
      <w:r>
        <w:t xml:space="preserve">Within CANOE, the </w:t>
      </w:r>
      <w:r w:rsidRPr="005D63E6">
        <w:rPr>
          <w:rStyle w:val="Strong"/>
          <w:b w:val="0"/>
          <w:bCs w:val="0"/>
        </w:rPr>
        <w:t>petroleum refining sector</w:t>
      </w:r>
      <w:r>
        <w:t xml:space="preserve"> was represented as a set of transformation technologies converting </w:t>
      </w:r>
      <w:r w:rsidRPr="005D63E6">
        <w:rPr>
          <w:rStyle w:val="Strong"/>
          <w:b w:val="0"/>
          <w:bCs w:val="0"/>
        </w:rPr>
        <w:t>crude oil and auxiliary energy inputs</w:t>
      </w:r>
      <w:r>
        <w:t xml:space="preserve">, </w:t>
      </w:r>
      <w:r>
        <w:t>such as electricity and natural gas</w:t>
      </w:r>
      <w:r>
        <w:t xml:space="preserve">, </w:t>
      </w:r>
      <w:r>
        <w:t xml:space="preserve">into </w:t>
      </w:r>
      <w:r w:rsidRPr="005D63E6">
        <w:rPr>
          <w:rStyle w:val="Strong"/>
          <w:b w:val="0"/>
          <w:bCs w:val="0"/>
        </w:rPr>
        <w:t>refined petroleum products</w:t>
      </w:r>
      <w:r>
        <w:t>, including gasoline, diesel, jet fuel, and other derivatives. This approach enables a direct link between upstream crude oil supply, refining activities, and downstream fuel consumption within the broader energy system.</w:t>
      </w:r>
      <w:r w:rsidR="00857D2E">
        <w:t xml:space="preserve"> </w:t>
      </w:r>
      <w:r>
        <w:t>The</w:t>
      </w:r>
      <w:r>
        <w:t xml:space="preserve"> </w:t>
      </w:r>
      <w:r w:rsidRPr="005D63E6">
        <w:rPr>
          <w:rStyle w:val="Strong"/>
          <w:b w:val="0"/>
          <w:bCs w:val="0"/>
        </w:rPr>
        <w:t>product mix ratios</w:t>
      </w:r>
      <w:r>
        <w:t xml:space="preserve"> for </w:t>
      </w:r>
      <w:r>
        <w:t>(?)</w:t>
      </w:r>
      <w:r>
        <w:t>each</w:t>
      </w:r>
      <w:r>
        <w:t>(?)</w:t>
      </w:r>
      <w:r>
        <w:t xml:space="preserve"> province were </w:t>
      </w:r>
      <w:r w:rsidRPr="005D63E6">
        <w:rPr>
          <w:rStyle w:val="Strong"/>
          <w:b w:val="0"/>
          <w:bCs w:val="0"/>
        </w:rPr>
        <w:t>fixed according to current regional fuel demand patterns</w:t>
      </w:r>
      <w:r>
        <w:t>, capturing the existing distribution of refined product outputs.</w:t>
      </w:r>
    </w:p>
    <w:p w14:paraId="6424AEC0" w14:textId="25643933" w:rsidR="005D63E6" w:rsidRDefault="005D63E6" w:rsidP="005D63E6">
      <w:pPr>
        <w:pStyle w:val="NormalWeb"/>
      </w:pPr>
      <w:r>
        <w:t xml:space="preserve">Two scenarios were developed to explore the effects of flexibility in fuel supply representation. In the </w:t>
      </w:r>
      <w:r w:rsidRPr="00857D2E">
        <w:rPr>
          <w:rStyle w:val="Strong"/>
          <w:b w:val="0"/>
          <w:bCs w:val="0"/>
        </w:rPr>
        <w:t>completely flexible scenario</w:t>
      </w:r>
      <w:r>
        <w:t>, refined petroleum products were model</w:t>
      </w:r>
      <w:r w:rsidR="00857D2E">
        <w:t>l</w:t>
      </w:r>
      <w:r>
        <w:t xml:space="preserve">ed as </w:t>
      </w:r>
      <w:r w:rsidRPr="00857D2E">
        <w:rPr>
          <w:rStyle w:val="Strong"/>
          <w:b w:val="0"/>
          <w:bCs w:val="0"/>
        </w:rPr>
        <w:t>exogenously supplied commodities</w:t>
      </w:r>
      <w:r>
        <w:t>, imported into the system as needed to satisfy provincial fuel demands. This setup assumes full flexibility in the supply chain, where the model determines the least-cost pathway for meeting national energy service requirements without internal refinery constraints.</w:t>
      </w:r>
    </w:p>
    <w:p w14:paraId="6E50EE17" w14:textId="5ADF4436" w:rsidR="005D63E6" w:rsidRDefault="00857D2E" w:rsidP="005D63E6">
      <w:pPr>
        <w:pStyle w:val="NormalWeb"/>
      </w:pPr>
      <w:r>
        <w:t>On the other hand</w:t>
      </w:r>
      <w:r w:rsidR="005D63E6">
        <w:t xml:space="preserve">, the </w:t>
      </w:r>
      <w:r w:rsidR="005D63E6" w:rsidRPr="00857D2E">
        <w:rPr>
          <w:rStyle w:val="Strong"/>
          <w:b w:val="0"/>
          <w:bCs w:val="0"/>
        </w:rPr>
        <w:t>completely inflexible scenario</w:t>
      </w:r>
      <w:r w:rsidR="005D63E6" w:rsidRPr="00857D2E">
        <w:rPr>
          <w:b/>
          <w:bCs/>
        </w:rPr>
        <w:t xml:space="preserve"> </w:t>
      </w:r>
      <w:r w:rsidR="005D63E6" w:rsidRPr="00857D2E">
        <w:rPr>
          <w:rStyle w:val="Strong"/>
          <w:b w:val="0"/>
          <w:bCs w:val="0"/>
        </w:rPr>
        <w:t>endogenized domestic fuel production</w:t>
      </w:r>
      <w:r w:rsidR="005D63E6">
        <w:t xml:space="preserve">, incorporating the refinery technologies described earlier. Under this configuration, the model </w:t>
      </w:r>
      <w:r w:rsidR="005D63E6">
        <w:lastRenderedPageBreak/>
        <w:t>explicitly determined refinery operations and input requirements, linking domestic crude production and energy inputs to the generation of refined fuels.</w:t>
      </w:r>
    </w:p>
    <w:p w14:paraId="31CAC93D" w14:textId="77777777" w:rsidR="005D63E6" w:rsidRDefault="005D63E6" w:rsidP="005D63E6">
      <w:pPr>
        <w:pStyle w:val="NormalWeb"/>
      </w:pPr>
      <w:r>
        <w:t xml:space="preserve">Comparative analyses between these two configurations were then conducted to assess their impacts on </w:t>
      </w:r>
      <w:r w:rsidRPr="00857D2E">
        <w:rPr>
          <w:rStyle w:val="Strong"/>
          <w:b w:val="0"/>
          <w:bCs w:val="0"/>
        </w:rPr>
        <w:t>greenhouse gas (GHG) emissions</w:t>
      </w:r>
      <w:r w:rsidRPr="00857D2E">
        <w:rPr>
          <w:b/>
          <w:bCs/>
        </w:rPr>
        <w:t xml:space="preserve">, </w:t>
      </w:r>
      <w:r w:rsidRPr="00857D2E">
        <w:rPr>
          <w:rStyle w:val="Strong"/>
          <w:b w:val="0"/>
          <w:bCs w:val="0"/>
        </w:rPr>
        <w:t>fuel consumption patterns</w:t>
      </w:r>
      <w:r w:rsidRPr="00857D2E">
        <w:rPr>
          <w:b/>
          <w:bCs/>
        </w:rPr>
        <w:t xml:space="preserve">, </w:t>
      </w:r>
      <w:r w:rsidRPr="00857D2E">
        <w:rPr>
          <w:rStyle w:val="Strong"/>
          <w:b w:val="0"/>
          <w:bCs w:val="0"/>
        </w:rPr>
        <w:t>electricity generation requirements</w:t>
      </w:r>
      <w:r w:rsidRPr="00857D2E">
        <w:rPr>
          <w:b/>
          <w:bCs/>
        </w:rPr>
        <w:t xml:space="preserve">, </w:t>
      </w:r>
      <w:r w:rsidRPr="00857D2E">
        <w:t>and</w:t>
      </w:r>
      <w:r w:rsidRPr="00857D2E">
        <w:rPr>
          <w:b/>
          <w:bCs/>
        </w:rPr>
        <w:t xml:space="preserve"> </w:t>
      </w:r>
      <w:r w:rsidRPr="00857D2E">
        <w:rPr>
          <w:rStyle w:val="Strong"/>
          <w:b w:val="0"/>
          <w:bCs w:val="0"/>
        </w:rPr>
        <w:t>vehicle technology adoption</w:t>
      </w:r>
      <w:r w:rsidRPr="00857D2E">
        <w:rPr>
          <w:b/>
          <w:bCs/>
        </w:rPr>
        <w:t xml:space="preserve"> </w:t>
      </w:r>
      <w:r>
        <w:t>across Canada. By contrasting the flexible and inflexible system representations, this study quantifies how the structure of domestic refining and fuel supply pathways influences Canada’s decarbonization strategies and associated system-level outcomes.</w:t>
      </w:r>
    </w:p>
    <w:p w14:paraId="46553771" w14:textId="61BAFC62" w:rsidR="00906B70" w:rsidRPr="00841813" w:rsidRDefault="00906B70" w:rsidP="0084181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06B70">
        <w:rPr>
          <w:rFonts w:ascii="Times New Roman" w:eastAsia="Times New Roman" w:hAnsi="Times New Roman" w:cs="Times New Roman"/>
          <w:b/>
          <w:bCs/>
          <w:kern w:val="0"/>
          <w:sz w:val="27"/>
          <w:szCs w:val="27"/>
          <w14:ligatures w14:val="none"/>
        </w:rPr>
        <w:drawing>
          <wp:inline distT="0" distB="0" distL="0" distR="0" wp14:anchorId="5D712C38" wp14:editId="563081D2">
            <wp:extent cx="3639702" cy="2840990"/>
            <wp:effectExtent l="0" t="0" r="5715" b="3810"/>
            <wp:docPr id="1181952752" name="Picture 1" descr="A diagram of distribution of goo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52752" name="Picture 1" descr="A diagram of distribution of goods&#10;&#10;AI-generated content may be incorrect."/>
                    <pic:cNvPicPr/>
                  </pic:nvPicPr>
                  <pic:blipFill>
                    <a:blip r:embed="rId6"/>
                    <a:stretch>
                      <a:fillRect/>
                    </a:stretch>
                  </pic:blipFill>
                  <pic:spPr>
                    <a:xfrm>
                      <a:off x="0" y="0"/>
                      <a:ext cx="3648320" cy="2847717"/>
                    </a:xfrm>
                    <a:prstGeom prst="rect">
                      <a:avLst/>
                    </a:prstGeom>
                  </pic:spPr>
                </pic:pic>
              </a:graphicData>
            </a:graphic>
          </wp:inline>
        </w:drawing>
      </w:r>
    </w:p>
    <w:p w14:paraId="039FAB6D" w14:textId="67403747" w:rsidR="00841813" w:rsidRDefault="00906B70" w:rsidP="00841813">
      <w:pPr>
        <w:spacing w:before="100" w:beforeAutospacing="1" w:after="100" w:afterAutospacing="1"/>
        <w:rPr>
          <w:rFonts w:ascii="Times New Roman" w:eastAsia="Times New Roman" w:hAnsi="Times New Roman" w:cs="Times New Roman"/>
          <w:kern w:val="0"/>
          <w14:ligatures w14:val="none"/>
        </w:rPr>
      </w:pPr>
      <w:r w:rsidRPr="00906B70">
        <w:rPr>
          <w:rFonts w:ascii="Times New Roman" w:eastAsia="Times New Roman" w:hAnsi="Times New Roman" w:cs="Times New Roman"/>
          <w:kern w:val="0"/>
          <w14:ligatures w14:val="none"/>
        </w:rPr>
        <w:drawing>
          <wp:inline distT="0" distB="0" distL="0" distR="0" wp14:anchorId="6ACD2EB4" wp14:editId="3F1D015C">
            <wp:extent cx="2270986" cy="892139"/>
            <wp:effectExtent l="0" t="0" r="2540" b="0"/>
            <wp:docPr id="1347690653" name="Picture 1" descr="A diagram of a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90653" name="Picture 1" descr="A diagram of a distribution&#10;&#10;AI-generated content may be incorrect."/>
                    <pic:cNvPicPr/>
                  </pic:nvPicPr>
                  <pic:blipFill>
                    <a:blip r:embed="rId7"/>
                    <a:stretch>
                      <a:fillRect/>
                    </a:stretch>
                  </pic:blipFill>
                  <pic:spPr>
                    <a:xfrm>
                      <a:off x="0" y="0"/>
                      <a:ext cx="2296650" cy="902221"/>
                    </a:xfrm>
                    <a:prstGeom prst="rect">
                      <a:avLst/>
                    </a:prstGeom>
                  </pic:spPr>
                </pic:pic>
              </a:graphicData>
            </a:graphic>
          </wp:inline>
        </w:drawing>
      </w:r>
      <w:r w:rsidRPr="00906B70">
        <w:rPr>
          <w:rFonts w:ascii="Times New Roman" w:eastAsia="Times New Roman" w:hAnsi="Times New Roman" w:cs="Times New Roman"/>
          <w:kern w:val="0"/>
          <w14:ligatures w14:val="none"/>
        </w:rPr>
        <w:drawing>
          <wp:inline distT="0" distB="0" distL="0" distR="0" wp14:anchorId="25959841" wp14:editId="6EB4C71E">
            <wp:extent cx="2650976" cy="957580"/>
            <wp:effectExtent l="0" t="0" r="3810" b="0"/>
            <wp:docPr id="1511566959" name="Picture 1" descr="A diagram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66959" name="Picture 1" descr="A diagram of a number of objects&#10;&#10;AI-generated content may be incorrect."/>
                    <pic:cNvPicPr/>
                  </pic:nvPicPr>
                  <pic:blipFill>
                    <a:blip r:embed="rId8"/>
                    <a:stretch>
                      <a:fillRect/>
                    </a:stretch>
                  </pic:blipFill>
                  <pic:spPr>
                    <a:xfrm>
                      <a:off x="0" y="0"/>
                      <a:ext cx="2724472" cy="984128"/>
                    </a:xfrm>
                    <a:prstGeom prst="rect">
                      <a:avLst/>
                    </a:prstGeom>
                  </pic:spPr>
                </pic:pic>
              </a:graphicData>
            </a:graphic>
          </wp:inline>
        </w:drawing>
      </w:r>
    </w:p>
    <w:p w14:paraId="61D41624" w14:textId="77777777" w:rsidR="00906B70" w:rsidRDefault="00906B70" w:rsidP="00841813">
      <w:pPr>
        <w:spacing w:before="100" w:beforeAutospacing="1" w:after="100" w:afterAutospacing="1"/>
        <w:rPr>
          <w:rFonts w:ascii="Times New Roman" w:eastAsia="Times New Roman" w:hAnsi="Times New Roman" w:cs="Times New Roman"/>
          <w:kern w:val="0"/>
          <w14:ligatures w14:val="none"/>
        </w:rPr>
      </w:pPr>
    </w:p>
    <w:p w14:paraId="2F534AC2" w14:textId="77777777" w:rsidR="00906B70" w:rsidRDefault="00906B70" w:rsidP="00841813">
      <w:pPr>
        <w:spacing w:before="100" w:beforeAutospacing="1" w:after="100" w:afterAutospacing="1"/>
        <w:rPr>
          <w:rFonts w:ascii="Times New Roman" w:eastAsia="Times New Roman" w:hAnsi="Times New Roman" w:cs="Times New Roman"/>
          <w:kern w:val="0"/>
          <w14:ligatures w14:val="none"/>
        </w:rPr>
      </w:pPr>
    </w:p>
    <w:p w14:paraId="75B35EED" w14:textId="77777777" w:rsidR="00906B70" w:rsidRDefault="00906B70" w:rsidP="00841813">
      <w:pPr>
        <w:spacing w:before="100" w:beforeAutospacing="1" w:after="100" w:afterAutospacing="1"/>
        <w:rPr>
          <w:rFonts w:ascii="Times New Roman" w:eastAsia="Times New Roman" w:hAnsi="Times New Roman" w:cs="Times New Roman"/>
          <w:kern w:val="0"/>
          <w14:ligatures w14:val="none"/>
        </w:rPr>
      </w:pPr>
    </w:p>
    <w:p w14:paraId="13B20031" w14:textId="7CAB30B6" w:rsidR="00841813" w:rsidRPr="00841813" w:rsidRDefault="00841813" w:rsidP="0084181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41813">
        <w:rPr>
          <w:rFonts w:ascii="Times New Roman" w:eastAsia="Times New Roman" w:hAnsi="Times New Roman" w:cs="Times New Roman"/>
          <w:b/>
          <w:bCs/>
          <w:kern w:val="0"/>
          <w:sz w:val="27"/>
          <w:szCs w:val="27"/>
          <w14:ligatures w14:val="none"/>
        </w:rPr>
        <w:t>4. Results</w:t>
      </w:r>
      <w:r w:rsidR="00906B70">
        <w:rPr>
          <w:rFonts w:ascii="Times New Roman" w:eastAsia="Times New Roman" w:hAnsi="Times New Roman" w:cs="Times New Roman"/>
          <w:b/>
          <w:bCs/>
          <w:kern w:val="0"/>
          <w:sz w:val="27"/>
          <w:szCs w:val="27"/>
          <w14:ligatures w14:val="none"/>
        </w:rPr>
        <w:t xml:space="preserve"> &amp; Discussion</w:t>
      </w:r>
    </w:p>
    <w:p w14:paraId="255A96DD" w14:textId="62950082" w:rsidR="00906B70" w:rsidRDefault="00906B70" w:rsidP="00841813">
      <w:pPr>
        <w:spacing w:before="100" w:beforeAutospacing="1" w:after="100" w:afterAutospacing="1"/>
        <w:outlineLvl w:val="2"/>
        <w:rPr>
          <w:rFonts w:ascii="Times New Roman" w:eastAsia="Times New Roman" w:hAnsi="Times New Roman" w:cs="Times New Roman"/>
          <w:i/>
          <w:iCs/>
          <w:color w:val="00B0F0"/>
          <w:kern w:val="0"/>
          <w14:ligatures w14:val="none"/>
        </w:rPr>
      </w:pPr>
      <w:r w:rsidRPr="00906B70">
        <w:rPr>
          <w:rFonts w:ascii="Times New Roman" w:eastAsia="Times New Roman" w:hAnsi="Times New Roman" w:cs="Times New Roman"/>
          <w:i/>
          <w:iCs/>
          <w:color w:val="00B0F0"/>
          <w:kern w:val="0"/>
          <w14:ligatures w14:val="none"/>
        </w:rPr>
        <w:lastRenderedPageBreak/>
        <w:drawing>
          <wp:inline distT="0" distB="0" distL="0" distR="0" wp14:anchorId="291F38F3" wp14:editId="20DB22AD">
            <wp:extent cx="2170766" cy="2077071"/>
            <wp:effectExtent l="0" t="0" r="1270" b="6350"/>
            <wp:docPr id="420272634" name="Picture 1" descr="A graph of a graph with blue and blac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72634" name="Picture 1" descr="A graph of a graph with blue and black bars&#10;&#10;AI-generated content may be incorrect."/>
                    <pic:cNvPicPr/>
                  </pic:nvPicPr>
                  <pic:blipFill>
                    <a:blip r:embed="rId9"/>
                    <a:stretch>
                      <a:fillRect/>
                    </a:stretch>
                  </pic:blipFill>
                  <pic:spPr>
                    <a:xfrm>
                      <a:off x="0" y="0"/>
                      <a:ext cx="2202211" cy="2107159"/>
                    </a:xfrm>
                    <a:prstGeom prst="rect">
                      <a:avLst/>
                    </a:prstGeom>
                  </pic:spPr>
                </pic:pic>
              </a:graphicData>
            </a:graphic>
          </wp:inline>
        </w:drawing>
      </w:r>
      <w:r w:rsidRPr="00906B70">
        <w:rPr>
          <w:rFonts w:ascii="Times New Roman" w:eastAsia="Times New Roman" w:hAnsi="Times New Roman" w:cs="Times New Roman"/>
          <w:i/>
          <w:iCs/>
          <w:color w:val="00B0F0"/>
          <w:kern w:val="0"/>
          <w14:ligatures w14:val="none"/>
        </w:rPr>
        <w:drawing>
          <wp:inline distT="0" distB="0" distL="0" distR="0" wp14:anchorId="094170DE" wp14:editId="224B2A1B">
            <wp:extent cx="2218163" cy="2141855"/>
            <wp:effectExtent l="0" t="0" r="4445" b="4445"/>
            <wp:docPr id="268510869" name="Picture 1" descr="A graph of fuel consum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10869" name="Picture 1" descr="A graph of fuel consumption&#10;&#10;AI-generated content may be incorrect."/>
                    <pic:cNvPicPr/>
                  </pic:nvPicPr>
                  <pic:blipFill>
                    <a:blip r:embed="rId10"/>
                    <a:stretch>
                      <a:fillRect/>
                    </a:stretch>
                  </pic:blipFill>
                  <pic:spPr>
                    <a:xfrm>
                      <a:off x="0" y="0"/>
                      <a:ext cx="2260301" cy="2182543"/>
                    </a:xfrm>
                    <a:prstGeom prst="rect">
                      <a:avLst/>
                    </a:prstGeom>
                  </pic:spPr>
                </pic:pic>
              </a:graphicData>
            </a:graphic>
          </wp:inline>
        </w:drawing>
      </w:r>
    </w:p>
    <w:p w14:paraId="01719256" w14:textId="25D6453D" w:rsidR="00906B70" w:rsidRPr="00841813" w:rsidRDefault="00906B70" w:rsidP="00906B70">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5</w:t>
      </w:r>
      <w:r w:rsidRPr="00841813">
        <w:rPr>
          <w:rFonts w:ascii="Times New Roman" w:eastAsia="Times New Roman" w:hAnsi="Times New Roman" w:cs="Times New Roman"/>
          <w:b/>
          <w:bCs/>
          <w:kern w:val="0"/>
          <w:sz w:val="27"/>
          <w:szCs w:val="27"/>
          <w14:ligatures w14:val="none"/>
        </w:rPr>
        <w:t>. Results</w:t>
      </w:r>
      <w:r>
        <w:rPr>
          <w:rFonts w:ascii="Times New Roman" w:eastAsia="Times New Roman" w:hAnsi="Times New Roman" w:cs="Times New Roman"/>
          <w:b/>
          <w:bCs/>
          <w:kern w:val="0"/>
          <w:sz w:val="27"/>
          <w:szCs w:val="27"/>
          <w14:ligatures w14:val="none"/>
        </w:rPr>
        <w:t xml:space="preserve"> &amp; Discussion</w:t>
      </w:r>
    </w:p>
    <w:p w14:paraId="065E0A99" w14:textId="77777777" w:rsidR="00906B70" w:rsidRPr="00841813" w:rsidRDefault="00906B70" w:rsidP="00906B70">
      <w:pPr>
        <w:spacing w:before="100" w:beforeAutospacing="1" w:after="100" w:afterAutospacing="1"/>
        <w:ind w:left="360"/>
        <w:rPr>
          <w:rFonts w:ascii="Times New Roman" w:eastAsia="Times New Roman" w:hAnsi="Times New Roman" w:cs="Times New Roman"/>
          <w:color w:val="00B0F0"/>
          <w:kern w:val="0"/>
          <w14:ligatures w14:val="none"/>
        </w:rPr>
      </w:pPr>
      <w:r>
        <w:rPr>
          <w:rFonts w:ascii="Times New Roman" w:eastAsia="Times New Roman" w:hAnsi="Times New Roman" w:cs="Times New Roman"/>
          <w:color w:val="00B0F0"/>
          <w:kern w:val="0"/>
          <w14:ligatures w14:val="none"/>
        </w:rPr>
        <w:t>WIP</w:t>
      </w:r>
    </w:p>
    <w:p w14:paraId="0ACC9D8B" w14:textId="509762CB" w:rsidR="00841813" w:rsidRPr="0045071C" w:rsidRDefault="0045071C" w:rsidP="0045071C">
      <w:pPr>
        <w:spacing w:before="100" w:beforeAutospacing="1" w:after="100" w:afterAutospacing="1"/>
        <w:rPr>
          <w:rFonts w:ascii="Times New Roman" w:eastAsia="Times New Roman" w:hAnsi="Times New Roman" w:cs="Times New Roman"/>
          <w:kern w:val="0"/>
          <w14:ligatures w14:val="none"/>
        </w:rPr>
      </w:pPr>
      <w:r w:rsidRPr="0045071C">
        <w:rPr>
          <w:rFonts w:ascii="Times New Roman" w:eastAsia="Times New Roman" w:hAnsi="Times New Roman" w:cs="Times New Roman"/>
          <w:b/>
          <w:bCs/>
          <w:kern w:val="0"/>
          <w:sz w:val="27"/>
          <w:szCs w:val="27"/>
          <w14:ligatures w14:val="none"/>
        </w:rPr>
        <w:t>References:</w:t>
      </w:r>
    </w:p>
    <w:p w14:paraId="5966E927" w14:textId="77777777" w:rsidR="000466A0" w:rsidRPr="000466A0" w:rsidRDefault="0045071C" w:rsidP="000466A0">
      <w:pPr>
        <w:pStyle w:val="Bibliography"/>
        <w:rPr>
          <w:rFonts w:ascii="Aptos"/>
        </w:rPr>
      </w:pPr>
      <w:r>
        <w:fldChar w:fldCharType="begin"/>
      </w:r>
      <w:r>
        <w:instrText xml:space="preserve"> ADDIN ZOTERO_BIBL {"uncited":[],"omitted":[],"custom":[]} CSL_BIBLIOGRAPHY </w:instrText>
      </w:r>
      <w:r>
        <w:fldChar w:fldCharType="separate"/>
      </w:r>
      <w:r w:rsidR="000466A0" w:rsidRPr="000466A0">
        <w:rPr>
          <w:rFonts w:ascii="Aptos"/>
        </w:rPr>
        <w:t>1.</w:t>
      </w:r>
      <w:r w:rsidR="000466A0" w:rsidRPr="000466A0">
        <w:rPr>
          <w:rFonts w:ascii="Aptos"/>
        </w:rPr>
        <w:tab/>
        <w:t xml:space="preserve">Clinton, B. C., Knittel, C. R. &amp; Metaxoglou, K. Electrifying Transportation: Issues and Opportunities. </w:t>
      </w:r>
      <w:r w:rsidR="000466A0" w:rsidRPr="000466A0">
        <w:rPr>
          <w:rFonts w:ascii="Aptos"/>
          <w:i/>
          <w:iCs/>
        </w:rPr>
        <w:t>MIT Cent. Energy Environ. Policy Res.</w:t>
      </w:r>
      <w:r w:rsidR="000466A0" w:rsidRPr="000466A0">
        <w:rPr>
          <w:rFonts w:ascii="Aptos"/>
        </w:rPr>
        <w:t xml:space="preserve"> (2020).</w:t>
      </w:r>
    </w:p>
    <w:p w14:paraId="5C0B71AE" w14:textId="77777777" w:rsidR="000466A0" w:rsidRPr="000466A0" w:rsidRDefault="000466A0" w:rsidP="000466A0">
      <w:pPr>
        <w:pStyle w:val="Bibliography"/>
        <w:rPr>
          <w:rFonts w:ascii="Aptos"/>
        </w:rPr>
      </w:pPr>
      <w:r w:rsidRPr="000466A0">
        <w:rPr>
          <w:rFonts w:ascii="Aptos"/>
        </w:rPr>
        <w:t>2.</w:t>
      </w:r>
      <w:r w:rsidRPr="000466A0">
        <w:rPr>
          <w:rFonts w:ascii="Aptos"/>
        </w:rPr>
        <w:tab/>
        <w:t xml:space="preserve">Global EV Outlook 2023 – Analysis. </w:t>
      </w:r>
      <w:r w:rsidRPr="000466A0">
        <w:rPr>
          <w:rFonts w:ascii="Aptos"/>
          <w:i/>
          <w:iCs/>
        </w:rPr>
        <w:t>IEA</w:t>
      </w:r>
      <w:r w:rsidRPr="000466A0">
        <w:rPr>
          <w:rFonts w:ascii="Aptos"/>
        </w:rPr>
        <w:t xml:space="preserve"> https://www.iea.org/reports/global-ev-outlook-2023 (2023).</w:t>
      </w:r>
    </w:p>
    <w:p w14:paraId="3E150B5C" w14:textId="77777777" w:rsidR="000466A0" w:rsidRPr="000466A0" w:rsidRDefault="000466A0" w:rsidP="000466A0">
      <w:pPr>
        <w:pStyle w:val="Bibliography"/>
        <w:rPr>
          <w:rFonts w:ascii="Aptos"/>
        </w:rPr>
      </w:pPr>
      <w:r w:rsidRPr="000466A0">
        <w:rPr>
          <w:rFonts w:ascii="Aptos"/>
        </w:rPr>
        <w:t>3.</w:t>
      </w:r>
      <w:r w:rsidRPr="000466A0">
        <w:rPr>
          <w:rFonts w:ascii="Aptos"/>
        </w:rPr>
        <w:tab/>
        <w:t xml:space="preserve">Outlook for emissions reductions – Global EV Outlook 2024 – Analysis. </w:t>
      </w:r>
      <w:r w:rsidRPr="000466A0">
        <w:rPr>
          <w:rFonts w:ascii="Aptos"/>
          <w:i/>
          <w:iCs/>
        </w:rPr>
        <w:t>IEA</w:t>
      </w:r>
      <w:r w:rsidRPr="000466A0">
        <w:rPr>
          <w:rFonts w:ascii="Aptos"/>
        </w:rPr>
        <w:t xml:space="preserve"> https://www.iea.org/reports/global-ev-outlook-2024/outlook-for-emissions-reductions.</w:t>
      </w:r>
    </w:p>
    <w:p w14:paraId="48619885" w14:textId="77777777" w:rsidR="000466A0" w:rsidRPr="000466A0" w:rsidRDefault="000466A0" w:rsidP="000466A0">
      <w:pPr>
        <w:pStyle w:val="Bibliography"/>
        <w:rPr>
          <w:rFonts w:ascii="Aptos"/>
        </w:rPr>
      </w:pPr>
      <w:r w:rsidRPr="000466A0">
        <w:rPr>
          <w:rFonts w:ascii="Aptos"/>
        </w:rPr>
        <w:t>4.</w:t>
      </w:r>
      <w:r w:rsidRPr="000466A0">
        <w:rPr>
          <w:rFonts w:ascii="Aptos"/>
        </w:rPr>
        <w:tab/>
        <w:t xml:space="preserve">Kaiser, M. J., de Klerk, A., Gary, J. H. &amp; Handwerk, G. E. </w:t>
      </w:r>
      <w:r w:rsidRPr="000466A0">
        <w:rPr>
          <w:rFonts w:ascii="Aptos"/>
          <w:i/>
          <w:iCs/>
        </w:rPr>
        <w:t>Petroleum Refining: Technology, Economics, and Markets</w:t>
      </w:r>
      <w:r w:rsidRPr="000466A0">
        <w:rPr>
          <w:rFonts w:ascii="Aptos"/>
        </w:rPr>
        <w:t>. (CRC Press, 2019).</w:t>
      </w:r>
    </w:p>
    <w:p w14:paraId="632506D2" w14:textId="77777777" w:rsidR="000466A0" w:rsidRPr="000466A0" w:rsidRDefault="000466A0" w:rsidP="000466A0">
      <w:pPr>
        <w:pStyle w:val="Bibliography"/>
        <w:rPr>
          <w:rFonts w:ascii="Aptos"/>
        </w:rPr>
      </w:pPr>
      <w:r w:rsidRPr="000466A0">
        <w:rPr>
          <w:rFonts w:ascii="Aptos"/>
        </w:rPr>
        <w:t>5.</w:t>
      </w:r>
      <w:r w:rsidRPr="000466A0">
        <w:rPr>
          <w:rFonts w:ascii="Aptos"/>
        </w:rPr>
        <w:tab/>
        <w:t xml:space="preserve">Rhodes, E., Hoyle, A., McPherson, M. &amp; Craig, K. Understanding climate policy projections: A scoping review of energy-economy models in Canada. </w:t>
      </w:r>
      <w:r w:rsidRPr="000466A0">
        <w:rPr>
          <w:rFonts w:ascii="Aptos"/>
          <w:i/>
          <w:iCs/>
        </w:rPr>
        <w:t>Renew. Sustain. Energy Rev.</w:t>
      </w:r>
      <w:r w:rsidRPr="000466A0">
        <w:rPr>
          <w:rFonts w:ascii="Aptos"/>
        </w:rPr>
        <w:t xml:space="preserve"> </w:t>
      </w:r>
      <w:r w:rsidRPr="000466A0">
        <w:rPr>
          <w:rFonts w:ascii="Aptos"/>
          <w:b/>
          <w:bCs/>
        </w:rPr>
        <w:t>153</w:t>
      </w:r>
      <w:r w:rsidRPr="000466A0">
        <w:rPr>
          <w:rFonts w:ascii="Aptos"/>
        </w:rPr>
        <w:t>, 111739 (2022).</w:t>
      </w:r>
    </w:p>
    <w:p w14:paraId="1E83A4B2" w14:textId="77777777" w:rsidR="000466A0" w:rsidRPr="000466A0" w:rsidRDefault="000466A0" w:rsidP="000466A0">
      <w:pPr>
        <w:pStyle w:val="Bibliography"/>
        <w:rPr>
          <w:rFonts w:ascii="Aptos"/>
        </w:rPr>
      </w:pPr>
      <w:r w:rsidRPr="000466A0">
        <w:rPr>
          <w:rFonts w:ascii="Aptos"/>
        </w:rPr>
        <w:t>6.</w:t>
      </w:r>
      <w:r w:rsidRPr="000466A0">
        <w:rPr>
          <w:rFonts w:ascii="Aptos"/>
        </w:rPr>
        <w:tab/>
        <w:t xml:space="preserve">Bayani, R., Soofi, A. F., Waseem, M. &amp; Manshadi, S. D. Impact of Transportation Electrification on the Electricity Grid—A Review. </w:t>
      </w:r>
      <w:r w:rsidRPr="000466A0">
        <w:rPr>
          <w:rFonts w:ascii="Aptos"/>
          <w:i/>
          <w:iCs/>
        </w:rPr>
        <w:t>Vehicles</w:t>
      </w:r>
      <w:r w:rsidRPr="000466A0">
        <w:rPr>
          <w:rFonts w:ascii="Aptos"/>
        </w:rPr>
        <w:t xml:space="preserve"> </w:t>
      </w:r>
      <w:r w:rsidRPr="000466A0">
        <w:rPr>
          <w:rFonts w:ascii="Aptos"/>
          <w:b/>
          <w:bCs/>
        </w:rPr>
        <w:t>4</w:t>
      </w:r>
      <w:r w:rsidRPr="000466A0">
        <w:rPr>
          <w:rFonts w:ascii="Aptos"/>
        </w:rPr>
        <w:t>, 1042–1079 (2022).</w:t>
      </w:r>
    </w:p>
    <w:p w14:paraId="3B52048D" w14:textId="77777777" w:rsidR="000466A0" w:rsidRPr="000466A0" w:rsidRDefault="000466A0" w:rsidP="000466A0">
      <w:pPr>
        <w:pStyle w:val="Bibliography"/>
        <w:rPr>
          <w:rFonts w:ascii="Aptos"/>
        </w:rPr>
      </w:pPr>
      <w:r w:rsidRPr="000466A0">
        <w:rPr>
          <w:rFonts w:ascii="Aptos"/>
        </w:rPr>
        <w:lastRenderedPageBreak/>
        <w:t>7.</w:t>
      </w:r>
      <w:r w:rsidRPr="000466A0">
        <w:rPr>
          <w:rFonts w:ascii="Aptos"/>
        </w:rPr>
        <w:tab/>
        <w:t xml:space="preserve">Guo, Z., Sun, S., Wang, Y., Ni, J. &amp; Qian, X. Impact of New Energy Vehicle Development on China’s Crude Oil Imports: An Empirical Analysis. </w:t>
      </w:r>
      <w:r w:rsidRPr="000466A0">
        <w:rPr>
          <w:rFonts w:ascii="Aptos"/>
          <w:i/>
          <w:iCs/>
        </w:rPr>
        <w:t>World Electr. Veh. J.</w:t>
      </w:r>
      <w:r w:rsidRPr="000466A0">
        <w:rPr>
          <w:rFonts w:ascii="Aptos"/>
        </w:rPr>
        <w:t xml:space="preserve"> </w:t>
      </w:r>
      <w:r w:rsidRPr="000466A0">
        <w:rPr>
          <w:rFonts w:ascii="Aptos"/>
          <w:b/>
          <w:bCs/>
        </w:rPr>
        <w:t>14</w:t>
      </w:r>
      <w:r w:rsidRPr="000466A0">
        <w:rPr>
          <w:rFonts w:ascii="Aptos"/>
        </w:rPr>
        <w:t>, 46 (2023).</w:t>
      </w:r>
    </w:p>
    <w:p w14:paraId="54855E6D" w14:textId="77777777" w:rsidR="000466A0" w:rsidRPr="000466A0" w:rsidRDefault="000466A0" w:rsidP="000466A0">
      <w:pPr>
        <w:pStyle w:val="Bibliography"/>
        <w:rPr>
          <w:rFonts w:ascii="Aptos"/>
        </w:rPr>
      </w:pPr>
      <w:r w:rsidRPr="000466A0">
        <w:rPr>
          <w:rFonts w:ascii="Aptos"/>
        </w:rPr>
        <w:t>8.</w:t>
      </w:r>
      <w:r w:rsidRPr="000466A0">
        <w:rPr>
          <w:rFonts w:ascii="Aptos"/>
        </w:rPr>
        <w:tab/>
        <w:t xml:space="preserve">Alagoz, E. Electrifying the Transportation Sector: Implications for the Oil and Gas Industry. </w:t>
      </w:r>
      <w:r w:rsidRPr="000466A0">
        <w:rPr>
          <w:rFonts w:ascii="Aptos"/>
          <w:i/>
          <w:iCs/>
        </w:rPr>
        <w:t>Int. J. Energy Smart Grid</w:t>
      </w:r>
      <w:r w:rsidRPr="000466A0">
        <w:rPr>
          <w:rFonts w:ascii="Aptos"/>
        </w:rPr>
        <w:t xml:space="preserve"> </w:t>
      </w:r>
      <w:r w:rsidRPr="000466A0">
        <w:rPr>
          <w:rFonts w:ascii="Aptos"/>
          <w:b/>
          <w:bCs/>
        </w:rPr>
        <w:t>8</w:t>
      </w:r>
      <w:r w:rsidRPr="000466A0">
        <w:rPr>
          <w:rFonts w:ascii="Aptos"/>
        </w:rPr>
        <w:t>, 25–35 (2023).</w:t>
      </w:r>
    </w:p>
    <w:p w14:paraId="1B846732" w14:textId="77777777" w:rsidR="000466A0" w:rsidRPr="000466A0" w:rsidRDefault="000466A0" w:rsidP="000466A0">
      <w:pPr>
        <w:pStyle w:val="Bibliography"/>
        <w:rPr>
          <w:rFonts w:ascii="Aptos"/>
        </w:rPr>
      </w:pPr>
      <w:r w:rsidRPr="000466A0">
        <w:rPr>
          <w:rFonts w:ascii="Aptos"/>
        </w:rPr>
        <w:t>9.</w:t>
      </w:r>
      <w:r w:rsidRPr="000466A0">
        <w:rPr>
          <w:rFonts w:ascii="Aptos"/>
        </w:rPr>
        <w:tab/>
        <w:t xml:space="preserve">Tamba, M. </w:t>
      </w:r>
      <w:r w:rsidRPr="000466A0">
        <w:rPr>
          <w:rFonts w:ascii="Aptos"/>
          <w:i/>
          <w:iCs/>
        </w:rPr>
        <w:t>et al.</w:t>
      </w:r>
      <w:r w:rsidRPr="000466A0">
        <w:rPr>
          <w:rFonts w:ascii="Aptos"/>
        </w:rPr>
        <w:t xml:space="preserve"> Economy-wide impacts of road transport electrification in the EU. </w:t>
      </w:r>
      <w:r w:rsidRPr="000466A0">
        <w:rPr>
          <w:rFonts w:ascii="Aptos"/>
          <w:i/>
          <w:iCs/>
        </w:rPr>
        <w:t>Technol. Forecast. Soc. Change</w:t>
      </w:r>
      <w:r w:rsidRPr="000466A0">
        <w:rPr>
          <w:rFonts w:ascii="Aptos"/>
        </w:rPr>
        <w:t xml:space="preserve"> </w:t>
      </w:r>
      <w:r w:rsidRPr="000466A0">
        <w:rPr>
          <w:rFonts w:ascii="Aptos"/>
          <w:b/>
          <w:bCs/>
        </w:rPr>
        <w:t>182</w:t>
      </w:r>
      <w:r w:rsidRPr="000466A0">
        <w:rPr>
          <w:rFonts w:ascii="Aptos"/>
        </w:rPr>
        <w:t>, 121803 (2022).</w:t>
      </w:r>
    </w:p>
    <w:p w14:paraId="4177BCB6" w14:textId="77777777" w:rsidR="000466A0" w:rsidRPr="000466A0" w:rsidRDefault="000466A0" w:rsidP="000466A0">
      <w:pPr>
        <w:pStyle w:val="Bibliography"/>
        <w:rPr>
          <w:rFonts w:ascii="Aptos"/>
        </w:rPr>
      </w:pPr>
      <w:r w:rsidRPr="000466A0">
        <w:rPr>
          <w:rFonts w:ascii="Aptos"/>
        </w:rPr>
        <w:t>10.</w:t>
      </w:r>
      <w:r w:rsidRPr="000466A0">
        <w:rPr>
          <w:rFonts w:ascii="Aptos"/>
        </w:rPr>
        <w:tab/>
        <w:t xml:space="preserve">Barnard, M. The EU Finalizes Ban on New Gas and Diesel Cars by 2035, Cementing the EV Transition. </w:t>
      </w:r>
      <w:r w:rsidRPr="000466A0">
        <w:rPr>
          <w:rFonts w:ascii="Aptos"/>
          <w:i/>
          <w:iCs/>
        </w:rPr>
        <w:t>Climate Wins</w:t>
      </w:r>
      <w:r w:rsidRPr="000466A0">
        <w:rPr>
          <w:rFonts w:ascii="Aptos"/>
        </w:rPr>
        <w:t xml:space="preserve"> https://medium.com/climate-wins/the-eu-finalizes-ban-on-new-gas-and-diesel-cars-by-2035-cementing-the-ev-transition-c149dbf03636 (2025).</w:t>
      </w:r>
    </w:p>
    <w:p w14:paraId="298F59E6" w14:textId="77777777" w:rsidR="000466A0" w:rsidRPr="000466A0" w:rsidRDefault="000466A0" w:rsidP="000466A0">
      <w:pPr>
        <w:pStyle w:val="Bibliography"/>
        <w:rPr>
          <w:rFonts w:ascii="Aptos"/>
        </w:rPr>
      </w:pPr>
      <w:r w:rsidRPr="000466A0">
        <w:rPr>
          <w:rFonts w:ascii="Aptos"/>
        </w:rPr>
        <w:t>11.</w:t>
      </w:r>
      <w:r w:rsidRPr="000466A0">
        <w:rPr>
          <w:rFonts w:ascii="Aptos"/>
        </w:rPr>
        <w:tab/>
        <w:t xml:space="preserve">EV Mandates Will Stay Because Canada is Not The Only Country Planning to Phase Out Internal Combustion Engine Vehicles. </w:t>
      </w:r>
      <w:r w:rsidRPr="000466A0">
        <w:rPr>
          <w:rFonts w:ascii="Aptos"/>
          <w:i/>
          <w:iCs/>
        </w:rPr>
        <w:t>Motor Illustrated</w:t>
      </w:r>
      <w:r w:rsidRPr="000466A0">
        <w:rPr>
          <w:rFonts w:ascii="Aptos"/>
        </w:rPr>
        <w:t xml:space="preserve"> https://motorillustrated.com/ev-mandates-will-stay-because-canadas-only-one-country-with-targets-for-phasing-out-internal-combustion-engine-vehicles/147106/ (2025).</w:t>
      </w:r>
    </w:p>
    <w:p w14:paraId="7B78A6D7" w14:textId="77777777" w:rsidR="000466A0" w:rsidRPr="000466A0" w:rsidRDefault="000466A0" w:rsidP="000466A0">
      <w:pPr>
        <w:pStyle w:val="Bibliography"/>
        <w:rPr>
          <w:rFonts w:ascii="Aptos"/>
        </w:rPr>
      </w:pPr>
      <w:r w:rsidRPr="000466A0">
        <w:rPr>
          <w:rFonts w:ascii="Aptos"/>
        </w:rPr>
        <w:t>12.</w:t>
      </w:r>
      <w:r w:rsidRPr="000466A0">
        <w:rPr>
          <w:rFonts w:ascii="Aptos"/>
        </w:rPr>
        <w:tab/>
        <w:t xml:space="preserve">Policies to promote electric vehicle deployment – Global EV Outlook 2021 – Analysis. </w:t>
      </w:r>
      <w:r w:rsidRPr="000466A0">
        <w:rPr>
          <w:rFonts w:ascii="Aptos"/>
          <w:i/>
          <w:iCs/>
        </w:rPr>
        <w:t>IEA</w:t>
      </w:r>
      <w:r w:rsidRPr="000466A0">
        <w:rPr>
          <w:rFonts w:ascii="Aptos"/>
        </w:rPr>
        <w:t xml:space="preserve"> https://www.iea.org/reports/global-ev-outlook-2021/policies-to-promote-electric-vehicle-deployment.</w:t>
      </w:r>
    </w:p>
    <w:p w14:paraId="5EA58196" w14:textId="77777777" w:rsidR="000466A0" w:rsidRPr="000466A0" w:rsidRDefault="000466A0" w:rsidP="000466A0">
      <w:pPr>
        <w:pStyle w:val="Bibliography"/>
        <w:rPr>
          <w:rFonts w:ascii="Aptos"/>
        </w:rPr>
      </w:pPr>
      <w:r w:rsidRPr="000466A0">
        <w:rPr>
          <w:rFonts w:ascii="Aptos"/>
        </w:rPr>
        <w:t>13.</w:t>
      </w:r>
      <w:r w:rsidRPr="000466A0">
        <w:rPr>
          <w:rFonts w:ascii="Aptos"/>
        </w:rPr>
        <w:tab/>
        <w:t xml:space="preserve">Choma, E. F., Evans, J. S., Hammitt, J. K., Gómez-Ibáñez, J. A. &amp; Spengler, J. D. Assessing the health impacts of electric vehicles through air pollution in the United States. </w:t>
      </w:r>
      <w:r w:rsidRPr="000466A0">
        <w:rPr>
          <w:rFonts w:ascii="Aptos"/>
          <w:i/>
          <w:iCs/>
        </w:rPr>
        <w:t>Environ. Int.</w:t>
      </w:r>
      <w:r w:rsidRPr="000466A0">
        <w:rPr>
          <w:rFonts w:ascii="Aptos"/>
        </w:rPr>
        <w:t xml:space="preserve"> </w:t>
      </w:r>
      <w:r w:rsidRPr="000466A0">
        <w:rPr>
          <w:rFonts w:ascii="Aptos"/>
          <w:b/>
          <w:bCs/>
        </w:rPr>
        <w:t>144</w:t>
      </w:r>
      <w:r w:rsidRPr="000466A0">
        <w:rPr>
          <w:rFonts w:ascii="Aptos"/>
        </w:rPr>
        <w:t>, 106015 (2020).</w:t>
      </w:r>
    </w:p>
    <w:p w14:paraId="0E693E86" w14:textId="77777777" w:rsidR="000466A0" w:rsidRPr="000466A0" w:rsidRDefault="000466A0" w:rsidP="000466A0">
      <w:pPr>
        <w:pStyle w:val="Bibliography"/>
        <w:rPr>
          <w:rFonts w:ascii="Aptos"/>
        </w:rPr>
      </w:pPr>
      <w:r w:rsidRPr="000466A0">
        <w:rPr>
          <w:rFonts w:ascii="Aptos"/>
        </w:rPr>
        <w:lastRenderedPageBreak/>
        <w:t>14.</w:t>
      </w:r>
      <w:r w:rsidRPr="000466A0">
        <w:rPr>
          <w:rFonts w:ascii="Aptos"/>
        </w:rPr>
        <w:tab/>
        <w:t xml:space="preserve">Chen, Z., Carrel, A. L., Gore, C. &amp; Shi, W. Environmental and economic impact of electric vehicle adoption in the U.S. </w:t>
      </w:r>
      <w:r w:rsidRPr="000466A0">
        <w:rPr>
          <w:rFonts w:ascii="Aptos"/>
          <w:i/>
          <w:iCs/>
        </w:rPr>
        <w:t>Environ. Res. Lett.</w:t>
      </w:r>
      <w:r w:rsidRPr="000466A0">
        <w:rPr>
          <w:rFonts w:ascii="Aptos"/>
        </w:rPr>
        <w:t xml:space="preserve"> </w:t>
      </w:r>
      <w:r w:rsidRPr="000466A0">
        <w:rPr>
          <w:rFonts w:ascii="Aptos"/>
          <w:b/>
          <w:bCs/>
        </w:rPr>
        <w:t>16</w:t>
      </w:r>
      <w:r w:rsidRPr="000466A0">
        <w:rPr>
          <w:rFonts w:ascii="Aptos"/>
        </w:rPr>
        <w:t>, 045011 (2021).</w:t>
      </w:r>
    </w:p>
    <w:p w14:paraId="769044C9" w14:textId="77777777" w:rsidR="000466A0" w:rsidRPr="000466A0" w:rsidRDefault="000466A0" w:rsidP="000466A0">
      <w:pPr>
        <w:pStyle w:val="Bibliography"/>
        <w:rPr>
          <w:rFonts w:ascii="Aptos"/>
        </w:rPr>
      </w:pPr>
      <w:r w:rsidRPr="000466A0">
        <w:rPr>
          <w:rFonts w:ascii="Aptos"/>
        </w:rPr>
        <w:t>15.</w:t>
      </w:r>
      <w:r w:rsidRPr="000466A0">
        <w:rPr>
          <w:rFonts w:ascii="Aptos"/>
        </w:rPr>
        <w:tab/>
        <w:t xml:space="preserve">Skipper, T. N., Lawal, A. S., Hu, Y. &amp; Russell, A. G. Air quality impacts of electric vehicle adoption in California. </w:t>
      </w:r>
      <w:r w:rsidRPr="000466A0">
        <w:rPr>
          <w:rFonts w:ascii="Aptos"/>
          <w:i/>
          <w:iCs/>
        </w:rPr>
        <w:t>Atmos. Environ.</w:t>
      </w:r>
      <w:r w:rsidRPr="000466A0">
        <w:rPr>
          <w:rFonts w:ascii="Aptos"/>
        </w:rPr>
        <w:t xml:space="preserve"> </w:t>
      </w:r>
      <w:r w:rsidRPr="000466A0">
        <w:rPr>
          <w:rFonts w:ascii="Aptos"/>
          <w:b/>
          <w:bCs/>
        </w:rPr>
        <w:t>294</w:t>
      </w:r>
      <w:r w:rsidRPr="000466A0">
        <w:rPr>
          <w:rFonts w:ascii="Aptos"/>
        </w:rPr>
        <w:t>, 119492 (2023).</w:t>
      </w:r>
    </w:p>
    <w:p w14:paraId="17ABD65F" w14:textId="77777777" w:rsidR="000466A0" w:rsidRPr="000466A0" w:rsidRDefault="000466A0" w:rsidP="000466A0">
      <w:pPr>
        <w:pStyle w:val="Bibliography"/>
        <w:rPr>
          <w:rFonts w:ascii="Aptos"/>
        </w:rPr>
      </w:pPr>
      <w:r w:rsidRPr="000466A0">
        <w:rPr>
          <w:rFonts w:ascii="Aptos"/>
        </w:rPr>
        <w:t>16.</w:t>
      </w:r>
      <w:r w:rsidRPr="000466A0">
        <w:rPr>
          <w:rFonts w:ascii="Aptos"/>
        </w:rPr>
        <w:tab/>
        <w:t xml:space="preserve">Vega-Perkins, J., Newell, J. P. &amp; Keoleian, G. Mapping electric vehicle impacts: greenhouse gas emissions, fuel costs, and energy justice in the United States. </w:t>
      </w:r>
      <w:r w:rsidRPr="000466A0">
        <w:rPr>
          <w:rFonts w:ascii="Aptos"/>
          <w:i/>
          <w:iCs/>
        </w:rPr>
        <w:t>Environ. Res. Lett.</w:t>
      </w:r>
      <w:r w:rsidRPr="000466A0">
        <w:rPr>
          <w:rFonts w:ascii="Aptos"/>
        </w:rPr>
        <w:t xml:space="preserve"> </w:t>
      </w:r>
      <w:r w:rsidRPr="000466A0">
        <w:rPr>
          <w:rFonts w:ascii="Aptos"/>
          <w:b/>
          <w:bCs/>
        </w:rPr>
        <w:t>18</w:t>
      </w:r>
      <w:r w:rsidRPr="000466A0">
        <w:rPr>
          <w:rFonts w:ascii="Aptos"/>
        </w:rPr>
        <w:t>, 014027 (2023).</w:t>
      </w:r>
    </w:p>
    <w:p w14:paraId="364BBE06" w14:textId="77777777" w:rsidR="000466A0" w:rsidRPr="000466A0" w:rsidRDefault="000466A0" w:rsidP="000466A0">
      <w:pPr>
        <w:pStyle w:val="Bibliography"/>
        <w:rPr>
          <w:rFonts w:ascii="Aptos"/>
        </w:rPr>
      </w:pPr>
      <w:r w:rsidRPr="000466A0">
        <w:rPr>
          <w:rFonts w:ascii="Aptos"/>
        </w:rPr>
        <w:t>17.</w:t>
      </w:r>
      <w:r w:rsidRPr="000466A0">
        <w:rPr>
          <w:rFonts w:ascii="Aptos"/>
        </w:rPr>
        <w:tab/>
        <w:t xml:space="preserve">Afkhami, B., Akbarian, B. &amp; Ansari, E. Adoption of battery electric vehicles for reduction of greenhouse gases and air pollutant emissions: A case study of the United States. </w:t>
      </w:r>
      <w:r w:rsidRPr="000466A0">
        <w:rPr>
          <w:rFonts w:ascii="Aptos"/>
          <w:i/>
          <w:iCs/>
        </w:rPr>
        <w:t>Energy Storage</w:t>
      </w:r>
      <w:r w:rsidRPr="000466A0">
        <w:rPr>
          <w:rFonts w:ascii="Aptos"/>
        </w:rPr>
        <w:t xml:space="preserve"> </w:t>
      </w:r>
      <w:r w:rsidRPr="000466A0">
        <w:rPr>
          <w:rFonts w:ascii="Aptos"/>
          <w:b/>
          <w:bCs/>
        </w:rPr>
        <w:t>4</w:t>
      </w:r>
      <w:r w:rsidRPr="000466A0">
        <w:rPr>
          <w:rFonts w:ascii="Aptos"/>
        </w:rPr>
        <w:t>, e280 (2022).</w:t>
      </w:r>
    </w:p>
    <w:p w14:paraId="12C5B8E9" w14:textId="77777777" w:rsidR="000466A0" w:rsidRPr="000466A0" w:rsidRDefault="000466A0" w:rsidP="000466A0">
      <w:pPr>
        <w:pStyle w:val="Bibliography"/>
        <w:rPr>
          <w:rFonts w:ascii="Aptos"/>
        </w:rPr>
      </w:pPr>
      <w:r w:rsidRPr="000466A0">
        <w:rPr>
          <w:rFonts w:ascii="Aptos"/>
        </w:rPr>
        <w:t>18.</w:t>
      </w:r>
      <w:r w:rsidRPr="000466A0">
        <w:rPr>
          <w:rFonts w:ascii="Aptos"/>
        </w:rPr>
        <w:tab/>
        <w:t xml:space="preserve">Hasnain, A., Somiruwan Gamwari, A., Resalayyan, R., Farokhi Sadabadi, K. &amp; Khaligh, A. Medium- and Heavy-Duty Vehicle Electrification: Trends and Technologies. </w:t>
      </w:r>
      <w:r w:rsidRPr="000466A0">
        <w:rPr>
          <w:rFonts w:ascii="Aptos"/>
          <w:i/>
          <w:iCs/>
        </w:rPr>
        <w:t>IEEE Trans. Transp. Electrification</w:t>
      </w:r>
      <w:r w:rsidRPr="000466A0">
        <w:rPr>
          <w:rFonts w:ascii="Aptos"/>
        </w:rPr>
        <w:t xml:space="preserve"> </w:t>
      </w:r>
      <w:r w:rsidRPr="000466A0">
        <w:rPr>
          <w:rFonts w:ascii="Aptos"/>
          <w:b/>
          <w:bCs/>
        </w:rPr>
        <w:t>11</w:t>
      </w:r>
      <w:r w:rsidRPr="000466A0">
        <w:rPr>
          <w:rFonts w:ascii="Aptos"/>
        </w:rPr>
        <w:t>, 3602–3616 (2025).</w:t>
      </w:r>
    </w:p>
    <w:p w14:paraId="4653761F" w14:textId="77777777" w:rsidR="000466A0" w:rsidRPr="000466A0" w:rsidRDefault="000466A0" w:rsidP="000466A0">
      <w:pPr>
        <w:pStyle w:val="Bibliography"/>
        <w:rPr>
          <w:rFonts w:ascii="Aptos"/>
        </w:rPr>
      </w:pPr>
      <w:r w:rsidRPr="000466A0">
        <w:rPr>
          <w:rFonts w:ascii="Aptos"/>
        </w:rPr>
        <w:t>19.</w:t>
      </w:r>
      <w:r w:rsidRPr="000466A0">
        <w:rPr>
          <w:rFonts w:ascii="Aptos"/>
        </w:rPr>
        <w:tab/>
        <w:t xml:space="preserve">Spiller, B., Lohawala, N. &amp; DeAngeli, E. Medium-and heavy-duty vehicle electrification: Challenges, policy solutions, and open research questions. </w:t>
      </w:r>
      <w:r w:rsidRPr="000466A0">
        <w:rPr>
          <w:rFonts w:ascii="Aptos"/>
          <w:i/>
          <w:iCs/>
        </w:rPr>
        <w:t>Resour. Future Wash. DC Tech Rep</w:t>
      </w:r>
      <w:r w:rsidRPr="000466A0">
        <w:rPr>
          <w:rFonts w:ascii="Aptos"/>
        </w:rPr>
        <w:t xml:space="preserve"> (2023).</w:t>
      </w:r>
    </w:p>
    <w:p w14:paraId="0AE754F0" w14:textId="77777777" w:rsidR="000466A0" w:rsidRPr="000466A0" w:rsidRDefault="000466A0" w:rsidP="000466A0">
      <w:pPr>
        <w:pStyle w:val="Bibliography"/>
        <w:rPr>
          <w:rFonts w:ascii="Aptos"/>
        </w:rPr>
      </w:pPr>
      <w:r w:rsidRPr="000466A0">
        <w:rPr>
          <w:rFonts w:ascii="Aptos"/>
        </w:rPr>
        <w:t>20.</w:t>
      </w:r>
      <w:r w:rsidRPr="000466A0">
        <w:rPr>
          <w:rFonts w:ascii="Aptos"/>
        </w:rPr>
        <w:tab/>
        <w:t xml:space="preserve">Alonso-Villar, A., Davíðsdóttir, B., Stefánsson, H., Ásgeirsson, E. I. &amp; Kristjánsson, R. Electrification potential for heavy-duty vehicles in harsh climate conditions: A case study based technical feasibility assessment. </w:t>
      </w:r>
      <w:r w:rsidRPr="000466A0">
        <w:rPr>
          <w:rFonts w:ascii="Aptos"/>
          <w:i/>
          <w:iCs/>
        </w:rPr>
        <w:t>J. Clean. Prod.</w:t>
      </w:r>
      <w:r w:rsidRPr="000466A0">
        <w:rPr>
          <w:rFonts w:ascii="Aptos"/>
        </w:rPr>
        <w:t xml:space="preserve"> </w:t>
      </w:r>
      <w:r w:rsidRPr="000466A0">
        <w:rPr>
          <w:rFonts w:ascii="Aptos"/>
          <w:b/>
          <w:bCs/>
        </w:rPr>
        <w:t>417</w:t>
      </w:r>
      <w:r w:rsidRPr="000466A0">
        <w:rPr>
          <w:rFonts w:ascii="Aptos"/>
        </w:rPr>
        <w:t>, 137997 (2023).</w:t>
      </w:r>
    </w:p>
    <w:p w14:paraId="67B22E36" w14:textId="77777777" w:rsidR="000466A0" w:rsidRPr="000466A0" w:rsidRDefault="000466A0" w:rsidP="000466A0">
      <w:pPr>
        <w:pStyle w:val="Bibliography"/>
        <w:rPr>
          <w:rFonts w:ascii="Aptos"/>
        </w:rPr>
      </w:pPr>
      <w:r w:rsidRPr="000466A0">
        <w:rPr>
          <w:rFonts w:ascii="Aptos"/>
        </w:rPr>
        <w:t>21.</w:t>
      </w:r>
      <w:r w:rsidRPr="000466A0">
        <w:rPr>
          <w:rFonts w:ascii="Aptos"/>
        </w:rPr>
        <w:tab/>
        <w:t xml:space="preserve">Martinez-Boggio, S., Monsalve-Serrano, J., García, A. &amp; Curto-Risso, P. High Degree of Electrification in Heavy-Duty Vehicles. </w:t>
      </w:r>
      <w:r w:rsidRPr="000466A0">
        <w:rPr>
          <w:rFonts w:ascii="Aptos"/>
          <w:i/>
          <w:iCs/>
        </w:rPr>
        <w:t>Energies</w:t>
      </w:r>
      <w:r w:rsidRPr="000466A0">
        <w:rPr>
          <w:rFonts w:ascii="Aptos"/>
        </w:rPr>
        <w:t xml:space="preserve"> </w:t>
      </w:r>
      <w:r w:rsidRPr="000466A0">
        <w:rPr>
          <w:rFonts w:ascii="Aptos"/>
          <w:b/>
          <w:bCs/>
        </w:rPr>
        <w:t>16</w:t>
      </w:r>
      <w:r w:rsidRPr="000466A0">
        <w:rPr>
          <w:rFonts w:ascii="Aptos"/>
        </w:rPr>
        <w:t>, 3565 (2023).</w:t>
      </w:r>
    </w:p>
    <w:p w14:paraId="39A3C235" w14:textId="77777777" w:rsidR="000466A0" w:rsidRPr="000466A0" w:rsidRDefault="000466A0" w:rsidP="000466A0">
      <w:pPr>
        <w:pStyle w:val="Bibliography"/>
        <w:rPr>
          <w:rFonts w:ascii="Aptos"/>
        </w:rPr>
      </w:pPr>
      <w:r w:rsidRPr="000466A0">
        <w:rPr>
          <w:rFonts w:ascii="Aptos"/>
        </w:rPr>
        <w:lastRenderedPageBreak/>
        <w:t>22.</w:t>
      </w:r>
      <w:r w:rsidRPr="000466A0">
        <w:rPr>
          <w:rFonts w:ascii="Aptos"/>
        </w:rPr>
        <w:tab/>
        <w:t xml:space="preserve">Rohith, G., Devika, K. B., Menon, P. P. &amp; Subramanian, S. C. Sustainable Heavy Goods Vehicle Electrification Strategies for Long-Haul Road Freight Transportation. </w:t>
      </w:r>
      <w:r w:rsidRPr="000466A0">
        <w:rPr>
          <w:rFonts w:ascii="Aptos"/>
          <w:i/>
          <w:iCs/>
        </w:rPr>
        <w:t>IEEE Access</w:t>
      </w:r>
      <w:r w:rsidRPr="000466A0">
        <w:rPr>
          <w:rFonts w:ascii="Aptos"/>
        </w:rPr>
        <w:t xml:space="preserve"> </w:t>
      </w:r>
      <w:r w:rsidRPr="000466A0">
        <w:rPr>
          <w:rFonts w:ascii="Aptos"/>
          <w:b/>
          <w:bCs/>
        </w:rPr>
        <w:t>11</w:t>
      </w:r>
      <w:r w:rsidRPr="000466A0">
        <w:rPr>
          <w:rFonts w:ascii="Aptos"/>
        </w:rPr>
        <w:t>, 26459–26470 (2023).</w:t>
      </w:r>
    </w:p>
    <w:p w14:paraId="5A5E3701" w14:textId="77777777" w:rsidR="000466A0" w:rsidRPr="000466A0" w:rsidRDefault="000466A0" w:rsidP="000466A0">
      <w:pPr>
        <w:pStyle w:val="Bibliography"/>
        <w:rPr>
          <w:rFonts w:ascii="Aptos"/>
        </w:rPr>
      </w:pPr>
      <w:r w:rsidRPr="000466A0">
        <w:rPr>
          <w:rFonts w:ascii="Aptos"/>
        </w:rPr>
        <w:t>23.</w:t>
      </w:r>
      <w:r w:rsidRPr="000466A0">
        <w:rPr>
          <w:rFonts w:ascii="Aptos"/>
        </w:rPr>
        <w:tab/>
        <w:t xml:space="preserve">Li, S., Djilali, N., Rosen, M. A., Crawford, C. &amp; Sui, P.-C. Transition of heavy-duty trucks from diesel to hydrogen fuel cells: Opportunities, challenges, and recommendations. </w:t>
      </w:r>
      <w:r w:rsidRPr="000466A0">
        <w:rPr>
          <w:rFonts w:ascii="Aptos"/>
          <w:i/>
          <w:iCs/>
        </w:rPr>
        <w:t>Int. J. Energy Res.</w:t>
      </w:r>
      <w:r w:rsidRPr="000466A0">
        <w:rPr>
          <w:rFonts w:ascii="Aptos"/>
        </w:rPr>
        <w:t xml:space="preserve"> </w:t>
      </w:r>
      <w:r w:rsidRPr="000466A0">
        <w:rPr>
          <w:rFonts w:ascii="Aptos"/>
          <w:b/>
          <w:bCs/>
        </w:rPr>
        <w:t>46</w:t>
      </w:r>
      <w:r w:rsidRPr="000466A0">
        <w:rPr>
          <w:rFonts w:ascii="Aptos"/>
        </w:rPr>
        <w:t>, 11718–11729 (2022).</w:t>
      </w:r>
    </w:p>
    <w:p w14:paraId="6B7113B4" w14:textId="77777777" w:rsidR="000466A0" w:rsidRPr="000466A0" w:rsidRDefault="000466A0" w:rsidP="000466A0">
      <w:pPr>
        <w:pStyle w:val="Bibliography"/>
        <w:rPr>
          <w:rFonts w:ascii="Aptos"/>
        </w:rPr>
      </w:pPr>
      <w:r w:rsidRPr="000466A0">
        <w:rPr>
          <w:rFonts w:ascii="Aptos"/>
        </w:rPr>
        <w:t>24.</w:t>
      </w:r>
      <w:r w:rsidRPr="000466A0">
        <w:rPr>
          <w:rFonts w:ascii="Aptos"/>
        </w:rPr>
        <w:tab/>
        <w:t xml:space="preserve">Fleming, K. L., Brown, A. L., Fulton, L. &amp; Miller, M. Electrification of Medium- and Heavy-Duty Ground Transportation: Status Report. </w:t>
      </w:r>
      <w:r w:rsidRPr="000466A0">
        <w:rPr>
          <w:rFonts w:ascii="Aptos"/>
          <w:i/>
          <w:iCs/>
        </w:rPr>
        <w:t>Curr. Sustain. Energy Rep.</w:t>
      </w:r>
      <w:r w:rsidRPr="000466A0">
        <w:rPr>
          <w:rFonts w:ascii="Aptos"/>
        </w:rPr>
        <w:t xml:space="preserve"> </w:t>
      </w:r>
      <w:r w:rsidRPr="000466A0">
        <w:rPr>
          <w:rFonts w:ascii="Aptos"/>
          <w:b/>
          <w:bCs/>
        </w:rPr>
        <w:t>8</w:t>
      </w:r>
      <w:r w:rsidRPr="000466A0">
        <w:rPr>
          <w:rFonts w:ascii="Aptos"/>
        </w:rPr>
        <w:t>, 180–188 (2021).</w:t>
      </w:r>
    </w:p>
    <w:p w14:paraId="6C0DC145" w14:textId="77777777" w:rsidR="000466A0" w:rsidRPr="000466A0" w:rsidRDefault="000466A0" w:rsidP="000466A0">
      <w:pPr>
        <w:pStyle w:val="Bibliography"/>
        <w:rPr>
          <w:rFonts w:ascii="Aptos"/>
        </w:rPr>
      </w:pPr>
      <w:r w:rsidRPr="000466A0">
        <w:rPr>
          <w:rFonts w:ascii="Aptos"/>
        </w:rPr>
        <w:t>25.</w:t>
      </w:r>
      <w:r w:rsidRPr="000466A0">
        <w:rPr>
          <w:rFonts w:ascii="Aptos"/>
        </w:rPr>
        <w:tab/>
        <w:t xml:space="preserve">Smith, D. </w:t>
      </w:r>
      <w:r w:rsidRPr="000466A0">
        <w:rPr>
          <w:rFonts w:ascii="Aptos"/>
          <w:i/>
          <w:iCs/>
        </w:rPr>
        <w:t>et al.</w:t>
      </w:r>
      <w:r w:rsidRPr="000466A0">
        <w:rPr>
          <w:rFonts w:ascii="Aptos"/>
        </w:rPr>
        <w:t xml:space="preserve"> </w:t>
      </w:r>
      <w:r w:rsidRPr="000466A0">
        <w:rPr>
          <w:rFonts w:ascii="Aptos"/>
          <w:i/>
          <w:iCs/>
        </w:rPr>
        <w:t>Medium- and Heavy-Duty Vehicle Electrification: An Assessment of Technology and Knowledge Gaps</w:t>
      </w:r>
      <w:r w:rsidRPr="000466A0">
        <w:rPr>
          <w:rFonts w:ascii="Aptos"/>
        </w:rPr>
        <w:t>. https://www.osti.gov/biblio/1615213 (2020) doi:10.2172/1615213.</w:t>
      </w:r>
    </w:p>
    <w:p w14:paraId="33E070F7" w14:textId="66BC6F06" w:rsidR="007F7641" w:rsidRDefault="0045071C" w:rsidP="000466A0">
      <w:pPr>
        <w:pStyle w:val="Bibliography"/>
      </w:pPr>
      <w:r>
        <w:fldChar w:fldCharType="end"/>
      </w:r>
    </w:p>
    <w:sectPr w:rsidR="007F76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Light">
    <w:altName w:val="Arial Nova Light"/>
    <w:panose1 w:val="020B0403020202020204"/>
    <w:charset w:val="00"/>
    <w:family w:val="swiss"/>
    <w:pitch w:val="variable"/>
    <w:sig w:usb0="800000AF" w:usb1="40002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0916"/>
    <w:multiLevelType w:val="multilevel"/>
    <w:tmpl w:val="983A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4792B"/>
    <w:multiLevelType w:val="multilevel"/>
    <w:tmpl w:val="98A6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F1790"/>
    <w:multiLevelType w:val="multilevel"/>
    <w:tmpl w:val="6BBC699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E8929C2"/>
    <w:multiLevelType w:val="multilevel"/>
    <w:tmpl w:val="728A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C42290"/>
    <w:multiLevelType w:val="multilevel"/>
    <w:tmpl w:val="2904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3649F"/>
    <w:multiLevelType w:val="multilevel"/>
    <w:tmpl w:val="F06E3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EB66C3"/>
    <w:multiLevelType w:val="multilevel"/>
    <w:tmpl w:val="21E2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FC7CBC"/>
    <w:multiLevelType w:val="multilevel"/>
    <w:tmpl w:val="F4CA6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2F6A57"/>
    <w:multiLevelType w:val="multilevel"/>
    <w:tmpl w:val="B882C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3E7F2D"/>
    <w:multiLevelType w:val="multilevel"/>
    <w:tmpl w:val="4A3A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F002CD"/>
    <w:multiLevelType w:val="multilevel"/>
    <w:tmpl w:val="541A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969624">
    <w:abstractNumId w:val="3"/>
  </w:num>
  <w:num w:numId="2" w16cid:durableId="1117136520">
    <w:abstractNumId w:val="0"/>
  </w:num>
  <w:num w:numId="3" w16cid:durableId="1456634288">
    <w:abstractNumId w:val="7"/>
  </w:num>
  <w:num w:numId="4" w16cid:durableId="1606305113">
    <w:abstractNumId w:val="2"/>
  </w:num>
  <w:num w:numId="5" w16cid:durableId="1727219716">
    <w:abstractNumId w:val="5"/>
  </w:num>
  <w:num w:numId="6" w16cid:durableId="2092894208">
    <w:abstractNumId w:val="9"/>
  </w:num>
  <w:num w:numId="7" w16cid:durableId="2109961568">
    <w:abstractNumId w:val="6"/>
  </w:num>
  <w:num w:numId="8" w16cid:durableId="239994341">
    <w:abstractNumId w:val="4"/>
  </w:num>
  <w:num w:numId="9" w16cid:durableId="384380185">
    <w:abstractNumId w:val="10"/>
  </w:num>
  <w:num w:numId="10" w16cid:durableId="491214870">
    <w:abstractNumId w:val="8"/>
  </w:num>
  <w:num w:numId="11" w16cid:durableId="939213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13"/>
    <w:rsid w:val="000075B6"/>
    <w:rsid w:val="000466A0"/>
    <w:rsid w:val="0007301E"/>
    <w:rsid w:val="000E7782"/>
    <w:rsid w:val="001C0E28"/>
    <w:rsid w:val="001E5C3B"/>
    <w:rsid w:val="002C756B"/>
    <w:rsid w:val="002D3060"/>
    <w:rsid w:val="002D7582"/>
    <w:rsid w:val="00337951"/>
    <w:rsid w:val="00337D1E"/>
    <w:rsid w:val="003917D0"/>
    <w:rsid w:val="003E72AC"/>
    <w:rsid w:val="004134AE"/>
    <w:rsid w:val="00445DD8"/>
    <w:rsid w:val="0045071C"/>
    <w:rsid w:val="004C75F3"/>
    <w:rsid w:val="00533214"/>
    <w:rsid w:val="005473D5"/>
    <w:rsid w:val="005D63E6"/>
    <w:rsid w:val="00656EDF"/>
    <w:rsid w:val="006C249A"/>
    <w:rsid w:val="007663F3"/>
    <w:rsid w:val="007F7641"/>
    <w:rsid w:val="00834FBA"/>
    <w:rsid w:val="00841813"/>
    <w:rsid w:val="00857D2E"/>
    <w:rsid w:val="00880029"/>
    <w:rsid w:val="00906B70"/>
    <w:rsid w:val="00A35946"/>
    <w:rsid w:val="00A45581"/>
    <w:rsid w:val="00B35E3C"/>
    <w:rsid w:val="00C60905"/>
    <w:rsid w:val="00C804AE"/>
    <w:rsid w:val="00C90FEA"/>
    <w:rsid w:val="00CF7FBB"/>
    <w:rsid w:val="00D301BE"/>
    <w:rsid w:val="00D856AF"/>
    <w:rsid w:val="00DC35EE"/>
    <w:rsid w:val="00DD2767"/>
    <w:rsid w:val="00E31680"/>
    <w:rsid w:val="00F37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1D0C35"/>
  <w15:chartTrackingRefBased/>
  <w15:docId w15:val="{4477D697-88D2-1D4B-ABD3-CB2FE5FFB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6A0"/>
  </w:style>
  <w:style w:type="paragraph" w:styleId="Heading1">
    <w:name w:val="heading 1"/>
    <w:basedOn w:val="Normal"/>
    <w:next w:val="Normal"/>
    <w:link w:val="Heading1Char"/>
    <w:uiPriority w:val="9"/>
    <w:qFormat/>
    <w:rsid w:val="008418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18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18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418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18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181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81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81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81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ributions">
    <w:name w:val="Contributions"/>
    <w:qFormat/>
    <w:rsid w:val="00A45581"/>
    <w:pPr>
      <w:pBdr>
        <w:left w:val="single" w:sz="4" w:space="4" w:color="auto"/>
      </w:pBdr>
      <w:ind w:left="1440"/>
      <w:contextualSpacing/>
      <w:jc w:val="both"/>
    </w:pPr>
    <w:rPr>
      <w:rFonts w:ascii="Helvetica Light" w:hAnsi="Helvetica Light"/>
    </w:rPr>
  </w:style>
  <w:style w:type="paragraph" w:customStyle="1" w:styleId="body">
    <w:name w:val="body"/>
    <w:next w:val="Normal"/>
    <w:qFormat/>
    <w:rsid w:val="003E72AC"/>
    <w:pPr>
      <w:ind w:firstLine="720"/>
    </w:pPr>
    <w:rPr>
      <w:rFonts w:ascii="Times New Roman" w:hAnsi="Times New Roman" w:cs="Times New Roman"/>
      <w:sz w:val="22"/>
      <w:szCs w:val="22"/>
    </w:rPr>
  </w:style>
  <w:style w:type="paragraph" w:customStyle="1" w:styleId="Figures">
    <w:name w:val="Figures"/>
    <w:basedOn w:val="Normal"/>
    <w:qFormat/>
    <w:rsid w:val="003E72AC"/>
    <w:rPr>
      <w:rFonts w:ascii="Times New Roman" w:hAnsi="Times New Roman" w:cs="Times New Roman"/>
      <w:b/>
      <w:color w:val="000000" w:themeColor="text1"/>
      <w:sz w:val="22"/>
      <w:szCs w:val="22"/>
    </w:rPr>
  </w:style>
  <w:style w:type="character" w:customStyle="1" w:styleId="Heading1Char">
    <w:name w:val="Heading 1 Char"/>
    <w:basedOn w:val="DefaultParagraphFont"/>
    <w:link w:val="Heading1"/>
    <w:uiPriority w:val="9"/>
    <w:rsid w:val="008418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18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18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418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18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18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8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8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813"/>
    <w:rPr>
      <w:rFonts w:eastAsiaTheme="majorEastAsia" w:cstheme="majorBidi"/>
      <w:color w:val="272727" w:themeColor="text1" w:themeTint="D8"/>
    </w:rPr>
  </w:style>
  <w:style w:type="paragraph" w:styleId="Title">
    <w:name w:val="Title"/>
    <w:basedOn w:val="Normal"/>
    <w:next w:val="Normal"/>
    <w:link w:val="TitleChar"/>
    <w:uiPriority w:val="10"/>
    <w:qFormat/>
    <w:rsid w:val="0084181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8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81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8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81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41813"/>
    <w:rPr>
      <w:i/>
      <w:iCs/>
      <w:color w:val="404040" w:themeColor="text1" w:themeTint="BF"/>
    </w:rPr>
  </w:style>
  <w:style w:type="paragraph" w:styleId="ListParagraph">
    <w:name w:val="List Paragraph"/>
    <w:basedOn w:val="Normal"/>
    <w:uiPriority w:val="34"/>
    <w:qFormat/>
    <w:rsid w:val="00841813"/>
    <w:pPr>
      <w:ind w:left="720"/>
      <w:contextualSpacing/>
    </w:pPr>
  </w:style>
  <w:style w:type="character" w:styleId="IntenseEmphasis">
    <w:name w:val="Intense Emphasis"/>
    <w:basedOn w:val="DefaultParagraphFont"/>
    <w:uiPriority w:val="21"/>
    <w:qFormat/>
    <w:rsid w:val="00841813"/>
    <w:rPr>
      <w:i/>
      <w:iCs/>
      <w:color w:val="0F4761" w:themeColor="accent1" w:themeShade="BF"/>
    </w:rPr>
  </w:style>
  <w:style w:type="paragraph" w:styleId="IntenseQuote">
    <w:name w:val="Intense Quote"/>
    <w:basedOn w:val="Normal"/>
    <w:next w:val="Normal"/>
    <w:link w:val="IntenseQuoteChar"/>
    <w:uiPriority w:val="30"/>
    <w:qFormat/>
    <w:rsid w:val="008418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1813"/>
    <w:rPr>
      <w:i/>
      <w:iCs/>
      <w:color w:val="0F4761" w:themeColor="accent1" w:themeShade="BF"/>
    </w:rPr>
  </w:style>
  <w:style w:type="character" w:styleId="IntenseReference">
    <w:name w:val="Intense Reference"/>
    <w:basedOn w:val="DefaultParagraphFont"/>
    <w:uiPriority w:val="32"/>
    <w:qFormat/>
    <w:rsid w:val="00841813"/>
    <w:rPr>
      <w:b/>
      <w:bCs/>
      <w:smallCaps/>
      <w:color w:val="0F4761" w:themeColor="accent1" w:themeShade="BF"/>
      <w:spacing w:val="5"/>
    </w:rPr>
  </w:style>
  <w:style w:type="character" w:styleId="Emphasis">
    <w:name w:val="Emphasis"/>
    <w:basedOn w:val="DefaultParagraphFont"/>
    <w:uiPriority w:val="20"/>
    <w:qFormat/>
    <w:rsid w:val="00841813"/>
    <w:rPr>
      <w:i/>
      <w:iCs/>
    </w:rPr>
  </w:style>
  <w:style w:type="character" w:styleId="Strong">
    <w:name w:val="Strong"/>
    <w:basedOn w:val="DefaultParagraphFont"/>
    <w:uiPriority w:val="22"/>
    <w:qFormat/>
    <w:rsid w:val="00841813"/>
    <w:rPr>
      <w:b/>
      <w:bCs/>
    </w:rPr>
  </w:style>
  <w:style w:type="paragraph" w:styleId="NormalWeb">
    <w:name w:val="Normal (Web)"/>
    <w:basedOn w:val="Normal"/>
    <w:uiPriority w:val="99"/>
    <w:unhideWhenUsed/>
    <w:rsid w:val="00CF7FBB"/>
    <w:pPr>
      <w:spacing w:before="100" w:beforeAutospacing="1" w:after="100" w:afterAutospacing="1"/>
    </w:pPr>
    <w:rPr>
      <w:rFonts w:ascii="Times New Roman" w:eastAsia="Times New Roman" w:hAnsi="Times New Roman" w:cs="Times New Roman"/>
      <w:kern w:val="0"/>
      <w14:ligatures w14:val="none"/>
    </w:rPr>
  </w:style>
  <w:style w:type="character" w:customStyle="1" w:styleId="ms-1">
    <w:name w:val="ms-1"/>
    <w:basedOn w:val="DefaultParagraphFont"/>
    <w:rsid w:val="00CF7FBB"/>
  </w:style>
  <w:style w:type="character" w:customStyle="1" w:styleId="max-w-15ch">
    <w:name w:val="max-w-[15ch]"/>
    <w:basedOn w:val="DefaultParagraphFont"/>
    <w:rsid w:val="00CF7FBB"/>
  </w:style>
  <w:style w:type="character" w:customStyle="1" w:styleId="-me-1">
    <w:name w:val="-me-1"/>
    <w:basedOn w:val="DefaultParagraphFont"/>
    <w:rsid w:val="00CF7FBB"/>
  </w:style>
  <w:style w:type="paragraph" w:styleId="Bibliography">
    <w:name w:val="Bibliography"/>
    <w:basedOn w:val="Normal"/>
    <w:next w:val="Normal"/>
    <w:uiPriority w:val="37"/>
    <w:unhideWhenUsed/>
    <w:rsid w:val="0045071C"/>
    <w:pPr>
      <w:tabs>
        <w:tab w:val="left" w:pos="260"/>
      </w:tabs>
      <w:spacing w:line="48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73870">
      <w:bodyDiv w:val="1"/>
      <w:marLeft w:val="0"/>
      <w:marRight w:val="0"/>
      <w:marTop w:val="0"/>
      <w:marBottom w:val="0"/>
      <w:divBdr>
        <w:top w:val="none" w:sz="0" w:space="0" w:color="auto"/>
        <w:left w:val="none" w:sz="0" w:space="0" w:color="auto"/>
        <w:bottom w:val="none" w:sz="0" w:space="0" w:color="auto"/>
        <w:right w:val="none" w:sz="0" w:space="0" w:color="auto"/>
      </w:divBdr>
    </w:div>
    <w:div w:id="324742491">
      <w:bodyDiv w:val="1"/>
      <w:marLeft w:val="0"/>
      <w:marRight w:val="0"/>
      <w:marTop w:val="0"/>
      <w:marBottom w:val="0"/>
      <w:divBdr>
        <w:top w:val="none" w:sz="0" w:space="0" w:color="auto"/>
        <w:left w:val="none" w:sz="0" w:space="0" w:color="auto"/>
        <w:bottom w:val="none" w:sz="0" w:space="0" w:color="auto"/>
        <w:right w:val="none" w:sz="0" w:space="0" w:color="auto"/>
      </w:divBdr>
    </w:div>
    <w:div w:id="551963676">
      <w:bodyDiv w:val="1"/>
      <w:marLeft w:val="0"/>
      <w:marRight w:val="0"/>
      <w:marTop w:val="0"/>
      <w:marBottom w:val="0"/>
      <w:divBdr>
        <w:top w:val="none" w:sz="0" w:space="0" w:color="auto"/>
        <w:left w:val="none" w:sz="0" w:space="0" w:color="auto"/>
        <w:bottom w:val="none" w:sz="0" w:space="0" w:color="auto"/>
        <w:right w:val="none" w:sz="0" w:space="0" w:color="auto"/>
      </w:divBdr>
    </w:div>
    <w:div w:id="573898782">
      <w:bodyDiv w:val="1"/>
      <w:marLeft w:val="0"/>
      <w:marRight w:val="0"/>
      <w:marTop w:val="0"/>
      <w:marBottom w:val="0"/>
      <w:divBdr>
        <w:top w:val="none" w:sz="0" w:space="0" w:color="auto"/>
        <w:left w:val="none" w:sz="0" w:space="0" w:color="auto"/>
        <w:bottom w:val="none" w:sz="0" w:space="0" w:color="auto"/>
        <w:right w:val="none" w:sz="0" w:space="0" w:color="auto"/>
      </w:divBdr>
    </w:div>
    <w:div w:id="732972818">
      <w:bodyDiv w:val="1"/>
      <w:marLeft w:val="0"/>
      <w:marRight w:val="0"/>
      <w:marTop w:val="0"/>
      <w:marBottom w:val="0"/>
      <w:divBdr>
        <w:top w:val="none" w:sz="0" w:space="0" w:color="auto"/>
        <w:left w:val="none" w:sz="0" w:space="0" w:color="auto"/>
        <w:bottom w:val="none" w:sz="0" w:space="0" w:color="auto"/>
        <w:right w:val="none" w:sz="0" w:space="0" w:color="auto"/>
      </w:divBdr>
    </w:div>
    <w:div w:id="845437293">
      <w:bodyDiv w:val="1"/>
      <w:marLeft w:val="0"/>
      <w:marRight w:val="0"/>
      <w:marTop w:val="0"/>
      <w:marBottom w:val="0"/>
      <w:divBdr>
        <w:top w:val="none" w:sz="0" w:space="0" w:color="auto"/>
        <w:left w:val="none" w:sz="0" w:space="0" w:color="auto"/>
        <w:bottom w:val="none" w:sz="0" w:space="0" w:color="auto"/>
        <w:right w:val="none" w:sz="0" w:space="0" w:color="auto"/>
      </w:divBdr>
    </w:div>
    <w:div w:id="1234971903">
      <w:bodyDiv w:val="1"/>
      <w:marLeft w:val="0"/>
      <w:marRight w:val="0"/>
      <w:marTop w:val="0"/>
      <w:marBottom w:val="0"/>
      <w:divBdr>
        <w:top w:val="none" w:sz="0" w:space="0" w:color="auto"/>
        <w:left w:val="none" w:sz="0" w:space="0" w:color="auto"/>
        <w:bottom w:val="none" w:sz="0" w:space="0" w:color="auto"/>
        <w:right w:val="none" w:sz="0" w:space="0" w:color="auto"/>
      </w:divBdr>
    </w:div>
    <w:div w:id="1593395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8378C1-96BE-B341-A4CD-E78E83AC1E02}">
  <ds:schemaRefs>
    <ds:schemaRef ds:uri="http://schemas.openxmlformats.org/officeDocument/2006/bibliography"/>
  </ds:schemaRefs>
</ds:datastoreItem>
</file>

<file path=docMetadata/LabelInfo.xml><?xml version="1.0" encoding="utf-8"?>
<clbl:labelList xmlns:clbl="http://schemas.microsoft.com/office/2020/mipLabelMetadata">
  <clbl:label id="{78aac226-2f03-4b4d-9037-b46d56c55210}" enabled="0" method="" siteId="{78aac226-2f03-4b4d-9037-b46d56c55210}"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7</Pages>
  <Words>8502</Words>
  <Characters>48465</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Thiago Augusto Rodrigues</dc:creator>
  <cp:keywords/>
  <dc:description/>
  <cp:lastModifiedBy>Thiago Augusto Rodrigues</cp:lastModifiedBy>
  <cp:revision>4</cp:revision>
  <dcterms:created xsi:type="dcterms:W3CDTF">2025-10-16T18:38:00Z</dcterms:created>
  <dcterms:modified xsi:type="dcterms:W3CDTF">2025-10-16T18:55:00Z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id="3RCbLWfa"/&gt;&lt;style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