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Nomes:</w:t>
      </w:r>
      <w:r w:rsidDel="00000000" w:rsidR="00000000" w:rsidRPr="00000000">
        <w:rPr>
          <w:rtl w:val="0"/>
        </w:rPr>
        <w:t xml:space="preserve"> Thiago da Silva, Lívia Correia.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Turma</w:t>
      </w:r>
      <w:r w:rsidDel="00000000" w:rsidR="00000000" w:rsidRPr="00000000">
        <w:rPr>
          <w:rtl w:val="0"/>
        </w:rPr>
        <w:t xml:space="preserve">: 3° 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Momento histórico na 3 geração modernista brasileira: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Rompimento com a 1ª e 2ª fase modernista;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Retorno a forma e métrica clássicas, com características próprias da cultura brasileira;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Menor grau de subjetivismo psicológico;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Rechaço a libertinagem formal;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Influência do Realismo, Parnasianismo e Simbolismo;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Inovações linguísticas e metalinguagem;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Passadismo e retorno ao passado;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Oposição à liberdade formal;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Experimentações artísticas (ficção experimental);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Realismo fantástico (contos fantásticos);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spacing w:after="0" w:line="33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Retorno à forma poética (valorização da métrica e da rima).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ind w:left="720" w:hanging="360"/>
        <w:rPr>
          <w:color w:val="111111"/>
          <w:u w:val="none"/>
        </w:rPr>
      </w:pPr>
      <w:r w:rsidDel="00000000" w:rsidR="00000000" w:rsidRPr="00000000">
        <w:rPr>
          <w:color w:val="111111"/>
          <w:rtl w:val="0"/>
        </w:rPr>
        <w:t xml:space="preserve"> </w:t>
      </w:r>
      <w:r w:rsidDel="00000000" w:rsidR="00000000" w:rsidRPr="00000000">
        <w:rPr>
          <w:b w:val="1"/>
          <w:color w:val="111111"/>
          <w:rtl w:val="0"/>
        </w:rPr>
        <w:t xml:space="preserve">As principais características da terceira geração modernista são: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Academicismo;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Passadismo e retorno ao passado;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Oposição à liberdade formal;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Experimentações artísticas (ficção experimental);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Realismo fantástico (contos fantásticos);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Retorno à forma poética (valorização da métrica e da rima);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Influência do Parnasianismo e Simbolismo;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1020" w:hanging="360"/>
        <w:rPr>
          <w:sz w:val="22"/>
          <w:szCs w:val="22"/>
        </w:rPr>
      </w:pPr>
      <w:r w:rsidDel="00000000" w:rsidR="00000000" w:rsidRPr="00000000">
        <w:rPr>
          <w:color w:val="111111"/>
          <w:rtl w:val="0"/>
        </w:rPr>
        <w:t xml:space="preserve">Inovações linguísticas e metalinguagem;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720" w:hanging="360"/>
        <w:rPr>
          <w:color w:val="111111"/>
          <w:u w:val="none"/>
        </w:rPr>
      </w:pPr>
      <w:r w:rsidDel="00000000" w:rsidR="00000000" w:rsidRPr="00000000">
        <w:rPr>
          <w:b w:val="1"/>
          <w:color w:val="111111"/>
          <w:rtl w:val="0"/>
        </w:rPr>
        <w:t xml:space="preserve">Marco inicial e final da 3° geração brasileira: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9" w:sz="0" w:val="none"/>
          <w:right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A terceira geração modernista, também conhecida como “Geração de 45”, representa o último momento do movimento modernista no Brasil. 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Essa fase começa em 1945 e se estende até 1980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Três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principais autores e suas obras na 3° geração modernistas brasileiros: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8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João Cabral de Melo Neto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: Poeta, autor de obras como “Morte e Vida Severina” e “A Educação pela Pedra” 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before="18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Clarice Lispector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Escritora, autora de obras como “A Hora da Estrela” e “Laços de Família” 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before="18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Guimarães Rosa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Escritor, autor de obras como “Grande Sertão: Veredas” e “Primeiras Estórias”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153.07086614173232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876800" cy="1066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76800" cy="1066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damateria.com.br/terceira-geracao-modernista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