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Protótipo do sistema APAN de frequência escolar</w:t>
      </w:r>
    </w:p>
    <w:p>
      <w:r>
        <w:t>Este documento apresenta o protótipo visual do APAN, explica suas principais telas e reúne as decisões de acessibilidade, atratividade e os wireframes solicitados na atividade. A proposta é facilitar o registro de presença, o cadastro de alunos e o acompanhamento da frequência.</w:t>
      </w:r>
    </w:p>
    <w:p>
      <w:r>
        <w:t>O projeto é uma plataforma de frequência escolar. Por isso, o rascunho solicitado é apresentado como wireframes de telas; a parte sobre tipos de jogos não se aplica a esta proposta.</w:t>
      </w:r>
    </w:p>
    <w:p>
      <w:pPr>
        <w:pStyle w:val="Heading1"/>
      </w:pPr>
      <w:r>
        <w:t>1 Visão geral e tela inicial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92240" cy="4277464"/>
            <wp:docPr id="1" name="Picture 1" descr="Figura 1  Tela inicial do protótipo com resumo do dia e atalh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277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  Tela inicial do protótipo com resumo do dia e atalhos.</w:t>
      </w:r>
    </w:p>
    <w:p>
      <w:r>
        <w:t>A tela inicial reúne turmas ativas, chamadas concluídas e presença do dia. Os atalhos Fazer chamada, Adicionar aluno e Extrair relatório levam às tarefas mais frequentes. Os cartões das turmas mostram horário, disciplina, sala e situação da chamada.</w:t>
      </w:r>
    </w:p>
    <w:p>
      <w:r>
        <w:t>O menu mantém as opções Início, Chamada, Alunos e Relatórios. O perfil exibido no exemplo é o de professora. Os nomes, datas e indicadores das imagens são dados demonstrativos do protótipo.</w:t>
      </w:r>
    </w:p>
    <w:p>
      <w:r>
        <w:br w:type="page"/>
      </w:r>
    </w:p>
    <w:p>
      <w:pPr>
        <w:pStyle w:val="Heading1"/>
      </w:pPr>
      <w:r>
        <w:t>2 Registro de frequência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92240" cy="4564856"/>
            <wp:docPr id="2" name="Picture 2" descr="Figura 2  Chamada com seleção de turma e marcação por alun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mad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564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2  Chamada com seleção de turma e marcação por aluno.</w:t>
      </w:r>
    </w:p>
    <w:p>
      <w:r>
        <w:t>O professor seleciona a turma, a data da aula e a disciplina. Na lista, cada aluno tem nome, matrícula e as opções Presente e Ausente. Os contadores mostram quantos alunos estão presentes, ausentes ou sem marcação.</w:t>
      </w:r>
    </w:p>
    <w:p>
      <w:r>
        <w:t>A opção Marcar todos como presentes agiliza a chamada: depois de usá-la, o professor ajusta as ausências. O campo de anotações permite registrar conteúdo trabalhado e ocorrências, com limite de 1000 caracteres.</w:t>
      </w:r>
    </w:p>
    <w:p>
      <w:r>
        <w:t>Para concluir, o professor revisa as marcações e aciona Salvar frequência. No modo mostrado, o protótipo impede o salvamento quando há alunos sem marcação e direciona o foco ao primeiro registro pendente. Quando a chamada é salva, aparece uma mensagem de confirmação.</w:t>
      </w:r>
    </w:p>
    <w:p>
      <w:r>
        <w:t>A lista ocupa uma área com rolagem; a ação de salvar permanece no rodapé. Essa organização mantém a tarefa principal visível durante a chamada.</w:t>
      </w:r>
    </w:p>
    <w:p>
      <w:r>
        <w:br w:type="page"/>
      </w:r>
    </w:p>
    <w:p>
      <w:pPr>
        <w:pStyle w:val="Heading1"/>
      </w:pPr>
      <w:r>
        <w:t>3 Consulta e cadastro de alunos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303520" cy="3729038"/>
            <wp:docPr id="3" name="Picture 3" descr="Figura 3  Consulta com busca, filtros e frequência por alun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un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3  Consulta com busca, filtros e frequência por aluno.</w:t>
      </w:r>
    </w:p>
    <w:p>
      <w:r>
        <w:t>A tela Alunos permite pesquisar pelo nome e filtrar por turma e turno. A tabela reúne matrícula, turma, nascimento e frequência. A ação Editar abre os dados do aluno; Novo aluno inicia o cadastro.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3017520" cy="2299999"/>
            <wp:docPr id="4" name="Picture 4" descr="Figura 4  Formulário de cadastro exibido sobre a list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dastro_cr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2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4  Formulário de cadastro exibido sobre a lista.</w:t>
      </w:r>
    </w:p>
    <w:p>
      <w:r>
        <w:t>O formulário solicita nome, nascimento, turma, responsável e telefone. Os erros são descritos junto aos campos e o foco é direcionado ao primeiro campo inválido. Cancelar fecha o formulário; Cadastrar aluno confirma a inclusão na demonstração.</w:t>
      </w:r>
    </w:p>
    <w:p>
      <w:r>
        <w:br w:type="page"/>
      </w:r>
    </w:p>
    <w:p>
      <w:pPr>
        <w:pStyle w:val="Heading1"/>
      </w:pPr>
      <w:r>
        <w:t>4 Acompanhamento e relatórios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92240" cy="4564856"/>
            <wp:docPr id="5" name="Picture 5" descr="Figura 5  Relatório com filtros, gráficos e lista de acompanhament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ori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564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5  Relatório com filtros, gráficos e lista de acompanhamento.</w:t>
      </w:r>
    </w:p>
    <w:p>
      <w:r>
        <w:t>O usuário informa o período e escolhe turma e aluno. Os atalhos Setembro, 3º bimestre e Ano letivo preenchem intervalos de consulta. A tela apresenta o total de presenças e faltas, a presença por turma e os alunos com mais faltas.</w:t>
      </w:r>
    </w:p>
    <w:p>
      <w:r>
        <w:t>Os números aparecem junto aos gráficos, permitindo interpretar os resultados sem depender somente das cores. O protótipo destaca valores abaixo de 75%; esse é o parâmetro usado na demonstração e deverá ser confirmado conforme as regras da instituição.</w:t>
      </w:r>
    </w:p>
    <w:p>
      <w:pPr>
        <w:pStyle w:val="Heading1"/>
      </w:pPr>
      <w:r>
        <w:t>Limites da demonstração</w:t>
      </w:r>
    </w:p>
    <w:p>
      <w:r>
        <w:t>Os percentuais e os dados dos relatórios são simulados. A opção de exportação permite escolher XLSX ou CSV e apresenta uma confirmação visual, mas o código não gera nem baixa uma planilha real. O botão Sair também simula uma mensagem, sem autenticação.</w:t>
      </w:r>
    </w:p>
    <w:p>
      <w:r>
        <w:t>O cadastro e a chamada alteram o estado da página, sem gravação permanente em banco de dados. Para o sistema final, será necessário guardar a frequência por aluno, turma, data e disciplina, integrar os relatórios aos registros reais e definir as permissões de cada perfil.</w:t>
      </w:r>
    </w:p>
    <w:p>
      <w:r>
        <w:br w:type="page"/>
      </w:r>
    </w:p>
    <w:p>
      <w:pPr>
        <w:pStyle w:val="Heading1"/>
      </w:pPr>
      <w:r>
        <w:t>5 Acessibilidade e atratividade</w:t>
      </w:r>
    </w:p>
    <w:p>
      <w:r>
        <w:t>A interface usa fundo claro, áreas brancas e texto escuro. O azul identifica as ações principais; verde e vermelho indicam situações da frequência. As escolhas visuais buscam facilitar a leitura e a identificação das tarefas.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36"/>
        <w:gridCol w:w="7488"/>
      </w:tblGrid>
      <w:tr>
        <w:tc>
          <w:tcPr>
            <w:tcW w:type="dxa" w:w="5112"/>
            <w:shd w:fill="E8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Aspecto</w:t>
            </w:r>
          </w:p>
        </w:tc>
        <w:tc>
          <w:tcPr>
            <w:tcW w:type="dxa" w:w="5112"/>
            <w:shd w:fill="E8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Aplicação no protótipo</w:t>
            </w:r>
          </w:p>
        </w:tc>
      </w:tr>
      <w:tr>
        <w:tc>
          <w:tcPr>
            <w:tcW w:type="dxa" w:w="27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Cores</w:t>
            </w:r>
          </w:p>
        </w:tc>
        <w:tc>
          <w:tcPr>
            <w:tcW w:type="dxa" w:w="74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Azul #1A56DB para ações; fundo #F4F6F9; superfícies #FFFFFF; texto #14181F e #4B5563.</w:t>
            </w:r>
          </w:p>
        </w:tc>
      </w:tr>
      <w:tr>
        <w:tc>
          <w:tcPr>
            <w:tcW w:type="dxa" w:w="27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Leitura</w:t>
            </w:r>
          </w:p>
        </w:tc>
        <w:tc>
          <w:tcPr>
            <w:tcW w:type="dxa" w:w="74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Títulos organizam as seções; nomes, matrículas e rótulos descrevem as informações.</w:t>
            </w:r>
          </w:p>
        </w:tc>
      </w:tr>
      <w:tr>
        <w:tc>
          <w:tcPr>
            <w:tcW w:type="dxa" w:w="27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Uso das cores</w:t>
            </w:r>
          </w:p>
        </w:tc>
        <w:tc>
          <w:tcPr>
            <w:tcW w:type="dxa" w:w="74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Presente e Ausente aparecem escritos. Alertas combinam texto e símbolo; os gráficos apresentam valores.</w:t>
            </w:r>
          </w:p>
        </w:tc>
      </w:tr>
      <w:tr>
        <w:tc>
          <w:tcPr>
            <w:tcW w:type="dxa" w:w="27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Teclado</w:t>
            </w:r>
          </w:p>
        </w:tc>
        <w:tc>
          <w:tcPr>
            <w:tcW w:type="dxa" w:w="74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Há estilo de foco visível e botões nativos. A chamada orienta o uso de Tab, Espaço e Enter.</w:t>
            </w:r>
          </w:p>
        </w:tc>
      </w:tr>
      <w:tr>
        <w:tc>
          <w:tcPr>
            <w:tcW w:type="dxa" w:w="27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Formulários</w:t>
            </w:r>
          </w:p>
        </w:tc>
        <w:tc>
          <w:tcPr>
            <w:tcW w:type="dxa" w:w="74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Os campos possuem rótulos e indicação de erro com aria-invalid e aria-describedby.</w:t>
            </w:r>
          </w:p>
        </w:tc>
      </w:tr>
      <w:tr>
        <w:tc>
          <w:tcPr>
            <w:tcW w:type="dxa" w:w="27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Mensagens</w:t>
            </w:r>
          </w:p>
        </w:tc>
        <w:tc>
          <w:tcPr>
            <w:tcW w:type="dxa" w:w="74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As confirmações usam uma região de status com aria-live para anunciar alterações.</w:t>
            </w:r>
          </w:p>
        </w:tc>
      </w:tr>
      <w:tr>
        <w:tc>
          <w:tcPr>
            <w:tcW w:type="dxa" w:w="27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Tamanho e adaptação</w:t>
            </w:r>
          </w:p>
        </w:tc>
        <w:tc>
          <w:tcPr>
            <w:tcW w:type="dxa" w:w="74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Diversos controles têm altura mínima de 44 px. Em telas estreitas, a navegação passa para a parte inferior.</w:t>
            </w:r>
          </w:p>
        </w:tc>
      </w:tr>
      <w:tr>
        <w:tc>
          <w:tcPr>
            <w:tcW w:type="dxa" w:w="27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Simplicidade</w:t>
            </w:r>
          </w:p>
        </w:tc>
        <w:tc>
          <w:tcPr>
            <w:tcW w:type="dxa" w:w="74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Atalhos, filtros, contadores e marcação coletiva reduzem etapas da tarefa.</w:t>
            </w:r>
          </w:p>
        </w:tc>
      </w:tr>
    </w:tbl>
    <w:p>
      <w:pPr>
        <w:pStyle w:val="Heading1"/>
      </w:pPr>
      <w:r>
        <w:t>Verificações e ajustes para a versão final</w:t>
      </w:r>
    </w:p>
    <w:p>
      <w:r>
        <w:t>A presença desses recursos no código não comprova acessibilidade completa. É necessário testar a navegação inteira por teclado, a leitura com leitor de tela, a ampliação de texto e o uso em celular.</w:t>
      </w:r>
    </w:p>
    <w:p>
      <w:r>
        <w:t>O link Pular para o conteúdo usa uma indicação de estilo de foco que deve ser verificada no navegador. No formulário, devem ser testados a contenção do foco dentro do diálogo e o retorno ao botão de origem após fechá-lo.</w:t>
      </w:r>
    </w:p>
    <w:p>
      <w:r>
        <w:t>Também é preciso medir o contraste de textos, bordas e estados dos controles. As bordas claras de campos e botões merecem revisão. A atratividade vem da organização, dos espaços e do retorno das ações; a prioridade do sistema é executar a chamada com poucos passos.</w:t>
      </w:r>
    </w:p>
    <w:p>
      <w:r>
        <w:br w:type="page"/>
      </w:r>
    </w:p>
    <w:p>
      <w:pPr>
        <w:pStyle w:val="Heading1"/>
      </w:pPr>
      <w:r>
        <w:t>6 Wireframes e fluxo de uso</w:t>
      </w:r>
    </w:p>
    <w:p>
      <w:r>
        <w:t>Os wireframes abaixo foram elaborados a partir das telas do protótipo. Eles simplificam a interface em blocos para mostrar a posição das informações e das ações, sem depender das cores e dos detalhes visuais.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852160" cy="4369613"/>
            <wp:docPr id="6" name="Picture 6" descr="Figura 6  Wireframes das quatro áreas principais do APA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69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6  Wireframes das quatro áreas principais do APAN.</w:t>
      </w:r>
    </w:p>
    <w:p>
      <w:pPr>
        <w:pStyle w:val="Heading1"/>
      </w:pPr>
      <w:r>
        <w:t>Fluxo da chamada</w:t>
      </w:r>
    </w:p>
    <w:p>
      <w:r>
        <w:t>1. Entrar na tela inicial e identificar a turma com chamada pendente.</w:t>
        <w:br/>
        <w:t>2. Abrir Fazer chamada e conferir turma, data e disciplina.</w:t>
        <w:br/>
        <w:t>3. Marcar Presente ou Ausente para cada aluno.</w:t>
        <w:br/>
        <w:t>4. Conferir os contadores e registrar anotações, se necessário.</w:t>
        <w:br/>
        <w:t>5. Salvar frequência e verificar a confirmação.</w:t>
      </w:r>
    </w:p>
    <w:p>
      <w:pPr>
        <w:pStyle w:val="Heading1"/>
      </w:pPr>
      <w:r>
        <w:t>Relação com os pontos da atividade</w:t>
      </w:r>
    </w:p>
    <w:p>
      <w:r>
        <w:t>O primeiro ponto é atendido pelas capturas das telas e pelas explicações de uso. O segundo é tratado pelas decisões visuais, pelos recursos de acessibilidade e pelos ajustes indicados. O terceiro é atendido pelos wireframes e pelo fluxo da chamada.</w:t>
      </w:r>
    </w:p>
    <w:p>
      <w:r>
        <w:t>Base do documento: arquivo APAN Frequência Escolar.html fornecido para a atividade. As capturas mostram a interface original; os wireframes são esquemas elaborados para esta documentação.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APAN Frequência Escolar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