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67211" w14:textId="77777777" w:rsidR="00235AE1" w:rsidRDefault="00235AE1" w:rsidP="00894FB7">
      <w:pPr>
        <w:rPr>
          <w:rFonts w:ascii="Arial" w:hAnsi="Arial" w:cs="Arial"/>
          <w:sz w:val="24"/>
          <w:szCs w:val="24"/>
          <w:lang w:val="es-AR"/>
        </w:rPr>
      </w:pPr>
    </w:p>
    <w:p w14:paraId="43BD43C5" w14:textId="67F1A511" w:rsidR="00894FB7" w:rsidRPr="00041425" w:rsidRDefault="00BC3F45" w:rsidP="00894FB7">
      <w:pPr>
        <w:rPr>
          <w:rFonts w:ascii="Arial" w:hAnsi="Arial" w:cs="Arial"/>
          <w:sz w:val="24"/>
          <w:szCs w:val="24"/>
          <w:u w:val="single"/>
          <w:lang w:val="es-AR"/>
        </w:rPr>
      </w:pPr>
      <w:r w:rsidRPr="00041425">
        <w:rPr>
          <w:rFonts w:ascii="Arial" w:hAnsi="Arial" w:cs="Arial"/>
          <w:sz w:val="24"/>
          <w:szCs w:val="24"/>
          <w:u w:val="single"/>
          <w:lang w:val="es-AR"/>
        </w:rPr>
        <w:t>CAPACIDAD</w:t>
      </w:r>
    </w:p>
    <w:p w14:paraId="55AE8C7A" w14:textId="0EE46E42" w:rsidR="00894FB7" w:rsidRPr="00BF01C2" w:rsidRDefault="00894FB7" w:rsidP="000532DC">
      <w:pPr>
        <w:jc w:val="both"/>
        <w:rPr>
          <w:rFonts w:ascii="Arial" w:hAnsi="Arial" w:cs="Arial"/>
          <w:sz w:val="24"/>
          <w:szCs w:val="24"/>
          <w:highlight w:val="yellow"/>
          <w:u w:val="single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Capacidad de derecho</w:t>
      </w:r>
    </w:p>
    <w:p w14:paraId="4D23B2B4" w14:textId="091B3FA0" w:rsidR="00710285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Toda persona humana goza de la aptitud para ser titular de derechos y</w:t>
      </w:r>
      <w:r w:rsidR="00710285" w:rsidRPr="00BF01C2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deberes jurídicos. La ley puede privar o limitar esta capacidad respecto de</w:t>
      </w:r>
      <w:r w:rsidR="00710285" w:rsidRPr="00BF01C2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hechos, simples actos, o actos jurídicos determinados.</w:t>
      </w:r>
    </w:p>
    <w:p w14:paraId="6D8B7A61" w14:textId="77777777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Capacidad de derecho y capacidad de hecho</w:t>
      </w:r>
    </w:p>
    <w:p w14:paraId="1AE2D706" w14:textId="77777777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La capacidad, en términos generales, es la aptitud de la persona para ser titular de derechos, adquirir obligaciones y ejercer dichos derechos por sí misma.</w:t>
      </w:r>
    </w:p>
    <w:p w14:paraId="0B5FB75B" w14:textId="77777777" w:rsidR="00710285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El derecho civil tradicional ha calificado a la capacidad como un atributo de la persona,</w:t>
      </w:r>
      <w:r w:rsidR="00710285" w:rsidRPr="00BF01C2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inherente a su condición de tal; por su parte, el reconocimiento de la capacidad guarda</w:t>
      </w:r>
      <w:r w:rsidR="00710285" w:rsidRPr="00BF01C2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relación con el respeto de la dignidad y libertad personal y por ello sus eventuales limitaciones solo pueden ser establecidas legalmente.</w:t>
      </w:r>
      <w:r w:rsidRPr="000532DC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7F9850D7" w14:textId="16D6CB7C" w:rsidR="00710285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Desde que la capacidad siempre constituye la regla, se admite la existencia de determinadas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incapacidades solo con carácter restrictivo, excepcional y en función de la protección de un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determinado interés. Las limitaciones a la capacidad no pueden ser totales o absolutas.</w:t>
      </w:r>
      <w:r w:rsidR="00A538F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El reconocimiento de la capacidad y su regulación constituyen materia de orden público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en un ordenamiento jurídico, por lo cual las partes no pueden efectuar pactos o concesiones al respecto que importen desconocer las normas imperativas.</w:t>
      </w:r>
    </w:p>
    <w:p w14:paraId="494911B7" w14:textId="77777777" w:rsidR="00A538F5" w:rsidRDefault="00A538F5" w:rsidP="000532DC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11624A42" w14:textId="77777777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Capacidad de derecho. Limitaciones</w:t>
      </w:r>
    </w:p>
    <w:p w14:paraId="3B9B0560" w14:textId="700E0398" w:rsidR="00710285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Tradicionalmente, el concepto de capacidad se ha dividido en capacidad de derecho y</w:t>
      </w:r>
      <w:r w:rsidR="00A538F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capacidad de hecho o de obrar, de ejercicio o goce. La capacidad de derecho refiere a</w:t>
      </w:r>
      <w:r w:rsidR="00A538F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la aptitud que toda persona inviste, por el solo hecho de ser tal, para adquirir derechos</w:t>
      </w:r>
      <w:r w:rsidR="00A538F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y contraer obligaciones, independientemente de si esto es actuado por ella misma o con</w:t>
      </w:r>
      <w:r w:rsidR="00A538F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intervención o intermediación de un tercero. Este último aspecto es el cubierto por la noción de capacidad de hecho, también llamada capacidad de obrar, que refiere a la aptitud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 xml:space="preserve">de la persona para adquirir y/o ejercer tales derechos por sí misma. </w:t>
      </w:r>
    </w:p>
    <w:p w14:paraId="452A0B51" w14:textId="77777777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El CCyC mantiene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esta clasificación, si bien mejora los conceptos a través de su redacción, que resulta a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todas luces más clara y exacta.</w:t>
      </w:r>
    </w:p>
    <w:p w14:paraId="7900FB4A" w14:textId="77777777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Las incapacidades de derecho se instituyen,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en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protección de ciertos intereses y nunca de modo general en referencia a una persona, ya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que ello importaría negar el concepto de sujeto de derecho, propio de la persona humana. La incapacidad de derecho apunta a la consideración de dicha persona frente a determinados actos concretos; así, por ejemplo, las incapacidades establecidas en relación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a la celebración de determinados contratos —compraventa, donación—, los contratos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 xml:space="preserve">prohibidos entre padres e hijos en </w:t>
      </w:r>
      <w:r w:rsidRPr="000532DC">
        <w:rPr>
          <w:rFonts w:ascii="Arial" w:hAnsi="Arial" w:cs="Arial"/>
          <w:sz w:val="24"/>
          <w:szCs w:val="24"/>
          <w:lang w:val="es-AR"/>
        </w:rPr>
        <w:lastRenderedPageBreak/>
        <w:t>el ejercicio de la responsabilidad parental, ente el tutor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y su pupilo, las inhabilidades para suceder, etc.</w:t>
      </w:r>
    </w:p>
    <w:p w14:paraId="030171C4" w14:textId="69AB3AA6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Según clarifica la norma en comentario, las restricciones se imponen a una persona en</w:t>
      </w:r>
      <w:r w:rsidR="00A538F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 xml:space="preserve">relación con ciertos hechos, simples actos o actos </w:t>
      </w:r>
      <w:r w:rsidR="00A538F5">
        <w:rPr>
          <w:rFonts w:ascii="Arial" w:hAnsi="Arial" w:cs="Arial"/>
          <w:sz w:val="24"/>
          <w:szCs w:val="24"/>
          <w:lang w:val="es-AR"/>
        </w:rPr>
        <w:t>j</w:t>
      </w:r>
      <w:r w:rsidRPr="000532DC">
        <w:rPr>
          <w:rFonts w:ascii="Arial" w:hAnsi="Arial" w:cs="Arial"/>
          <w:sz w:val="24"/>
          <w:szCs w:val="24"/>
          <w:lang w:val="es-AR"/>
        </w:rPr>
        <w:t>urídicos. Para comprender las diferencias entre estos últimos conceptos debe recurrirse a la regulación sobre los hechos y actos jurídicos que en el CCyC se establece a partir del art. 257 y ss. Así, el hecho jurídico es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un acontecimiento que, conforme el ordenamiento, produce el nacimiento, modificación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o extinción de relaciones o situaciones jurídicas. El simple acto lícito, en tanto, es una acción voluntaria no prohibida por la ley, de la que resulta alguna adquisición, modificación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o extinción de relaciones o situaciones jurídicas (art. 258 CCyC). Y, finalmente, el acto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jurídico es el acto voluntario lícito que tiene por fin inmediato la adquisición, modificación</w:t>
      </w:r>
      <w:r w:rsidR="00710285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o extinción de relaciones o situaciones jurídicas (art. 259 CCyC).</w:t>
      </w:r>
    </w:p>
    <w:p w14:paraId="723D184F" w14:textId="77777777" w:rsidR="00710285" w:rsidRDefault="00710285" w:rsidP="000532DC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2CDA7162" w14:textId="2D87049A" w:rsidR="00710285" w:rsidRPr="00041425" w:rsidRDefault="00894FB7" w:rsidP="000532DC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041425">
        <w:rPr>
          <w:rFonts w:ascii="Arial" w:hAnsi="Arial" w:cs="Arial"/>
          <w:sz w:val="24"/>
          <w:szCs w:val="24"/>
          <w:u w:val="single"/>
          <w:lang w:val="es-AR"/>
        </w:rPr>
        <w:t>Capacidad de ejercicio</w:t>
      </w:r>
    </w:p>
    <w:p w14:paraId="533C789E" w14:textId="77777777" w:rsidR="00894FB7" w:rsidRPr="00BF01C2" w:rsidRDefault="00894FB7" w:rsidP="000532DC">
      <w:pPr>
        <w:jc w:val="both"/>
        <w:rPr>
          <w:rFonts w:ascii="Arial" w:hAnsi="Arial" w:cs="Arial"/>
          <w:sz w:val="24"/>
          <w:szCs w:val="24"/>
          <w:highlight w:val="yellow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Toda persona humana puede ejercer por sí misma sus derechos, excepto las</w:t>
      </w:r>
      <w:r w:rsidR="00710285" w:rsidRPr="00BF01C2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limitaciones expresamente previstas en este Código y en una sentencia judicial.</w:t>
      </w:r>
    </w:p>
    <w:p w14:paraId="6D4E781C" w14:textId="77777777" w:rsidR="00894FB7" w:rsidRPr="00BF01C2" w:rsidRDefault="00894FB7" w:rsidP="000532DC">
      <w:pPr>
        <w:jc w:val="both"/>
        <w:rPr>
          <w:rFonts w:ascii="Arial" w:hAnsi="Arial" w:cs="Arial"/>
          <w:sz w:val="24"/>
          <w:szCs w:val="24"/>
          <w:highlight w:val="yellow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Capacidad de hecho o ejercicio</w:t>
      </w:r>
    </w:p>
    <w:p w14:paraId="45E3C33E" w14:textId="0C314B73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La capacidad de hecho se define como la capacidad de obrar, de acto; es por ello que</w:t>
      </w:r>
      <w:r w:rsidR="006318B5" w:rsidRPr="00BF01C2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también es llamada capacidad de ejercicio o de goce. Se refiere a la aptitud para actuar</w:t>
      </w:r>
      <w:r w:rsidR="00A538F5" w:rsidRPr="00BF01C2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por sí los derechos reconocidos por el ordenamiento.</w:t>
      </w:r>
    </w:p>
    <w:p w14:paraId="74559693" w14:textId="0411AB69" w:rsidR="00894FB7" w:rsidRPr="000532DC" w:rsidRDefault="006318B5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</w:t>
      </w:r>
      <w:r w:rsidR="00894FB7" w:rsidRPr="000532DC">
        <w:rPr>
          <w:rFonts w:ascii="Arial" w:hAnsi="Arial" w:cs="Arial"/>
          <w:sz w:val="24"/>
          <w:szCs w:val="24"/>
          <w:lang w:val="es-AR"/>
        </w:rPr>
        <w:t>as regulaciones jurídicas han diseñado como justificación o fundamento de estas incapacidades la protección del sujeto; las restricciones admisibles a la capacidad de hecho se fundan en ciertas condiciones de la persona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894FB7" w:rsidRPr="000532DC">
        <w:rPr>
          <w:rFonts w:ascii="Arial" w:hAnsi="Arial" w:cs="Arial"/>
          <w:sz w:val="24"/>
          <w:szCs w:val="24"/>
          <w:lang w:val="es-AR"/>
        </w:rPr>
        <w:t>—tradicionalmente, la minoría de edad y la condición de salud mental— que la tornan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894FB7" w:rsidRPr="000532DC">
        <w:rPr>
          <w:rFonts w:ascii="Arial" w:hAnsi="Arial" w:cs="Arial"/>
          <w:sz w:val="24"/>
          <w:szCs w:val="24"/>
          <w:lang w:val="es-AR"/>
        </w:rPr>
        <w:t>vulnerable frente a terceros, exponiéndola a riesgo de perjuicio o abuso jurídico</w:t>
      </w:r>
      <w:r w:rsidR="008A15F6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127E74E6" w14:textId="7F6D374B" w:rsidR="00894FB7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Como respuesta a la limitación que importa la incapacidad, se establece la figura que represente a esta persona impedida de obrar; en el caso de los menores de edad, sus representantes legales —padres o tutores—, y en el de las personas mayores de edad, su curador.</w:t>
      </w:r>
    </w:p>
    <w:p w14:paraId="090975F2" w14:textId="77777777" w:rsidR="00041425" w:rsidRDefault="00041425" w:rsidP="000532DC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6E4AEE0D" w14:textId="2FC8581F" w:rsidR="008A15F6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Personas incapaces de ejercici</w:t>
      </w:r>
      <w:r w:rsidR="008A15F6">
        <w:rPr>
          <w:rFonts w:ascii="Arial" w:hAnsi="Arial" w:cs="Arial"/>
          <w:sz w:val="24"/>
          <w:szCs w:val="24"/>
          <w:lang w:val="es-AR"/>
        </w:rPr>
        <w:t xml:space="preserve">o. </w:t>
      </w:r>
    </w:p>
    <w:p w14:paraId="34FAC735" w14:textId="75142DD0" w:rsidR="00E23B56" w:rsidRPr="00BF01C2" w:rsidRDefault="00894FB7" w:rsidP="00E23B56">
      <w:pPr>
        <w:jc w:val="both"/>
        <w:rPr>
          <w:rFonts w:ascii="Arial" w:hAnsi="Arial" w:cs="Arial"/>
          <w:sz w:val="24"/>
          <w:szCs w:val="24"/>
          <w:highlight w:val="yellow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Son incapaces de ejercicio:</w:t>
      </w:r>
      <w:r w:rsidR="00E23B56" w:rsidRPr="00BF01C2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</w:p>
    <w:p w14:paraId="72C440D9" w14:textId="171CB94E" w:rsidR="00E23B56" w:rsidRPr="000532DC" w:rsidRDefault="00E23B56" w:rsidP="00E23B56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a) La persona por nacer</w:t>
      </w:r>
      <w:r>
        <w:rPr>
          <w:rFonts w:ascii="Arial" w:hAnsi="Arial" w:cs="Arial"/>
          <w:sz w:val="24"/>
          <w:szCs w:val="24"/>
          <w:lang w:val="es-AR"/>
        </w:rPr>
        <w:t xml:space="preserve">: </w:t>
      </w:r>
      <w:r w:rsidRPr="000532DC">
        <w:rPr>
          <w:rFonts w:ascii="Arial" w:hAnsi="Arial" w:cs="Arial"/>
          <w:sz w:val="24"/>
          <w:szCs w:val="24"/>
          <w:lang w:val="es-AR"/>
        </w:rPr>
        <w:t>Es clara su imposibilidad de ejercer derechos.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Que la persona por nacer ostenta la condición de persona humana surge del art. 19 y ss.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del CCyC. Según el citado artículo, el comienzo de la existencia de la persona tiene lugar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con la concepción. El término concepción debe ser entendido conforme la interpretación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lastRenderedPageBreak/>
        <w:t>constitucional/convencional de la doctrina de la Corte IDH en el caso “</w:t>
      </w:r>
      <w:proofErr w:type="spellStart"/>
      <w:r w:rsidRPr="000532DC">
        <w:rPr>
          <w:rFonts w:ascii="Arial" w:hAnsi="Arial" w:cs="Arial"/>
          <w:sz w:val="24"/>
          <w:szCs w:val="24"/>
          <w:lang w:val="es-AR"/>
        </w:rPr>
        <w:t>Artavia</w:t>
      </w:r>
      <w:proofErr w:type="spellEnd"/>
      <w:r w:rsidRPr="000532DC">
        <w:rPr>
          <w:rFonts w:ascii="Arial" w:hAnsi="Arial" w:cs="Arial"/>
          <w:sz w:val="24"/>
          <w:szCs w:val="24"/>
          <w:lang w:val="es-AR"/>
        </w:rPr>
        <w:t xml:space="preserve"> Murillo </w:t>
      </w:r>
      <w:proofErr w:type="spellStart"/>
      <w:r w:rsidRPr="000532DC">
        <w:rPr>
          <w:rFonts w:ascii="Arial" w:hAnsi="Arial" w:cs="Arial"/>
          <w:sz w:val="24"/>
          <w:szCs w:val="24"/>
          <w:lang w:val="es-AR"/>
        </w:rPr>
        <w:t>vs.Costa</w:t>
      </w:r>
      <w:proofErr w:type="spellEnd"/>
      <w:r w:rsidRPr="000532DC">
        <w:rPr>
          <w:rFonts w:ascii="Arial" w:hAnsi="Arial" w:cs="Arial"/>
          <w:sz w:val="24"/>
          <w:szCs w:val="24"/>
          <w:lang w:val="es-AR"/>
        </w:rPr>
        <w:t xml:space="preserve"> Rica”, del 28/11/2012. </w:t>
      </w:r>
      <w:r>
        <w:rPr>
          <w:rFonts w:ascii="Arial" w:hAnsi="Arial" w:cs="Arial"/>
          <w:sz w:val="24"/>
          <w:szCs w:val="24"/>
          <w:lang w:val="es-AR"/>
        </w:rPr>
        <w:t>(E</w:t>
      </w:r>
      <w:r w:rsidRPr="000532DC">
        <w:rPr>
          <w:rFonts w:ascii="Arial" w:hAnsi="Arial" w:cs="Arial"/>
          <w:sz w:val="24"/>
          <w:szCs w:val="24"/>
          <w:lang w:val="es-AR"/>
        </w:rPr>
        <w:t>l embrión no implantado no puede ser entendido persona y que, en dicho sentido normativo,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la “concepción” tiene lugar cuando el embrión se implanta en el útero</w:t>
      </w:r>
      <w:r>
        <w:rPr>
          <w:rFonts w:ascii="Arial" w:hAnsi="Arial" w:cs="Arial"/>
          <w:sz w:val="24"/>
          <w:szCs w:val="24"/>
          <w:lang w:val="es-AR"/>
        </w:rPr>
        <w:t xml:space="preserve">). </w:t>
      </w:r>
      <w:r w:rsidRPr="000532DC">
        <w:rPr>
          <w:rFonts w:ascii="Arial" w:hAnsi="Arial" w:cs="Arial"/>
          <w:sz w:val="24"/>
          <w:szCs w:val="24"/>
          <w:lang w:val="es-AR"/>
        </w:rPr>
        <w:t xml:space="preserve">Son representantes de las personas por nacer, sus padres </w:t>
      </w:r>
    </w:p>
    <w:p w14:paraId="1B48EAB1" w14:textId="11426ADA" w:rsidR="00E23B56" w:rsidRPr="000532DC" w:rsidRDefault="00894FB7" w:rsidP="00E23B56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b) la persona que no cuenta con la edad y grado de madurez suficiente</w:t>
      </w:r>
      <w:r w:rsidRPr="000532DC">
        <w:rPr>
          <w:rFonts w:ascii="Arial" w:hAnsi="Arial" w:cs="Arial"/>
          <w:sz w:val="24"/>
          <w:szCs w:val="24"/>
          <w:lang w:val="es-AR"/>
        </w:rPr>
        <w:t>, con</w:t>
      </w:r>
      <w:r w:rsidR="008A15F6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el alcance dispuesto en la Sección 2ª de este Capítulo;</w:t>
      </w:r>
      <w:r w:rsidR="00E23B56">
        <w:rPr>
          <w:rFonts w:ascii="Arial" w:hAnsi="Arial" w:cs="Arial"/>
          <w:sz w:val="24"/>
          <w:szCs w:val="24"/>
          <w:lang w:val="es-AR"/>
        </w:rPr>
        <w:t xml:space="preserve"> </w:t>
      </w:r>
      <w:r w:rsidR="00E23B56" w:rsidRPr="000532DC">
        <w:rPr>
          <w:rFonts w:ascii="Arial" w:hAnsi="Arial" w:cs="Arial"/>
          <w:sz w:val="24"/>
          <w:szCs w:val="24"/>
          <w:lang w:val="es-AR"/>
        </w:rPr>
        <w:t>La referencia a la presencia de una cierta “edad y madurez suficiente” da cuenta de que</w:t>
      </w:r>
      <w:r w:rsidR="00E23B56">
        <w:rPr>
          <w:rFonts w:ascii="Arial" w:hAnsi="Arial" w:cs="Arial"/>
          <w:sz w:val="24"/>
          <w:szCs w:val="24"/>
          <w:lang w:val="es-AR"/>
        </w:rPr>
        <w:t xml:space="preserve"> </w:t>
      </w:r>
      <w:r w:rsidR="00E23B56" w:rsidRPr="000532DC">
        <w:rPr>
          <w:rFonts w:ascii="Arial" w:hAnsi="Arial" w:cs="Arial"/>
          <w:sz w:val="24"/>
          <w:szCs w:val="24"/>
          <w:lang w:val="es-AR"/>
        </w:rPr>
        <w:t>el sistema se aleja de conceptos más rígidos —como el de capacidad civil tradicional—, al</w:t>
      </w:r>
      <w:r w:rsidR="00E23B56">
        <w:rPr>
          <w:rFonts w:ascii="Arial" w:hAnsi="Arial" w:cs="Arial"/>
          <w:sz w:val="24"/>
          <w:szCs w:val="24"/>
          <w:lang w:val="es-AR"/>
        </w:rPr>
        <w:t xml:space="preserve"> </w:t>
      </w:r>
      <w:r w:rsidR="00E23B56" w:rsidRPr="000532DC">
        <w:rPr>
          <w:rFonts w:ascii="Arial" w:hAnsi="Arial" w:cs="Arial"/>
          <w:sz w:val="24"/>
          <w:szCs w:val="24"/>
          <w:lang w:val="es-AR"/>
        </w:rPr>
        <w:t>tiempo que emparenta mayormente con la noción bioética de “competencia”, que refiere</w:t>
      </w:r>
      <w:r w:rsidR="00E23B56">
        <w:rPr>
          <w:rFonts w:ascii="Arial" w:hAnsi="Arial" w:cs="Arial"/>
          <w:sz w:val="24"/>
          <w:szCs w:val="24"/>
          <w:lang w:val="es-AR"/>
        </w:rPr>
        <w:t xml:space="preserve"> </w:t>
      </w:r>
      <w:r w:rsidR="00E23B56" w:rsidRPr="000532DC">
        <w:rPr>
          <w:rFonts w:ascii="Arial" w:hAnsi="Arial" w:cs="Arial"/>
          <w:sz w:val="24"/>
          <w:szCs w:val="24"/>
          <w:lang w:val="es-AR"/>
        </w:rPr>
        <w:t>a la existencia de ciertas condiciones personales que permiten entender configurada una</w:t>
      </w:r>
      <w:r w:rsidR="00E23B56">
        <w:rPr>
          <w:rFonts w:ascii="Arial" w:hAnsi="Arial" w:cs="Arial"/>
          <w:sz w:val="24"/>
          <w:szCs w:val="24"/>
          <w:lang w:val="es-AR"/>
        </w:rPr>
        <w:t xml:space="preserve"> </w:t>
      </w:r>
      <w:r w:rsidR="00E23B56" w:rsidRPr="000532DC">
        <w:rPr>
          <w:rFonts w:ascii="Arial" w:hAnsi="Arial" w:cs="Arial"/>
          <w:sz w:val="24"/>
          <w:szCs w:val="24"/>
          <w:lang w:val="es-AR"/>
        </w:rPr>
        <w:t>determinada aptitud, suficiente para el acto de cuyo ejercicio se trata. Esta noción toma en consideración la posibilidad personal de</w:t>
      </w:r>
      <w:r w:rsidR="00E23B56">
        <w:rPr>
          <w:rFonts w:ascii="Arial" w:hAnsi="Arial" w:cs="Arial"/>
          <w:sz w:val="24"/>
          <w:szCs w:val="24"/>
          <w:lang w:val="es-AR"/>
        </w:rPr>
        <w:t xml:space="preserve"> </w:t>
      </w:r>
      <w:r w:rsidR="00E23B56" w:rsidRPr="000532DC">
        <w:rPr>
          <w:rFonts w:ascii="Arial" w:hAnsi="Arial" w:cs="Arial"/>
          <w:sz w:val="24"/>
          <w:szCs w:val="24"/>
          <w:lang w:val="es-AR"/>
        </w:rPr>
        <w:t>comprender, razonar, evaluar y finalmente decidir en relación al acto concreto en juego.</w:t>
      </w:r>
    </w:p>
    <w:p w14:paraId="2DAAF72B" w14:textId="77777777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c) la persona declarada incapaz por sentencia judicial, en la extensión dispuesta en esa decisión.</w:t>
      </w:r>
    </w:p>
    <w:p w14:paraId="3935ADBE" w14:textId="5B5717DB" w:rsidR="002C53CE" w:rsidRDefault="002C53CE" w:rsidP="000532DC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5C7097F5" w14:textId="33E95E60" w:rsidR="00894FB7" w:rsidRPr="00BF01C2" w:rsidRDefault="00894FB7" w:rsidP="000532DC">
      <w:pPr>
        <w:jc w:val="both"/>
        <w:rPr>
          <w:rFonts w:ascii="Arial" w:hAnsi="Arial" w:cs="Arial"/>
          <w:sz w:val="24"/>
          <w:szCs w:val="24"/>
          <w:highlight w:val="yellow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Menor de edad y adolescente</w:t>
      </w:r>
    </w:p>
    <w:p w14:paraId="02A8A81A" w14:textId="7AC64747" w:rsidR="00E75953" w:rsidRPr="00BF01C2" w:rsidRDefault="00894FB7" w:rsidP="000532DC">
      <w:pPr>
        <w:jc w:val="both"/>
        <w:rPr>
          <w:rFonts w:ascii="Arial" w:hAnsi="Arial" w:cs="Arial"/>
          <w:sz w:val="24"/>
          <w:szCs w:val="24"/>
          <w:highlight w:val="yellow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Menor de edad es la persona que no ha cumplido dieciocho años.</w:t>
      </w:r>
      <w:r w:rsidR="00F47B1A" w:rsidRPr="00BF01C2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Este Código denomina adolescente a la persona menor de edad que cumplió trece años.</w:t>
      </w:r>
    </w:p>
    <w:p w14:paraId="2051BE7E" w14:textId="37CCF535" w:rsidR="00894FB7" w:rsidRDefault="00894FB7" w:rsidP="00E7595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Este piso de los trece años es entonces la pauta de distinción para los dos grupos que</w:t>
      </w:r>
      <w:r w:rsidR="00E75953" w:rsidRPr="00BF01C2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F01C2">
        <w:rPr>
          <w:rFonts w:ascii="Arial" w:hAnsi="Arial" w:cs="Arial"/>
          <w:sz w:val="24"/>
          <w:szCs w:val="24"/>
          <w:highlight w:val="yellow"/>
          <w:lang w:val="es-AR"/>
        </w:rPr>
        <w:t>conforman el universo de infancia: niños y adolescentes.</w:t>
      </w:r>
      <w:r w:rsidRPr="000532DC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5472F335" w14:textId="23C8E068" w:rsidR="00E75953" w:rsidRDefault="00894FB7" w:rsidP="00E7595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La incorporación de la categoría diferenciada “adolescente” en el CCyC no es una mera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cuestión nominal, sino que provoca concretos efectos jurídicos. En efecto, ubicarse en la franja adolescente genera una presunción de madurez para determinados actos que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habilita su ejercicio por la persona menor de edad, a pesar de su condición de minoridad.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Así, por ejemplo, a partir de los 13 años el adolescente puede decidir por sí respecto a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tratamientos de salud no invasivos o que no impliquen riesgo para su salud o su vida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(art. 26 CCyC); en los casos de conflicto de intereses con sus representantes legales naturales —padres— en los que corresponda la designación de tutor especial, si el menor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de edad es adolescente puede actuar por sí, en cuyo caso el juez puede decidir que no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es necesaria la designación de tutor especial, actuando entonces el joven con patrocinio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letrado (art. 109, inc. a CCyC); la facultad de iniciar una acción autónoma para conocer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los orígenes (art. 596 CCyC) se concede en favor del adolescente, además del derecho de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 xml:space="preserve">todo adoptado con edad y madurez suficiente para acceder a los expedientes administrativos y judiciales y a toda información registral relacionada con su adopción; </w:t>
      </w:r>
      <w:r w:rsidR="00E75953">
        <w:rPr>
          <w:rFonts w:ascii="Arial" w:hAnsi="Arial" w:cs="Arial"/>
          <w:sz w:val="24"/>
          <w:szCs w:val="24"/>
          <w:lang w:val="es-AR"/>
        </w:rPr>
        <w:t xml:space="preserve">etc. </w:t>
      </w:r>
    </w:p>
    <w:p w14:paraId="7F5400CD" w14:textId="77777777" w:rsidR="00E75953" w:rsidRPr="000532DC" w:rsidRDefault="00E75953" w:rsidP="000532DC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60D77C31" w14:textId="77777777" w:rsidR="00041425" w:rsidRDefault="00041425" w:rsidP="000532DC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39471563" w14:textId="2CB2C25F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Ejercicio de los derechos por la persona menor de edad</w:t>
      </w:r>
    </w:p>
    <w:p w14:paraId="2C4A6AC2" w14:textId="4935E264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B0946">
        <w:rPr>
          <w:rFonts w:ascii="Arial" w:hAnsi="Arial" w:cs="Arial"/>
          <w:sz w:val="24"/>
          <w:szCs w:val="24"/>
          <w:highlight w:val="yellow"/>
          <w:lang w:val="es-AR"/>
        </w:rPr>
        <w:t>La persona menor de edad ejerce sus derechos a través de sus representantes legales.</w:t>
      </w:r>
      <w:r w:rsidR="00E75953" w:rsidRPr="00BB0946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B0946">
        <w:rPr>
          <w:rFonts w:ascii="Arial" w:hAnsi="Arial" w:cs="Arial"/>
          <w:sz w:val="24"/>
          <w:szCs w:val="24"/>
          <w:highlight w:val="yellow"/>
          <w:lang w:val="es-AR"/>
        </w:rPr>
        <w:t>No obstante, la que cuenta con edad y grado de madurez suficiente puede</w:t>
      </w:r>
      <w:r w:rsidR="00E75953" w:rsidRPr="00BB0946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B0946">
        <w:rPr>
          <w:rFonts w:ascii="Arial" w:hAnsi="Arial" w:cs="Arial"/>
          <w:sz w:val="24"/>
          <w:szCs w:val="24"/>
          <w:highlight w:val="yellow"/>
          <w:lang w:val="es-AR"/>
        </w:rPr>
        <w:t>ejercer por sí los actos que le son permitidos por el ordenamiento jurídico. En situaciones de conflicto de intereses con sus representantes legales,</w:t>
      </w:r>
      <w:r w:rsidR="00E75953" w:rsidRPr="00BB0946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B0946">
        <w:rPr>
          <w:rFonts w:ascii="Arial" w:hAnsi="Arial" w:cs="Arial"/>
          <w:sz w:val="24"/>
          <w:szCs w:val="24"/>
          <w:highlight w:val="yellow"/>
          <w:lang w:val="es-AR"/>
        </w:rPr>
        <w:t>puede intervenir con asistencia letrada</w:t>
      </w:r>
      <w:r w:rsidRPr="000532DC">
        <w:rPr>
          <w:rFonts w:ascii="Arial" w:hAnsi="Arial" w:cs="Arial"/>
          <w:sz w:val="24"/>
          <w:szCs w:val="24"/>
          <w:lang w:val="es-AR"/>
        </w:rPr>
        <w:t>.</w:t>
      </w:r>
    </w:p>
    <w:p w14:paraId="7CFFC2A2" w14:textId="74BB0EB5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B0946">
        <w:rPr>
          <w:rFonts w:ascii="Arial" w:hAnsi="Arial" w:cs="Arial"/>
          <w:sz w:val="24"/>
          <w:szCs w:val="24"/>
          <w:highlight w:val="yellow"/>
          <w:lang w:val="es-AR"/>
        </w:rPr>
        <w:t>La persona menor de edad tiene derecho a ser oída en todo proceso judicial</w:t>
      </w:r>
      <w:r w:rsidR="00E75953" w:rsidRPr="00BB0946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B0946">
        <w:rPr>
          <w:rFonts w:ascii="Arial" w:hAnsi="Arial" w:cs="Arial"/>
          <w:sz w:val="24"/>
          <w:szCs w:val="24"/>
          <w:highlight w:val="yellow"/>
          <w:lang w:val="es-AR"/>
        </w:rPr>
        <w:t>que le concierne así como a participar en las decisiones sobre su persona.</w:t>
      </w:r>
    </w:p>
    <w:p w14:paraId="72A8B89D" w14:textId="351CE28A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Se presume que el adolescente entre trece y dieciséis años tiene aptitud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para decidir por sí respecto de aquellos tratamientos que no resultan invasivos, ni comprometen su estado de salud o provocan un riesgo grave en su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vida o integridad física.</w:t>
      </w:r>
    </w:p>
    <w:p w14:paraId="10C40C39" w14:textId="68969940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32DC">
        <w:rPr>
          <w:rFonts w:ascii="Arial" w:hAnsi="Arial" w:cs="Arial"/>
          <w:sz w:val="24"/>
          <w:szCs w:val="24"/>
          <w:lang w:val="es-AR"/>
        </w:rPr>
        <w:t>Si se trata de tratamientos invasivos que comprometen su estado de salud o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está en riesgo la integridad o la vida, el adolescente debe prestar su consentimiento con la asistencia de sus progenitores; el conflicto entre ambos se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resuelve teniendo en cuenta su interés superior, sobre la base de la opinión</w:t>
      </w:r>
      <w:r w:rsidR="00E75953">
        <w:rPr>
          <w:rFonts w:ascii="Arial" w:hAnsi="Arial" w:cs="Arial"/>
          <w:sz w:val="24"/>
          <w:szCs w:val="24"/>
          <w:lang w:val="es-AR"/>
        </w:rPr>
        <w:t xml:space="preserve"> </w:t>
      </w:r>
      <w:r w:rsidRPr="000532DC">
        <w:rPr>
          <w:rFonts w:ascii="Arial" w:hAnsi="Arial" w:cs="Arial"/>
          <w:sz w:val="24"/>
          <w:szCs w:val="24"/>
          <w:lang w:val="es-AR"/>
        </w:rPr>
        <w:t>médica respecto a las consecuencias de la realización o no del acto médico.</w:t>
      </w:r>
    </w:p>
    <w:p w14:paraId="722241C1" w14:textId="3E9A4AB6" w:rsidR="00894FB7" w:rsidRPr="000532DC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BB0946">
        <w:rPr>
          <w:rFonts w:ascii="Arial" w:hAnsi="Arial" w:cs="Arial"/>
          <w:sz w:val="24"/>
          <w:szCs w:val="24"/>
          <w:highlight w:val="yellow"/>
          <w:lang w:val="es-AR"/>
        </w:rPr>
        <w:t>A partir de los dieciséis años el adolescente es considerado como un adulto</w:t>
      </w:r>
      <w:r w:rsidR="00E75953" w:rsidRPr="00BB0946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BB0946">
        <w:rPr>
          <w:rFonts w:ascii="Arial" w:hAnsi="Arial" w:cs="Arial"/>
          <w:sz w:val="24"/>
          <w:szCs w:val="24"/>
          <w:highlight w:val="yellow"/>
          <w:lang w:val="es-AR"/>
        </w:rPr>
        <w:t>para las decisiones atinentes al cuidado de su propio cuerpo.</w:t>
      </w:r>
      <w:bookmarkStart w:id="0" w:name="_GoBack"/>
      <w:bookmarkEnd w:id="0"/>
    </w:p>
    <w:p w14:paraId="02FC2AC7" w14:textId="32DC3B46" w:rsidR="00894FB7" w:rsidRPr="00975E1D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75E1D">
        <w:rPr>
          <w:rFonts w:ascii="Arial" w:hAnsi="Arial" w:cs="Arial"/>
          <w:sz w:val="24"/>
          <w:szCs w:val="24"/>
          <w:lang w:val="es-AR"/>
        </w:rPr>
        <w:t>¿cuáles son las tres situaciones contempladas</w:t>
      </w:r>
      <w:r w:rsidR="00975E1D" w:rsidRPr="00975E1D">
        <w:rPr>
          <w:rFonts w:ascii="Arial" w:hAnsi="Arial" w:cs="Arial"/>
          <w:sz w:val="24"/>
          <w:szCs w:val="24"/>
          <w:lang w:val="es-AR"/>
        </w:rPr>
        <w:t xml:space="preserve"> </w:t>
      </w:r>
      <w:r w:rsidRPr="00975E1D">
        <w:rPr>
          <w:rFonts w:ascii="Arial" w:hAnsi="Arial" w:cs="Arial"/>
          <w:sz w:val="24"/>
          <w:szCs w:val="24"/>
          <w:lang w:val="es-AR"/>
        </w:rPr>
        <w:t>por la norma?</w:t>
      </w:r>
    </w:p>
    <w:p w14:paraId="0AF2E2E7" w14:textId="67B8C06C" w:rsidR="00894FB7" w:rsidRPr="00975E1D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75E1D">
        <w:rPr>
          <w:rFonts w:ascii="Arial" w:hAnsi="Arial" w:cs="Arial"/>
          <w:sz w:val="24"/>
          <w:szCs w:val="24"/>
          <w:lang w:val="es-AR"/>
        </w:rPr>
        <w:t>a) Respecto de la pretensión de ejercicio de derechos y actos que no comprometen la</w:t>
      </w:r>
      <w:r w:rsidR="00975E1D">
        <w:rPr>
          <w:rFonts w:ascii="Arial" w:hAnsi="Arial" w:cs="Arial"/>
          <w:sz w:val="24"/>
          <w:szCs w:val="24"/>
          <w:lang w:val="es-AR"/>
        </w:rPr>
        <w:t xml:space="preserve"> </w:t>
      </w:r>
      <w:r w:rsidRPr="00975E1D">
        <w:rPr>
          <w:rFonts w:ascii="Arial" w:hAnsi="Arial" w:cs="Arial"/>
          <w:sz w:val="24"/>
          <w:szCs w:val="24"/>
          <w:lang w:val="es-AR"/>
        </w:rPr>
        <w:t>salud del adolescente ni provocan riesgo en su integridad física —y psíquica—, la sola</w:t>
      </w:r>
      <w:r w:rsidR="00975E1D">
        <w:rPr>
          <w:rFonts w:ascii="Arial" w:hAnsi="Arial" w:cs="Arial"/>
          <w:sz w:val="24"/>
          <w:szCs w:val="24"/>
          <w:lang w:val="es-AR"/>
        </w:rPr>
        <w:t xml:space="preserve"> </w:t>
      </w:r>
      <w:r w:rsidRPr="00975E1D">
        <w:rPr>
          <w:rFonts w:ascii="Arial" w:hAnsi="Arial" w:cs="Arial"/>
          <w:sz w:val="24"/>
          <w:szCs w:val="24"/>
          <w:lang w:val="es-AR"/>
        </w:rPr>
        <w:t>petición del adolescente hace presumir su aptitud para el acto que desea practicar.</w:t>
      </w:r>
    </w:p>
    <w:p w14:paraId="3ED62A33" w14:textId="38332BC5" w:rsidR="00894FB7" w:rsidRPr="00975E1D" w:rsidRDefault="00975E1D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</w:t>
      </w:r>
      <w:r w:rsidR="00894FB7" w:rsidRPr="00975E1D">
        <w:rPr>
          <w:rFonts w:ascii="Arial" w:hAnsi="Arial" w:cs="Arial"/>
          <w:sz w:val="24"/>
          <w:szCs w:val="24"/>
          <w:lang w:val="es-AR"/>
        </w:rPr>
        <w:t>) Frente a tratamientos invasivos que sí comprometen la integridad, salud o vida del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894FB7" w:rsidRPr="00975E1D">
        <w:rPr>
          <w:rFonts w:ascii="Arial" w:hAnsi="Arial" w:cs="Arial"/>
          <w:sz w:val="24"/>
          <w:szCs w:val="24"/>
          <w:lang w:val="es-AR"/>
        </w:rPr>
        <w:t>adolescente, se exige la asistencia del representante, con el consentimiento de la persona menor de edad. No se está hablando de representación ni de sustitución, sino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894FB7" w:rsidRPr="00975E1D">
        <w:rPr>
          <w:rFonts w:ascii="Arial" w:hAnsi="Arial" w:cs="Arial"/>
          <w:sz w:val="24"/>
          <w:szCs w:val="24"/>
          <w:lang w:val="es-AR"/>
        </w:rPr>
        <w:t>de asistencia: es el adolescente el que presta el consentimiento, asistido por su representante.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894FB7" w:rsidRPr="00975E1D">
        <w:rPr>
          <w:rFonts w:ascii="Arial" w:hAnsi="Arial" w:cs="Arial"/>
          <w:sz w:val="24"/>
          <w:szCs w:val="24"/>
          <w:lang w:val="es-AR"/>
        </w:rPr>
        <w:t>Siendo previsible la generación de conflictos entre las opiniones de quien consiente y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894FB7" w:rsidRPr="00975E1D">
        <w:rPr>
          <w:rFonts w:ascii="Arial" w:hAnsi="Arial" w:cs="Arial"/>
          <w:sz w:val="24"/>
          <w:szCs w:val="24"/>
          <w:lang w:val="es-AR"/>
        </w:rPr>
        <w:t>quien/es asienten, ello se resuelve judicialmente, debiendo la decisión considerar dos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894FB7" w:rsidRPr="00975E1D">
        <w:rPr>
          <w:rFonts w:ascii="Arial" w:hAnsi="Arial" w:cs="Arial"/>
          <w:sz w:val="24"/>
          <w:szCs w:val="24"/>
          <w:lang w:val="es-AR"/>
        </w:rPr>
        <w:t>pautas: por un lado, el interés superior del niño y, por el otro —si bien se trata de un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894FB7" w:rsidRPr="00975E1D">
        <w:rPr>
          <w:rFonts w:ascii="Arial" w:hAnsi="Arial" w:cs="Arial"/>
          <w:sz w:val="24"/>
          <w:szCs w:val="24"/>
          <w:lang w:val="es-AR"/>
        </w:rPr>
        <w:t>efecto que también se mide para delinear y adoptar la decisión que realiza tal interés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894FB7" w:rsidRPr="00975E1D">
        <w:rPr>
          <w:rFonts w:ascii="Arial" w:hAnsi="Arial" w:cs="Arial"/>
          <w:sz w:val="24"/>
          <w:szCs w:val="24"/>
          <w:lang w:val="es-AR"/>
        </w:rPr>
        <w:t>superior—, la opinión médica respecto a las consecuencias de la realización del acto.</w:t>
      </w:r>
    </w:p>
    <w:p w14:paraId="391DBA4C" w14:textId="77777777" w:rsidR="007C009E" w:rsidRPr="00975E1D" w:rsidRDefault="00894FB7" w:rsidP="000532DC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75E1D">
        <w:rPr>
          <w:rFonts w:ascii="Arial" w:hAnsi="Arial" w:cs="Arial"/>
          <w:sz w:val="24"/>
          <w:szCs w:val="24"/>
          <w:lang w:val="es-AR"/>
        </w:rPr>
        <w:t>c) A partir de los 16 años el sistema se independiza de las previsiones, incapacidad y competencia, considerándose como un mayor de edad al efecto de la decisión médica.</w:t>
      </w:r>
    </w:p>
    <w:sectPr w:rsidR="007C009E" w:rsidRPr="0097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5AC74" w14:textId="77777777" w:rsidR="00937522" w:rsidRDefault="00937522" w:rsidP="00235AE1">
      <w:pPr>
        <w:spacing w:after="0" w:line="240" w:lineRule="auto"/>
      </w:pPr>
      <w:r>
        <w:separator/>
      </w:r>
    </w:p>
  </w:endnote>
  <w:endnote w:type="continuationSeparator" w:id="0">
    <w:p w14:paraId="35A48B7B" w14:textId="77777777" w:rsidR="00937522" w:rsidRDefault="00937522" w:rsidP="0023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9033B" w14:textId="77777777" w:rsidR="00937522" w:rsidRDefault="00937522" w:rsidP="00235AE1">
      <w:pPr>
        <w:spacing w:after="0" w:line="240" w:lineRule="auto"/>
      </w:pPr>
      <w:r>
        <w:separator/>
      </w:r>
    </w:p>
  </w:footnote>
  <w:footnote w:type="continuationSeparator" w:id="0">
    <w:p w14:paraId="60F03C88" w14:textId="77777777" w:rsidR="00937522" w:rsidRDefault="00937522" w:rsidP="0023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815DE"/>
    <w:multiLevelType w:val="hybridMultilevel"/>
    <w:tmpl w:val="59D263A6"/>
    <w:lvl w:ilvl="0" w:tplc="BAE44E2C">
      <w:start w:val="1"/>
      <w:numFmt w:val="lowerLetter"/>
      <w:lvlText w:val="%1)"/>
      <w:lvlJc w:val="left"/>
      <w:pPr>
        <w:ind w:left="2910" w:hanging="2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B7"/>
    <w:rsid w:val="00041425"/>
    <w:rsid w:val="000532DC"/>
    <w:rsid w:val="000C0DB0"/>
    <w:rsid w:val="001F6990"/>
    <w:rsid w:val="00235AE1"/>
    <w:rsid w:val="002C53CE"/>
    <w:rsid w:val="006318B5"/>
    <w:rsid w:val="00710285"/>
    <w:rsid w:val="007C009E"/>
    <w:rsid w:val="00894FB7"/>
    <w:rsid w:val="008A15F6"/>
    <w:rsid w:val="00937522"/>
    <w:rsid w:val="00942BBD"/>
    <w:rsid w:val="00975E1D"/>
    <w:rsid w:val="00A5281D"/>
    <w:rsid w:val="00A538F5"/>
    <w:rsid w:val="00B71F55"/>
    <w:rsid w:val="00BB0946"/>
    <w:rsid w:val="00BC3F45"/>
    <w:rsid w:val="00BF01C2"/>
    <w:rsid w:val="00E23B56"/>
    <w:rsid w:val="00E75953"/>
    <w:rsid w:val="00EF024D"/>
    <w:rsid w:val="00F4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7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E1"/>
  </w:style>
  <w:style w:type="paragraph" w:styleId="Footer">
    <w:name w:val="footer"/>
    <w:basedOn w:val="Normal"/>
    <w:link w:val="FooterChar"/>
    <w:uiPriority w:val="99"/>
    <w:unhideWhenUsed/>
    <w:rsid w:val="0023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E1"/>
  </w:style>
  <w:style w:type="paragraph" w:styleId="Footer">
    <w:name w:val="footer"/>
    <w:basedOn w:val="Normal"/>
    <w:link w:val="FooterChar"/>
    <w:uiPriority w:val="99"/>
    <w:unhideWhenUsed/>
    <w:rsid w:val="0023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1584</Words>
  <Characters>8714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Buratovich</dc:creator>
  <cp:keywords/>
  <dc:description/>
  <cp:lastModifiedBy>Proxy Screw</cp:lastModifiedBy>
  <cp:revision>4</cp:revision>
  <dcterms:created xsi:type="dcterms:W3CDTF">2020-04-28T11:14:00Z</dcterms:created>
  <dcterms:modified xsi:type="dcterms:W3CDTF">2020-05-12T02:46:00Z</dcterms:modified>
</cp:coreProperties>
</file>