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C3473" w14:textId="20836FAF" w:rsidR="00247B0E" w:rsidRDefault="440B54D7" w:rsidP="368D4930">
      <w:pPr>
        <w:spacing w:line="276" w:lineRule="auto"/>
        <w:jc w:val="both"/>
        <w:rPr>
          <w:rFonts w:ascii="Arial" w:eastAsia="Arial" w:hAnsi="Arial" w:cs="Arial"/>
          <w:b/>
          <w:bCs/>
          <w:sz w:val="28"/>
          <w:szCs w:val="28"/>
          <w:u w:val="single"/>
        </w:rPr>
      </w:pPr>
      <w:r w:rsidRPr="440B54D7">
        <w:rPr>
          <w:rFonts w:ascii="Arial" w:eastAsia="Arial" w:hAnsi="Arial" w:cs="Arial"/>
          <w:b/>
          <w:bCs/>
          <w:sz w:val="28"/>
          <w:szCs w:val="28"/>
          <w:u w:val="single"/>
        </w:rPr>
        <w:t>¿Qué es una patente y un modelo de utilidad?</w:t>
      </w:r>
      <w:r w:rsidRPr="440B54D7">
        <w:rPr>
          <w:rFonts w:ascii="Arial" w:eastAsia="Arial" w:hAnsi="Arial" w:cs="Arial"/>
          <w:b/>
          <w:bCs/>
          <w:sz w:val="28"/>
          <w:szCs w:val="28"/>
        </w:rPr>
        <w:t xml:space="preserve"> </w:t>
      </w:r>
    </w:p>
    <w:p w14:paraId="54943702" w14:textId="4B07F737"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Toda invención se inicia cuando se detecta un problema a resolver y se propone una solución técnica específica, utilizando elementos conocidos que, combinados de una manera especial, dan origen a un nuevo objeto desconocido hasta ese momento. </w:t>
      </w:r>
    </w:p>
    <w:p w14:paraId="5A966F02" w14:textId="01EB8BA8"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Por lo tanto, debe contar con alguna característica nueva que no sea conocida en el cuerpo de conocimiento existente hasta el momento en el ámbito técnico (Estado de la Técnica). </w:t>
      </w:r>
    </w:p>
    <w:p w14:paraId="6F710919" w14:textId="2BBE435C"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Existen algunas invenciones que no parten de algo conocido, sino que definen de cero una nueva tecnología que reemplaza a la anterior, como fue el rayo láser en su momento o la tecnología digital versus la analógica. Este tipo de invenciones son esporádicas y por lo general marcan hitos culturales que definen una época, por lo cual no son un ejemplo representativo de lo que se considera una invención “tipo”. </w:t>
      </w:r>
    </w:p>
    <w:p w14:paraId="05320481" w14:textId="1F0F15F2"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Una patente de invención puede ser un objeto, un procedimiento, un aparato para fabricar el objeto, un compuesto químico, un microorganismo, etc. En todos los casos, debe cumplir con los tres requisitos de patentabilidad: novedad, actividad inventiva y aplicación industrial.</w:t>
      </w:r>
      <w:r w:rsidRPr="368D4930">
        <w:rPr>
          <w:rFonts w:ascii="Arial" w:eastAsia="Arial" w:hAnsi="Arial" w:cs="Arial"/>
          <w:sz w:val="24"/>
          <w:szCs w:val="24"/>
        </w:rPr>
        <w:t xml:space="preserve"> </w:t>
      </w:r>
    </w:p>
    <w:p w14:paraId="3EE1A583" w14:textId="44122CEE"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Un modelo de utilidad se otorga únicamente a una disposición o forma nueva obtenida o introducida en herramientas, instrumentos de trabajo, utensilios, dispositivos u objetos conocidos que se presten a un trabajo práctico, en cuanto importen una mejor utilización en la función a que estén destinados. </w:t>
      </w:r>
    </w:p>
    <w:p w14:paraId="59EBE8E1" w14:textId="0E82DBCF"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En todos los casos, un modelo de utilidad debe cumplir sólo con dos requisitos de patentabilidad: novedad y aplicación industrial, pero puede no tener actividad inventiva, ya que este requisito no es obligatorio.</w:t>
      </w:r>
      <w:r w:rsidRPr="368D4930">
        <w:rPr>
          <w:rFonts w:ascii="Arial" w:eastAsia="Arial" w:hAnsi="Arial" w:cs="Arial"/>
          <w:sz w:val="24"/>
          <w:szCs w:val="24"/>
        </w:rPr>
        <w:t xml:space="preserve"> </w:t>
      </w:r>
    </w:p>
    <w:p w14:paraId="67E9DFE9" w14:textId="648785AA"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0EF80D7E" w14:textId="739A6866" w:rsidR="00247B0E" w:rsidRDefault="440B54D7" w:rsidP="368D4930">
      <w:pPr>
        <w:spacing w:line="276" w:lineRule="auto"/>
        <w:jc w:val="both"/>
        <w:rPr>
          <w:rFonts w:ascii="Arial" w:eastAsia="Arial" w:hAnsi="Arial" w:cs="Arial"/>
          <w:b/>
          <w:bCs/>
          <w:sz w:val="28"/>
          <w:szCs w:val="28"/>
          <w:u w:val="single"/>
        </w:rPr>
      </w:pPr>
      <w:r w:rsidRPr="440B54D7">
        <w:rPr>
          <w:rFonts w:ascii="Arial" w:eastAsia="Arial" w:hAnsi="Arial" w:cs="Arial"/>
          <w:b/>
          <w:bCs/>
          <w:sz w:val="28"/>
          <w:szCs w:val="28"/>
          <w:u w:val="single"/>
        </w:rPr>
        <w:t>¿</w:t>
      </w:r>
      <w:proofErr w:type="spellStart"/>
      <w:r w:rsidRPr="440B54D7">
        <w:rPr>
          <w:rFonts w:ascii="Arial" w:eastAsia="Arial" w:hAnsi="Arial" w:cs="Arial"/>
          <w:b/>
          <w:bCs/>
          <w:sz w:val="28"/>
          <w:szCs w:val="28"/>
          <w:u w:val="single"/>
        </w:rPr>
        <w:t>Cuales</w:t>
      </w:r>
      <w:proofErr w:type="spellEnd"/>
      <w:r w:rsidRPr="440B54D7">
        <w:rPr>
          <w:rFonts w:ascii="Arial" w:eastAsia="Arial" w:hAnsi="Arial" w:cs="Arial"/>
          <w:b/>
          <w:bCs/>
          <w:sz w:val="28"/>
          <w:szCs w:val="28"/>
          <w:u w:val="single"/>
        </w:rPr>
        <w:t xml:space="preserve"> son los derechos?</w:t>
      </w:r>
      <w:r w:rsidRPr="440B54D7">
        <w:rPr>
          <w:rFonts w:ascii="Arial" w:eastAsia="Arial" w:hAnsi="Arial" w:cs="Arial"/>
          <w:b/>
          <w:bCs/>
          <w:sz w:val="28"/>
          <w:szCs w:val="28"/>
        </w:rPr>
        <w:t xml:space="preserve"> </w:t>
      </w:r>
    </w:p>
    <w:p w14:paraId="5B758B86" w14:textId="569EF0C4"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Una patente de invención es un derecho que el Estado otorga al inventor para ejercer la exclusividad sobre su invento. Lo habilita para impedir que terceros, sin autorización, realicen actos de fabricación, uso, oferta para la venta, venta o importación del producto o procedimiento patentado.</w:t>
      </w:r>
      <w:r w:rsidRPr="368D4930">
        <w:rPr>
          <w:rFonts w:ascii="Arial" w:eastAsia="Arial" w:hAnsi="Arial" w:cs="Arial"/>
          <w:sz w:val="24"/>
          <w:szCs w:val="24"/>
        </w:rPr>
        <w:t xml:space="preserve"> </w:t>
      </w:r>
    </w:p>
    <w:p w14:paraId="200923E1" w14:textId="2DA03FDF"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Como toda patente es un bien intangible y al igual que un título de propiedad inmobiliario o automotor, </w:t>
      </w:r>
      <w:r w:rsidRPr="00173F95">
        <w:rPr>
          <w:rFonts w:ascii="Arial" w:eastAsia="Arial" w:hAnsi="Arial" w:cs="Arial"/>
          <w:sz w:val="24"/>
          <w:szCs w:val="24"/>
          <w:highlight w:val="yellow"/>
        </w:rPr>
        <w:t>el titular puede venderla, dejarla como herencia o incluso regalarla.</w:t>
      </w:r>
      <w:r w:rsidRPr="368D4930">
        <w:rPr>
          <w:rFonts w:ascii="Arial" w:eastAsia="Arial" w:hAnsi="Arial" w:cs="Arial"/>
          <w:sz w:val="24"/>
          <w:szCs w:val="24"/>
        </w:rPr>
        <w:t xml:space="preserve"> </w:t>
      </w:r>
    </w:p>
    <w:p w14:paraId="100F83BC" w14:textId="559F9D3F"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El modelo de utilidad es un derecho que se otorga al inventor para proteger las innovaciones introducidas a herramientas, instrumentos de trabajo u objetos que sirvan para usos prácticos. </w:t>
      </w:r>
    </w:p>
    <w:p w14:paraId="427F22A2" w14:textId="4D6557CD"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lastRenderedPageBreak/>
        <w:t xml:space="preserve">En ambos casos el inventor, a cambio de este derecho exclusivo, debe compartir información sobre su investigación para enriquecer el conocimiento público y promover la creatividad e innovación. </w:t>
      </w:r>
    </w:p>
    <w:p w14:paraId="55B4CABB" w14:textId="353E48E9"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Tiempo de protección Patentes: 20 años por única vez. Modelos de utilidad: 10 años por única vez.</w:t>
      </w:r>
    </w:p>
    <w:p w14:paraId="4AB045E1" w14:textId="480836A5"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44059354" w14:textId="5467CAC4" w:rsidR="00247B0E" w:rsidRDefault="368D4930" w:rsidP="368D4930">
      <w:pPr>
        <w:spacing w:line="276" w:lineRule="auto"/>
        <w:jc w:val="both"/>
        <w:rPr>
          <w:rFonts w:ascii="Arial" w:eastAsia="Arial" w:hAnsi="Arial" w:cs="Arial"/>
          <w:b/>
          <w:bCs/>
          <w:sz w:val="28"/>
          <w:szCs w:val="28"/>
          <w:u w:val="single"/>
        </w:rPr>
      </w:pPr>
      <w:r w:rsidRPr="368D4930">
        <w:rPr>
          <w:rFonts w:ascii="Arial" w:eastAsia="Arial" w:hAnsi="Arial" w:cs="Arial"/>
          <w:b/>
          <w:bCs/>
          <w:sz w:val="28"/>
          <w:szCs w:val="28"/>
          <w:u w:val="single"/>
        </w:rPr>
        <w:t>Convenio de París:</w:t>
      </w:r>
      <w:r w:rsidRPr="368D4930">
        <w:rPr>
          <w:rFonts w:ascii="Arial" w:eastAsia="Arial" w:hAnsi="Arial" w:cs="Arial"/>
          <w:b/>
          <w:bCs/>
          <w:sz w:val="28"/>
          <w:szCs w:val="28"/>
        </w:rPr>
        <w:t xml:space="preserve"> </w:t>
      </w:r>
    </w:p>
    <w:p w14:paraId="2B9BF429" w14:textId="783ACCEE"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Es un tratado firmado por nuestro país, ratificado por la ley 17.011 y según su artículo 1° los países a los cuales se aplica el Convenio se constituyen en Unión para la protección de la propiedad industrial. </w:t>
      </w:r>
    </w:p>
    <w:p w14:paraId="06AD01EA" w14:textId="6F507591"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Entre sus beneficios más notorios, establece que quien hubiere depositado en algún país miembro una solicitud de patente o modelo de utilidad y estuviera interesado en presentar la misma solicitud en algún otro país miembro, tiene derecho a pedir un certificado de prioridad. </w:t>
      </w:r>
    </w:p>
    <w:p w14:paraId="3E768981" w14:textId="280096C1"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Esto significa en términos concretos, que cuando se evalúe la novedad de lo propuesto en los países donde se invocó la prioridad, la fecha que tendrán en cuenta será la de la presentación original en nuestro país y no la de la presentación en esos países, siempre y cuando dicha segunda presentación se hubiere realizado dentro de 1 año a partir de la presentación original en nuestro país. </w:t>
      </w:r>
    </w:p>
    <w:p w14:paraId="3E610C48" w14:textId="7EDF6C75" w:rsidR="00247B0E" w:rsidRDefault="00247B0E" w:rsidP="368D4930">
      <w:pPr>
        <w:spacing w:line="276" w:lineRule="auto"/>
        <w:jc w:val="both"/>
        <w:rPr>
          <w:rFonts w:ascii="Arial" w:eastAsia="Arial" w:hAnsi="Arial" w:cs="Arial"/>
          <w:sz w:val="24"/>
          <w:szCs w:val="24"/>
        </w:rPr>
      </w:pPr>
    </w:p>
    <w:p w14:paraId="365BCD4A" w14:textId="1D2600A7"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Ley de Patentes y Modelos de Utilidad (Ley 24.481) </w:t>
      </w:r>
    </w:p>
    <w:p w14:paraId="2B3225FB" w14:textId="734709DA"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1E1320BA" w14:textId="310DF0BE" w:rsidR="00247B0E" w:rsidRDefault="368D4930" w:rsidP="368D4930">
      <w:pPr>
        <w:spacing w:line="276" w:lineRule="auto"/>
        <w:jc w:val="both"/>
        <w:rPr>
          <w:rFonts w:ascii="Arial" w:eastAsia="Arial" w:hAnsi="Arial" w:cs="Arial"/>
          <w:b/>
          <w:bCs/>
          <w:sz w:val="28"/>
          <w:szCs w:val="28"/>
        </w:rPr>
      </w:pPr>
      <w:r w:rsidRPr="368D4930">
        <w:rPr>
          <w:rFonts w:ascii="Arial" w:eastAsia="Arial" w:hAnsi="Arial" w:cs="Arial"/>
          <w:b/>
          <w:bCs/>
          <w:sz w:val="28"/>
          <w:szCs w:val="28"/>
          <w:u w:val="single"/>
        </w:rPr>
        <w:t>Clasificación Internacional de Patentes (CIP)</w:t>
      </w:r>
    </w:p>
    <w:p w14:paraId="396806B6" w14:textId="5D308F60"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La Clasificación Internacional de Patentes (CIP) se utiliza para clasificar las patentes y los modelos de utilidad en función de los diferentes campos de la tecnología a los que se refieren. La Clasificación Internacional de Patentes (CIP) fue establecida por el Arreglo de Estrasburgo en 1971 y es revisada constantemente por el Comité de Expertos de la CIP. </w:t>
      </w:r>
    </w:p>
    <w:p w14:paraId="5D6FA169" w14:textId="3781B11B"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Las clasificaciones internacionales facilitan esas búsquedas al organizar la información relativa a las invenciones, las marcas y los dibujos y modelos industriales en estructuras indexadas y manejables que permiten recuperarla fácilmente.</w:t>
      </w:r>
    </w:p>
    <w:p w14:paraId="6B3F34F8" w14:textId="02C81B35"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1109FF68" w14:textId="032DC6D9" w:rsidR="00247B0E" w:rsidRDefault="440B54D7" w:rsidP="368D4930">
      <w:pPr>
        <w:spacing w:line="276" w:lineRule="auto"/>
        <w:jc w:val="both"/>
        <w:rPr>
          <w:rFonts w:ascii="Arial" w:eastAsia="Arial" w:hAnsi="Arial" w:cs="Arial"/>
          <w:sz w:val="24"/>
          <w:szCs w:val="24"/>
        </w:rPr>
      </w:pPr>
      <w:r w:rsidRPr="440B54D7">
        <w:rPr>
          <w:rFonts w:ascii="Arial" w:eastAsia="Arial" w:hAnsi="Arial" w:cs="Arial"/>
          <w:b/>
          <w:bCs/>
          <w:sz w:val="28"/>
          <w:szCs w:val="28"/>
          <w:u w:val="single"/>
        </w:rPr>
        <w:t>Tramites a iniciar:</w:t>
      </w:r>
      <w:r w:rsidRPr="440B54D7">
        <w:rPr>
          <w:rFonts w:ascii="Arial" w:eastAsia="Arial" w:hAnsi="Arial" w:cs="Arial"/>
          <w:b/>
          <w:bCs/>
          <w:sz w:val="28"/>
          <w:szCs w:val="28"/>
        </w:rPr>
        <w:t xml:space="preserve"> </w:t>
      </w:r>
    </w:p>
    <w:p w14:paraId="3A0E4230" w14:textId="15A46D2C" w:rsidR="00247B0E" w:rsidRDefault="368D4930" w:rsidP="368D4930">
      <w:pPr>
        <w:pStyle w:val="ListParagraph"/>
        <w:numPr>
          <w:ilvl w:val="0"/>
          <w:numId w:val="1"/>
        </w:numPr>
        <w:spacing w:line="276" w:lineRule="auto"/>
        <w:jc w:val="both"/>
        <w:rPr>
          <w:rFonts w:ascii="Arial" w:eastAsia="Arial" w:hAnsi="Arial" w:cs="Arial"/>
          <w:sz w:val="24"/>
          <w:szCs w:val="24"/>
        </w:rPr>
      </w:pPr>
      <w:r w:rsidRPr="368D4930">
        <w:rPr>
          <w:rFonts w:ascii="Arial" w:eastAsia="Arial" w:hAnsi="Arial" w:cs="Arial"/>
          <w:sz w:val="24"/>
          <w:szCs w:val="24"/>
        </w:rPr>
        <w:lastRenderedPageBreak/>
        <w:t xml:space="preserve">Presentación de solicitud: El trámite puede iniciarse presentando el formulario y la documentación completa utilizando:  Portal de Trámites Online </w:t>
      </w:r>
    </w:p>
    <w:p w14:paraId="528BAA4C" w14:textId="5E2C289C" w:rsidR="00247B0E" w:rsidRDefault="368D4930" w:rsidP="368D4930">
      <w:pPr>
        <w:pStyle w:val="ListParagraph"/>
        <w:numPr>
          <w:ilvl w:val="0"/>
          <w:numId w:val="1"/>
        </w:numPr>
        <w:spacing w:line="276" w:lineRule="auto"/>
        <w:jc w:val="both"/>
        <w:rPr>
          <w:sz w:val="24"/>
          <w:szCs w:val="24"/>
        </w:rPr>
      </w:pPr>
      <w:r w:rsidRPr="368D4930">
        <w:rPr>
          <w:rFonts w:ascii="Arial" w:eastAsia="Arial" w:hAnsi="Arial" w:cs="Arial"/>
          <w:sz w:val="24"/>
          <w:szCs w:val="24"/>
        </w:rPr>
        <w:t xml:space="preserve"> correo postal. </w:t>
      </w:r>
    </w:p>
    <w:p w14:paraId="619C90D9" w14:textId="35FBB974" w:rsidR="00247B0E" w:rsidRDefault="368D4930" w:rsidP="368D4930">
      <w:pPr>
        <w:pStyle w:val="ListParagraph"/>
        <w:numPr>
          <w:ilvl w:val="0"/>
          <w:numId w:val="1"/>
        </w:numPr>
        <w:spacing w:line="276" w:lineRule="auto"/>
        <w:jc w:val="both"/>
        <w:rPr>
          <w:sz w:val="24"/>
          <w:szCs w:val="24"/>
        </w:rPr>
      </w:pPr>
      <w:r w:rsidRPr="368D4930">
        <w:rPr>
          <w:rFonts w:ascii="Arial" w:eastAsia="Arial" w:hAnsi="Arial" w:cs="Arial"/>
          <w:sz w:val="24"/>
          <w:szCs w:val="24"/>
        </w:rPr>
        <w:t xml:space="preserve"> personalmente en el INPI. </w:t>
      </w:r>
    </w:p>
    <w:p w14:paraId="434E592A" w14:textId="5E6B264F" w:rsidR="00247B0E" w:rsidRDefault="00247B0E" w:rsidP="368D4930">
      <w:pPr>
        <w:spacing w:line="276" w:lineRule="auto"/>
        <w:ind w:left="360"/>
        <w:jc w:val="both"/>
        <w:rPr>
          <w:rFonts w:ascii="Arial" w:eastAsia="Arial" w:hAnsi="Arial" w:cs="Arial"/>
          <w:sz w:val="24"/>
          <w:szCs w:val="24"/>
        </w:rPr>
      </w:pPr>
    </w:p>
    <w:p w14:paraId="46B64307" w14:textId="5BC041FB" w:rsidR="00247B0E" w:rsidRDefault="368D4930" w:rsidP="368D4930">
      <w:pPr>
        <w:spacing w:line="276" w:lineRule="auto"/>
        <w:jc w:val="both"/>
        <w:rPr>
          <w:rFonts w:ascii="Arial" w:eastAsia="Arial" w:hAnsi="Arial" w:cs="Arial"/>
          <w:b/>
          <w:bCs/>
          <w:sz w:val="28"/>
          <w:szCs w:val="28"/>
          <w:u w:val="single"/>
        </w:rPr>
      </w:pPr>
      <w:r w:rsidRPr="368D4930">
        <w:rPr>
          <w:rFonts w:ascii="Arial" w:eastAsia="Arial" w:hAnsi="Arial" w:cs="Arial"/>
          <w:b/>
          <w:bCs/>
          <w:sz w:val="28"/>
          <w:szCs w:val="28"/>
          <w:u w:val="single"/>
        </w:rPr>
        <w:t>Transferir:</w:t>
      </w:r>
      <w:r w:rsidRPr="368D4930">
        <w:rPr>
          <w:rFonts w:ascii="Arial" w:eastAsia="Arial" w:hAnsi="Arial" w:cs="Arial"/>
          <w:b/>
          <w:bCs/>
          <w:sz w:val="28"/>
          <w:szCs w:val="28"/>
        </w:rPr>
        <w:t xml:space="preserve"> </w:t>
      </w:r>
    </w:p>
    <w:p w14:paraId="7BBAFFB8" w14:textId="7F776397"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Transferir o ceder la Patente y/o Modelo de Utilidad concedidos, garantiza la propiedad y el uso exclusivo de la misma a una tercera persona, pudiendo ejercer todas las defensas por el uso no autorizado por parte de terceros.</w:t>
      </w:r>
      <w:r w:rsidRPr="368D4930">
        <w:rPr>
          <w:rFonts w:ascii="Arial" w:eastAsia="Arial" w:hAnsi="Arial" w:cs="Arial"/>
          <w:sz w:val="24"/>
          <w:szCs w:val="24"/>
        </w:rPr>
        <w:t xml:space="preserve"> </w:t>
      </w:r>
    </w:p>
    <w:p w14:paraId="79A3A7A1" w14:textId="3037DF06"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El Trámite puede realizarse tanto en forma personal, como a través de un Agente de la Propiedad Industrial. Cuando las Solicitudes sean presentadas por medio de representante legal, este deberá acreditar su personería</w:t>
      </w:r>
    </w:p>
    <w:p w14:paraId="5A30C822" w14:textId="23CA81F7"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b/>
          <w:bCs/>
          <w:sz w:val="24"/>
          <w:szCs w:val="24"/>
        </w:rPr>
        <w:t xml:space="preserve">mediante: </w:t>
      </w:r>
      <w:r w:rsidRPr="368D4930">
        <w:rPr>
          <w:rFonts w:ascii="Arial" w:eastAsia="Arial" w:hAnsi="Arial" w:cs="Arial"/>
          <w:sz w:val="24"/>
          <w:szCs w:val="24"/>
        </w:rPr>
        <w:t xml:space="preserve">                                       </w:t>
      </w:r>
    </w:p>
    <w:p w14:paraId="4B4F3396" w14:textId="5C877E9F"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a) Poder o copia de poder certificada que lo faculte.                                       </w:t>
      </w:r>
    </w:p>
    <w:p w14:paraId="1416AEB3" w14:textId="622C72CF"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b) Poder otorgado de conformidad con la legislación aplicable en el lugar donde se otorgue o de acuerdo a los tratados internacionales, en caso de que el representante sea una persona jurídica extranjera.                                        </w:t>
      </w:r>
    </w:p>
    <w:p w14:paraId="7AA940F6" w14:textId="1AF6D6D6"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c) En cada expediente que se tramite deberá acreditarse la personería del representante, siendo suficiente una copia simple del poder suscripta por el apoderado, si el poder se encontrara inscripto en el registro general de poderes que obrara en el INSTITUTO NACIONAL DE LA PROPIEDAD INDUSTRIAL bastará con mencionar el número del mismo. Se debe constituir un domicilio legal en el ámbito del Territorio Nacional.</w:t>
      </w:r>
    </w:p>
    <w:p w14:paraId="528784B9" w14:textId="6380A92F" w:rsidR="00247B0E" w:rsidRDefault="00247B0E" w:rsidP="368D4930">
      <w:pPr>
        <w:spacing w:line="276" w:lineRule="auto"/>
        <w:jc w:val="both"/>
        <w:rPr>
          <w:rFonts w:ascii="Arial" w:eastAsia="Arial" w:hAnsi="Arial" w:cs="Arial"/>
          <w:sz w:val="24"/>
          <w:szCs w:val="24"/>
        </w:rPr>
      </w:pPr>
    </w:p>
    <w:p w14:paraId="3227D8E0" w14:textId="3077DC92" w:rsidR="00247B0E" w:rsidRDefault="440B54D7" w:rsidP="368D4930">
      <w:pPr>
        <w:spacing w:line="276" w:lineRule="auto"/>
        <w:jc w:val="both"/>
        <w:rPr>
          <w:rFonts w:ascii="Arial" w:eastAsia="Arial" w:hAnsi="Arial" w:cs="Arial"/>
          <w:b/>
          <w:bCs/>
          <w:sz w:val="28"/>
          <w:szCs w:val="28"/>
          <w:u w:val="single"/>
        </w:rPr>
      </w:pPr>
      <w:r w:rsidRPr="440B54D7">
        <w:rPr>
          <w:rFonts w:ascii="Arial" w:eastAsia="Arial" w:hAnsi="Arial" w:cs="Arial"/>
          <w:b/>
          <w:bCs/>
          <w:sz w:val="28"/>
          <w:szCs w:val="28"/>
          <w:u w:val="single"/>
        </w:rPr>
        <w:t>¿Qué es una marca?</w:t>
      </w:r>
      <w:r w:rsidRPr="440B54D7">
        <w:rPr>
          <w:rFonts w:ascii="Arial" w:eastAsia="Arial" w:hAnsi="Arial" w:cs="Arial"/>
          <w:b/>
          <w:bCs/>
          <w:sz w:val="28"/>
          <w:szCs w:val="28"/>
        </w:rPr>
        <w:t xml:space="preserve"> </w:t>
      </w:r>
    </w:p>
    <w:p w14:paraId="0F8340F1" w14:textId="775602BF"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Las marcas son un signo distintivo por el cual los diferentes productores, comerciantes o proveedores de productos o servicios, diferencian sus productos o servicios en el mercado</w:t>
      </w:r>
      <w:r w:rsidRPr="368D4930">
        <w:rPr>
          <w:rFonts w:ascii="Arial" w:eastAsia="Arial" w:hAnsi="Arial" w:cs="Arial"/>
          <w:sz w:val="24"/>
          <w:szCs w:val="24"/>
        </w:rPr>
        <w:t xml:space="preserve">. Las marcas pueden ser: </w:t>
      </w:r>
    </w:p>
    <w:p w14:paraId="21B5E7AF" w14:textId="2D005112" w:rsidR="00247B0E" w:rsidRDefault="440B54D7"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Denominativas: son las compuestas única y exclusivamente por palabras, letras o números y sus combinaciones.  Figurativas: son los símbolos gráficos, dibujos y logotipos.  Mixtas: son las que se integran por la combinación de elementos denominativos y figurativos a la vez, o de elementos nominativos cuya grafía se presente de forma estilizada.</w:t>
      </w:r>
      <w:r w:rsidRPr="440B54D7">
        <w:rPr>
          <w:rFonts w:ascii="Arial" w:eastAsia="Arial" w:hAnsi="Arial" w:cs="Arial"/>
          <w:sz w:val="24"/>
          <w:szCs w:val="24"/>
        </w:rPr>
        <w:t xml:space="preserve"> </w:t>
      </w:r>
    </w:p>
    <w:p w14:paraId="263BE406" w14:textId="31C6FD46" w:rsidR="440B54D7" w:rsidRDefault="440B54D7" w:rsidP="440B54D7">
      <w:pPr>
        <w:spacing w:line="276" w:lineRule="auto"/>
        <w:jc w:val="both"/>
        <w:rPr>
          <w:rFonts w:ascii="Arial" w:eastAsia="Arial" w:hAnsi="Arial" w:cs="Arial"/>
          <w:sz w:val="24"/>
          <w:szCs w:val="24"/>
        </w:rPr>
      </w:pPr>
    </w:p>
    <w:p w14:paraId="557AB903" w14:textId="2832C79A" w:rsidR="440B54D7" w:rsidRDefault="440B54D7" w:rsidP="440B54D7">
      <w:pPr>
        <w:spacing w:line="276" w:lineRule="auto"/>
        <w:jc w:val="both"/>
        <w:rPr>
          <w:rFonts w:ascii="Arial" w:eastAsia="Arial" w:hAnsi="Arial" w:cs="Arial"/>
          <w:b/>
          <w:bCs/>
          <w:sz w:val="28"/>
          <w:szCs w:val="28"/>
          <w:u w:val="single"/>
        </w:rPr>
      </w:pPr>
      <w:r w:rsidRPr="440B54D7">
        <w:rPr>
          <w:rFonts w:ascii="Arial" w:eastAsia="Arial" w:hAnsi="Arial" w:cs="Arial"/>
          <w:b/>
          <w:bCs/>
          <w:sz w:val="28"/>
          <w:szCs w:val="28"/>
          <w:u w:val="single"/>
        </w:rPr>
        <w:t>Características de las marcas:</w:t>
      </w:r>
    </w:p>
    <w:p w14:paraId="1324AC22" w14:textId="45593133" w:rsidR="00247B0E" w:rsidRPr="00173F95" w:rsidRDefault="440B54D7" w:rsidP="440B54D7">
      <w:pPr>
        <w:spacing w:line="276" w:lineRule="auto"/>
        <w:jc w:val="both"/>
        <w:rPr>
          <w:rFonts w:ascii="Arial" w:eastAsia="Arial" w:hAnsi="Arial" w:cs="Arial"/>
          <w:sz w:val="24"/>
          <w:szCs w:val="24"/>
          <w:highlight w:val="yellow"/>
        </w:rPr>
      </w:pPr>
      <w:r w:rsidRPr="00173F95">
        <w:rPr>
          <w:rFonts w:ascii="Arial" w:eastAsia="Arial" w:hAnsi="Arial" w:cs="Arial"/>
          <w:sz w:val="24"/>
          <w:szCs w:val="24"/>
          <w:highlight w:val="yellow"/>
        </w:rPr>
        <w:lastRenderedPageBreak/>
        <w:t xml:space="preserve">Tridimensionales: formas de productos o parte de ellos.  </w:t>
      </w:r>
    </w:p>
    <w:p w14:paraId="7221D287" w14:textId="0B212821" w:rsidR="00247B0E" w:rsidRPr="00173F95" w:rsidRDefault="440B54D7" w:rsidP="440B54D7">
      <w:pPr>
        <w:spacing w:line="276" w:lineRule="auto"/>
        <w:jc w:val="both"/>
        <w:rPr>
          <w:rFonts w:ascii="Arial" w:eastAsia="Arial" w:hAnsi="Arial" w:cs="Arial"/>
          <w:sz w:val="24"/>
          <w:szCs w:val="24"/>
          <w:highlight w:val="yellow"/>
        </w:rPr>
      </w:pPr>
      <w:r w:rsidRPr="00173F95">
        <w:rPr>
          <w:rFonts w:ascii="Arial" w:eastAsia="Arial" w:hAnsi="Arial" w:cs="Arial"/>
          <w:sz w:val="24"/>
          <w:szCs w:val="24"/>
          <w:highlight w:val="yellow"/>
        </w:rPr>
        <w:t xml:space="preserve">Sonoras: acordes o melodías distintivas y que puedan representarse gráficamente. </w:t>
      </w:r>
    </w:p>
    <w:p w14:paraId="07348F30" w14:textId="6926F08D" w:rsidR="00247B0E" w:rsidRPr="00173F95" w:rsidRDefault="440B54D7" w:rsidP="440B54D7">
      <w:pPr>
        <w:spacing w:line="276" w:lineRule="auto"/>
        <w:jc w:val="both"/>
        <w:rPr>
          <w:rFonts w:ascii="Arial" w:eastAsia="Arial" w:hAnsi="Arial" w:cs="Arial"/>
          <w:sz w:val="24"/>
          <w:szCs w:val="24"/>
          <w:highlight w:val="yellow"/>
        </w:rPr>
      </w:pPr>
      <w:r w:rsidRPr="00173F95">
        <w:rPr>
          <w:rFonts w:ascii="Arial" w:eastAsia="Arial" w:hAnsi="Arial" w:cs="Arial"/>
          <w:sz w:val="24"/>
          <w:szCs w:val="24"/>
          <w:highlight w:val="yellow"/>
        </w:rPr>
        <w:t xml:space="preserve">Movimientos: desplazamiento o recorrido de determinados objetos.  </w:t>
      </w:r>
    </w:p>
    <w:p w14:paraId="100F9EBA" w14:textId="0B09CD2B" w:rsidR="00247B0E" w:rsidRDefault="440B54D7"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Olfativos y táctiles: aromas y texturas</w:t>
      </w:r>
      <w:r w:rsidRPr="440B54D7">
        <w:rPr>
          <w:rFonts w:ascii="Arial" w:eastAsia="Arial" w:hAnsi="Arial" w:cs="Arial"/>
          <w:sz w:val="24"/>
          <w:szCs w:val="24"/>
        </w:rPr>
        <w:t>.</w:t>
      </w:r>
    </w:p>
    <w:p w14:paraId="6DDE5896" w14:textId="33BCD363"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2CF7DF36" w14:textId="67FBA88B" w:rsidR="00247B0E" w:rsidRDefault="440B54D7" w:rsidP="368D4930">
      <w:pPr>
        <w:spacing w:line="276" w:lineRule="auto"/>
        <w:jc w:val="both"/>
        <w:rPr>
          <w:rFonts w:ascii="Arial" w:eastAsia="Arial" w:hAnsi="Arial" w:cs="Arial"/>
          <w:b/>
          <w:bCs/>
          <w:sz w:val="28"/>
          <w:szCs w:val="28"/>
          <w:u w:val="single"/>
        </w:rPr>
      </w:pPr>
      <w:r w:rsidRPr="440B54D7">
        <w:rPr>
          <w:rFonts w:ascii="Arial" w:eastAsia="Arial" w:hAnsi="Arial" w:cs="Arial"/>
          <w:b/>
          <w:bCs/>
          <w:sz w:val="28"/>
          <w:szCs w:val="28"/>
          <w:u w:val="single"/>
        </w:rPr>
        <w:t>¿Cuáles son los derechos?</w:t>
      </w:r>
      <w:r w:rsidRPr="440B54D7">
        <w:rPr>
          <w:rFonts w:ascii="Arial" w:eastAsia="Arial" w:hAnsi="Arial" w:cs="Arial"/>
          <w:b/>
          <w:bCs/>
          <w:sz w:val="28"/>
          <w:szCs w:val="28"/>
        </w:rPr>
        <w:t xml:space="preserve"> </w:t>
      </w:r>
    </w:p>
    <w:p w14:paraId="083E34EB" w14:textId="018F7175" w:rsidR="00247B0E" w:rsidRPr="00173F95" w:rsidRDefault="368D4930" w:rsidP="368D4930">
      <w:pPr>
        <w:spacing w:line="276" w:lineRule="auto"/>
        <w:jc w:val="both"/>
        <w:rPr>
          <w:rFonts w:ascii="Arial" w:eastAsia="Arial" w:hAnsi="Arial" w:cs="Arial"/>
          <w:sz w:val="24"/>
          <w:szCs w:val="24"/>
          <w:highlight w:val="yellow"/>
        </w:rPr>
      </w:pPr>
      <w:r w:rsidRPr="00173F95">
        <w:rPr>
          <w:rFonts w:ascii="Arial" w:eastAsia="Arial" w:hAnsi="Arial" w:cs="Arial"/>
          <w:sz w:val="24"/>
          <w:szCs w:val="24"/>
          <w:highlight w:val="yellow"/>
        </w:rPr>
        <w:t xml:space="preserve">El registro de una marca le garantiza al titular la propiedad y el uso exclusivo de la misma. Lo habilita a ejercer todas las defensas necesarias para impedir que terceros, sin autorización, comercialicen productos idénticos con la misma marca o utilizando una denominación tan similar que pueda crear confusión. </w:t>
      </w:r>
    </w:p>
    <w:p w14:paraId="587225AD" w14:textId="33FA498D"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El titular de la marca puede autorizar su uso por terceros mediante contratos de Licencia, tanto exclusivas como no exclusivas, venderlas en forma total o parcialmente por productos u obtener créditos ofreciéndolas en garantía con registro de prenda.</w:t>
      </w:r>
      <w:r w:rsidRPr="368D4930">
        <w:rPr>
          <w:rFonts w:ascii="Arial" w:eastAsia="Arial" w:hAnsi="Arial" w:cs="Arial"/>
          <w:sz w:val="24"/>
          <w:szCs w:val="24"/>
        </w:rPr>
        <w:t xml:space="preserve"> </w:t>
      </w:r>
    </w:p>
    <w:p w14:paraId="2A63E26C" w14:textId="7C21B7F7" w:rsidR="00247B0E" w:rsidRDefault="440B54D7" w:rsidP="368D4930">
      <w:pPr>
        <w:spacing w:line="276" w:lineRule="auto"/>
        <w:jc w:val="both"/>
        <w:rPr>
          <w:rFonts w:ascii="Arial" w:eastAsia="Arial" w:hAnsi="Arial" w:cs="Arial"/>
          <w:sz w:val="24"/>
          <w:szCs w:val="24"/>
        </w:rPr>
      </w:pPr>
      <w:r w:rsidRPr="440B54D7">
        <w:rPr>
          <w:rFonts w:ascii="Arial" w:eastAsia="Arial" w:hAnsi="Arial" w:cs="Arial"/>
          <w:sz w:val="24"/>
          <w:szCs w:val="24"/>
        </w:rPr>
        <w:t xml:space="preserve"> </w:t>
      </w:r>
    </w:p>
    <w:p w14:paraId="42DB5F65" w14:textId="79C0F145" w:rsidR="00247B0E" w:rsidRDefault="368D4930" w:rsidP="368D4930">
      <w:pPr>
        <w:spacing w:line="276" w:lineRule="auto"/>
        <w:jc w:val="both"/>
        <w:rPr>
          <w:rFonts w:ascii="Arial" w:eastAsia="Arial" w:hAnsi="Arial" w:cs="Arial"/>
          <w:b/>
          <w:bCs/>
          <w:sz w:val="28"/>
          <w:szCs w:val="28"/>
          <w:u w:val="single"/>
        </w:rPr>
      </w:pPr>
      <w:r w:rsidRPr="368D4930">
        <w:rPr>
          <w:rFonts w:ascii="Arial" w:eastAsia="Arial" w:hAnsi="Arial" w:cs="Arial"/>
          <w:b/>
          <w:bCs/>
          <w:sz w:val="28"/>
          <w:szCs w:val="28"/>
          <w:u w:val="single"/>
        </w:rPr>
        <w:t>Tiempo de protección:</w:t>
      </w:r>
      <w:r w:rsidRPr="368D4930">
        <w:rPr>
          <w:rFonts w:ascii="Arial" w:eastAsia="Arial" w:hAnsi="Arial" w:cs="Arial"/>
          <w:b/>
          <w:bCs/>
          <w:sz w:val="28"/>
          <w:szCs w:val="28"/>
        </w:rPr>
        <w:t xml:space="preserve"> </w:t>
      </w:r>
    </w:p>
    <w:p w14:paraId="0E905314" w14:textId="156DBDF6" w:rsidR="00247B0E" w:rsidRPr="00173F95" w:rsidRDefault="368D4930" w:rsidP="368D4930">
      <w:pPr>
        <w:spacing w:line="276" w:lineRule="auto"/>
        <w:jc w:val="both"/>
        <w:rPr>
          <w:rFonts w:ascii="Arial" w:eastAsia="Arial" w:hAnsi="Arial" w:cs="Arial"/>
          <w:sz w:val="24"/>
          <w:szCs w:val="24"/>
          <w:highlight w:val="yellow"/>
        </w:rPr>
      </w:pPr>
      <w:r w:rsidRPr="00173F95">
        <w:rPr>
          <w:rFonts w:ascii="Arial" w:eastAsia="Arial" w:hAnsi="Arial" w:cs="Arial"/>
          <w:sz w:val="24"/>
          <w:szCs w:val="24"/>
          <w:highlight w:val="yellow"/>
        </w:rPr>
        <w:t xml:space="preserve">Una marca nueva: 10 años. </w:t>
      </w:r>
    </w:p>
    <w:p w14:paraId="6024FE77" w14:textId="4B743F80"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Renovable cada diez años contados desde la fecha de la concesión.</w:t>
      </w:r>
      <w:r w:rsidRPr="368D4930">
        <w:rPr>
          <w:rFonts w:ascii="Arial" w:eastAsia="Arial" w:hAnsi="Arial" w:cs="Arial"/>
          <w:sz w:val="24"/>
          <w:szCs w:val="24"/>
        </w:rPr>
        <w:t xml:space="preserve"> </w:t>
      </w:r>
    </w:p>
    <w:p w14:paraId="261CE661" w14:textId="244BF1EF"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481B7836" w14:textId="2E4A2AF9"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Ley de Marcas (Ley 22.362) Ley de Marcas Colectivas (Ley 26.355)</w:t>
      </w:r>
    </w:p>
    <w:p w14:paraId="1E6F92BE" w14:textId="4C51DB5E"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5A21B8BD" w14:textId="5E5422CD" w:rsidR="00247B0E" w:rsidRDefault="368D4930" w:rsidP="368D4930">
      <w:pPr>
        <w:spacing w:line="276" w:lineRule="auto"/>
        <w:jc w:val="both"/>
        <w:rPr>
          <w:rFonts w:ascii="Arial" w:eastAsia="Arial" w:hAnsi="Arial" w:cs="Arial"/>
          <w:b/>
          <w:bCs/>
          <w:sz w:val="28"/>
          <w:szCs w:val="28"/>
          <w:u w:val="single"/>
        </w:rPr>
      </w:pPr>
      <w:r w:rsidRPr="368D4930">
        <w:rPr>
          <w:rFonts w:ascii="Arial" w:eastAsia="Arial" w:hAnsi="Arial" w:cs="Arial"/>
          <w:b/>
          <w:bCs/>
          <w:sz w:val="28"/>
          <w:szCs w:val="28"/>
          <w:u w:val="single"/>
        </w:rPr>
        <w:t>¿Qué es una Marca Colectiva?</w:t>
      </w:r>
      <w:r w:rsidRPr="368D4930">
        <w:rPr>
          <w:rFonts w:ascii="Arial" w:eastAsia="Arial" w:hAnsi="Arial" w:cs="Arial"/>
          <w:b/>
          <w:bCs/>
          <w:sz w:val="28"/>
          <w:szCs w:val="28"/>
        </w:rPr>
        <w:t xml:space="preserve"> </w:t>
      </w:r>
    </w:p>
    <w:p w14:paraId="4EDE90D4" w14:textId="03F9AFD3" w:rsidR="00247B0E" w:rsidRPr="00173F95" w:rsidRDefault="368D4930" w:rsidP="368D4930">
      <w:pPr>
        <w:spacing w:line="276" w:lineRule="auto"/>
        <w:jc w:val="both"/>
        <w:rPr>
          <w:rFonts w:ascii="Arial" w:eastAsia="Arial" w:hAnsi="Arial" w:cs="Arial"/>
          <w:sz w:val="24"/>
          <w:szCs w:val="24"/>
          <w:highlight w:val="yellow"/>
        </w:rPr>
      </w:pPr>
      <w:r w:rsidRPr="00173F95">
        <w:rPr>
          <w:rFonts w:ascii="Arial" w:eastAsia="Arial" w:hAnsi="Arial" w:cs="Arial"/>
          <w:sz w:val="24"/>
          <w:szCs w:val="24"/>
          <w:highlight w:val="yellow"/>
        </w:rPr>
        <w:t xml:space="preserve">Una Marca Colectiva está destinada a personas que desarrollan un emprendimiento asociativo de la economía social, conformado por al menos tres integrantes. Pueden ser: </w:t>
      </w:r>
    </w:p>
    <w:p w14:paraId="0D34C437" w14:textId="3D074C23" w:rsidR="00247B0E" w:rsidRDefault="368D4930" w:rsidP="368D4930">
      <w:pPr>
        <w:spacing w:line="276" w:lineRule="auto"/>
        <w:jc w:val="both"/>
        <w:rPr>
          <w:rFonts w:ascii="Arial" w:eastAsia="Arial" w:hAnsi="Arial" w:cs="Arial"/>
          <w:sz w:val="24"/>
          <w:szCs w:val="24"/>
        </w:rPr>
      </w:pPr>
      <w:r w:rsidRPr="00173F95">
        <w:rPr>
          <w:rFonts w:ascii="Arial" w:eastAsia="Arial" w:hAnsi="Arial" w:cs="Arial"/>
          <w:sz w:val="24"/>
          <w:szCs w:val="24"/>
          <w:highlight w:val="yellow"/>
        </w:rPr>
        <w:t>Agrupamientos de emprendedores.  Cooperativas.  Fundaciones.  Entidades y Asociaciones civiles sin fines de lucro.  Personas que desarrollan un emprendimiento productivo o de servicios de manera familiar.</w:t>
      </w:r>
      <w:bookmarkStart w:id="0" w:name="_GoBack"/>
      <w:bookmarkEnd w:id="0"/>
    </w:p>
    <w:p w14:paraId="67101475" w14:textId="3800B140"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6B03F949" w14:textId="4A7CE5D5" w:rsidR="00247B0E" w:rsidRDefault="368D4930" w:rsidP="368D4930">
      <w:pPr>
        <w:spacing w:line="276" w:lineRule="auto"/>
        <w:jc w:val="both"/>
        <w:rPr>
          <w:rFonts w:ascii="Arial" w:eastAsia="Arial" w:hAnsi="Arial" w:cs="Arial"/>
          <w:b/>
          <w:bCs/>
          <w:sz w:val="28"/>
          <w:szCs w:val="28"/>
          <w:u w:val="single"/>
        </w:rPr>
      </w:pPr>
      <w:r w:rsidRPr="368D4930">
        <w:rPr>
          <w:rFonts w:ascii="Arial" w:eastAsia="Arial" w:hAnsi="Arial" w:cs="Arial"/>
          <w:b/>
          <w:bCs/>
          <w:sz w:val="28"/>
          <w:szCs w:val="28"/>
          <w:u w:val="single"/>
        </w:rPr>
        <w:t>Registro:</w:t>
      </w:r>
    </w:p>
    <w:p w14:paraId="074BC8C8" w14:textId="6EFCE220"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Presentación de solicitud: </w:t>
      </w:r>
    </w:p>
    <w:p w14:paraId="03CFF017" w14:textId="798A7262"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El trámite se puede iniciar de tres maneras:  </w:t>
      </w:r>
    </w:p>
    <w:p w14:paraId="74BF3374" w14:textId="172B07FB"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lastRenderedPageBreak/>
        <w:t xml:space="preserve">• A través del Portal de Trámites Online. </w:t>
      </w:r>
    </w:p>
    <w:p w14:paraId="732BF4E6" w14:textId="7959225B"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Enviando los formularios por correo postal. </w:t>
      </w:r>
    </w:p>
    <w:p w14:paraId="6CD1AF41" w14:textId="27E1B588"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Entregando los formularios personalmente en el INPI. </w:t>
      </w:r>
    </w:p>
    <w:p w14:paraId="5DDA3F94" w14:textId="24439A27"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 </w:t>
      </w:r>
    </w:p>
    <w:p w14:paraId="13FFF6F1" w14:textId="2CB0510E" w:rsidR="00247B0E" w:rsidRDefault="368D4930" w:rsidP="368D4930">
      <w:pPr>
        <w:spacing w:line="276" w:lineRule="auto"/>
        <w:jc w:val="both"/>
        <w:rPr>
          <w:rFonts w:ascii="Arial" w:eastAsia="Arial" w:hAnsi="Arial" w:cs="Arial"/>
          <w:b/>
          <w:bCs/>
          <w:sz w:val="28"/>
          <w:szCs w:val="28"/>
          <w:u w:val="single"/>
        </w:rPr>
      </w:pPr>
      <w:r w:rsidRPr="368D4930">
        <w:rPr>
          <w:rFonts w:ascii="Arial" w:eastAsia="Arial" w:hAnsi="Arial" w:cs="Arial"/>
          <w:b/>
          <w:bCs/>
          <w:sz w:val="28"/>
          <w:szCs w:val="28"/>
          <w:u w:val="single"/>
        </w:rPr>
        <w:t>Renovación:</w:t>
      </w:r>
      <w:r w:rsidRPr="368D4930">
        <w:rPr>
          <w:rFonts w:ascii="Arial" w:eastAsia="Arial" w:hAnsi="Arial" w:cs="Arial"/>
          <w:b/>
          <w:bCs/>
          <w:sz w:val="28"/>
          <w:szCs w:val="28"/>
        </w:rPr>
        <w:t xml:space="preserve"> </w:t>
      </w:r>
    </w:p>
    <w:p w14:paraId="7B9B5685" w14:textId="4AA7A68D"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 xml:space="preserve">Presentación de solicitud de renovación: </w:t>
      </w:r>
    </w:p>
    <w:p w14:paraId="5C1A07E2" w14:textId="647B8CA2" w:rsidR="00247B0E" w:rsidRDefault="368D4930" w:rsidP="368D4930">
      <w:pPr>
        <w:spacing w:line="276" w:lineRule="auto"/>
        <w:jc w:val="both"/>
        <w:rPr>
          <w:rFonts w:ascii="Arial" w:eastAsia="Arial" w:hAnsi="Arial" w:cs="Arial"/>
          <w:sz w:val="24"/>
          <w:szCs w:val="24"/>
        </w:rPr>
      </w:pPr>
      <w:r w:rsidRPr="368D4930">
        <w:rPr>
          <w:rFonts w:ascii="Arial" w:eastAsia="Arial" w:hAnsi="Arial" w:cs="Arial"/>
          <w:sz w:val="24"/>
          <w:szCs w:val="24"/>
        </w:rPr>
        <w:t>Dentro de los 2 meses previos al vencimiento de la marca se puede presentar la solicitud de renovación. El trámite se puede iniciar de tres maneras: a través del Portal de Trámites Online, enviando los formularios por correo postal o entregándolos personalmente en el INPI.</w:t>
      </w:r>
    </w:p>
    <w:sectPr w:rsidR="00247B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131C"/>
    <w:multiLevelType w:val="hybridMultilevel"/>
    <w:tmpl w:val="9634CFAE"/>
    <w:lvl w:ilvl="0" w:tplc="DD989A4E">
      <w:start w:val="1"/>
      <w:numFmt w:val="decimal"/>
      <w:lvlText w:val="%1."/>
      <w:lvlJc w:val="left"/>
      <w:pPr>
        <w:ind w:left="720" w:hanging="360"/>
      </w:pPr>
    </w:lvl>
    <w:lvl w:ilvl="1" w:tplc="25860314">
      <w:start w:val="1"/>
      <w:numFmt w:val="lowerLetter"/>
      <w:lvlText w:val="%2."/>
      <w:lvlJc w:val="left"/>
      <w:pPr>
        <w:ind w:left="1440" w:hanging="360"/>
      </w:pPr>
    </w:lvl>
    <w:lvl w:ilvl="2" w:tplc="7B68B424">
      <w:start w:val="1"/>
      <w:numFmt w:val="lowerRoman"/>
      <w:lvlText w:val="%3."/>
      <w:lvlJc w:val="right"/>
      <w:pPr>
        <w:ind w:left="2160" w:hanging="180"/>
      </w:pPr>
    </w:lvl>
    <w:lvl w:ilvl="3" w:tplc="40EC0C26">
      <w:start w:val="1"/>
      <w:numFmt w:val="decimal"/>
      <w:lvlText w:val="%4."/>
      <w:lvlJc w:val="left"/>
      <w:pPr>
        <w:ind w:left="2880" w:hanging="360"/>
      </w:pPr>
    </w:lvl>
    <w:lvl w:ilvl="4" w:tplc="67FE1728">
      <w:start w:val="1"/>
      <w:numFmt w:val="lowerLetter"/>
      <w:lvlText w:val="%5."/>
      <w:lvlJc w:val="left"/>
      <w:pPr>
        <w:ind w:left="3600" w:hanging="360"/>
      </w:pPr>
    </w:lvl>
    <w:lvl w:ilvl="5" w:tplc="E228D410">
      <w:start w:val="1"/>
      <w:numFmt w:val="lowerRoman"/>
      <w:lvlText w:val="%6."/>
      <w:lvlJc w:val="right"/>
      <w:pPr>
        <w:ind w:left="4320" w:hanging="180"/>
      </w:pPr>
    </w:lvl>
    <w:lvl w:ilvl="6" w:tplc="29D4F244">
      <w:start w:val="1"/>
      <w:numFmt w:val="decimal"/>
      <w:lvlText w:val="%7."/>
      <w:lvlJc w:val="left"/>
      <w:pPr>
        <w:ind w:left="5040" w:hanging="360"/>
      </w:pPr>
    </w:lvl>
    <w:lvl w:ilvl="7" w:tplc="D3EC9EA6">
      <w:start w:val="1"/>
      <w:numFmt w:val="lowerLetter"/>
      <w:lvlText w:val="%8."/>
      <w:lvlJc w:val="left"/>
      <w:pPr>
        <w:ind w:left="5760" w:hanging="360"/>
      </w:pPr>
    </w:lvl>
    <w:lvl w:ilvl="8" w:tplc="DB68A0A8">
      <w:start w:val="1"/>
      <w:numFmt w:val="lowerRoman"/>
      <w:lvlText w:val="%9."/>
      <w:lvlJc w:val="right"/>
      <w:pPr>
        <w:ind w:left="6480" w:hanging="180"/>
      </w:pPr>
    </w:lvl>
  </w:abstractNum>
  <w:abstractNum w:abstractNumId="1">
    <w:nsid w:val="1F5E0BC4"/>
    <w:multiLevelType w:val="hybridMultilevel"/>
    <w:tmpl w:val="FBDAA7A4"/>
    <w:lvl w:ilvl="0" w:tplc="C4AED054">
      <w:start w:val="1"/>
      <w:numFmt w:val="bullet"/>
      <w:lvlText w:val=""/>
      <w:lvlJc w:val="left"/>
      <w:pPr>
        <w:ind w:left="720" w:hanging="360"/>
      </w:pPr>
      <w:rPr>
        <w:rFonts w:ascii="Wingdings" w:hAnsi="Wingdings" w:hint="default"/>
      </w:rPr>
    </w:lvl>
    <w:lvl w:ilvl="1" w:tplc="C0982204">
      <w:start w:val="1"/>
      <w:numFmt w:val="bullet"/>
      <w:lvlText w:val=""/>
      <w:lvlJc w:val="left"/>
      <w:pPr>
        <w:ind w:left="1440" w:hanging="360"/>
      </w:pPr>
      <w:rPr>
        <w:rFonts w:ascii="Wingdings" w:hAnsi="Wingdings" w:hint="default"/>
      </w:rPr>
    </w:lvl>
    <w:lvl w:ilvl="2" w:tplc="3F760C5A">
      <w:start w:val="1"/>
      <w:numFmt w:val="bullet"/>
      <w:lvlText w:val=""/>
      <w:lvlJc w:val="left"/>
      <w:pPr>
        <w:ind w:left="2160" w:hanging="360"/>
      </w:pPr>
      <w:rPr>
        <w:rFonts w:ascii="Wingdings" w:hAnsi="Wingdings" w:hint="default"/>
      </w:rPr>
    </w:lvl>
    <w:lvl w:ilvl="3" w:tplc="3F68E8FA">
      <w:start w:val="1"/>
      <w:numFmt w:val="bullet"/>
      <w:lvlText w:val=""/>
      <w:lvlJc w:val="left"/>
      <w:pPr>
        <w:ind w:left="2880" w:hanging="360"/>
      </w:pPr>
      <w:rPr>
        <w:rFonts w:ascii="Symbol" w:hAnsi="Symbol" w:hint="default"/>
      </w:rPr>
    </w:lvl>
    <w:lvl w:ilvl="4" w:tplc="4E2675DE">
      <w:start w:val="1"/>
      <w:numFmt w:val="bullet"/>
      <w:lvlText w:val="♦"/>
      <w:lvlJc w:val="left"/>
      <w:pPr>
        <w:ind w:left="3600" w:hanging="360"/>
      </w:pPr>
      <w:rPr>
        <w:rFonts w:ascii="Courier New" w:hAnsi="Courier New" w:hint="default"/>
      </w:rPr>
    </w:lvl>
    <w:lvl w:ilvl="5" w:tplc="23026DA0">
      <w:start w:val="1"/>
      <w:numFmt w:val="bullet"/>
      <w:lvlText w:val=""/>
      <w:lvlJc w:val="left"/>
      <w:pPr>
        <w:ind w:left="4320" w:hanging="360"/>
      </w:pPr>
      <w:rPr>
        <w:rFonts w:ascii="Wingdings" w:hAnsi="Wingdings" w:hint="default"/>
      </w:rPr>
    </w:lvl>
    <w:lvl w:ilvl="6" w:tplc="24FE69AE">
      <w:start w:val="1"/>
      <w:numFmt w:val="bullet"/>
      <w:lvlText w:val=""/>
      <w:lvlJc w:val="left"/>
      <w:pPr>
        <w:ind w:left="5040" w:hanging="360"/>
      </w:pPr>
      <w:rPr>
        <w:rFonts w:ascii="Wingdings" w:hAnsi="Wingdings" w:hint="default"/>
      </w:rPr>
    </w:lvl>
    <w:lvl w:ilvl="7" w:tplc="D610E44E">
      <w:start w:val="1"/>
      <w:numFmt w:val="bullet"/>
      <w:lvlText w:val=""/>
      <w:lvlJc w:val="left"/>
      <w:pPr>
        <w:ind w:left="5760" w:hanging="360"/>
      </w:pPr>
      <w:rPr>
        <w:rFonts w:ascii="Symbol" w:hAnsi="Symbol" w:hint="default"/>
      </w:rPr>
    </w:lvl>
    <w:lvl w:ilvl="8" w:tplc="398AE3DC">
      <w:start w:val="1"/>
      <w:numFmt w:val="bullet"/>
      <w:lvlText w:val="♦"/>
      <w:lvlJc w:val="left"/>
      <w:pPr>
        <w:ind w:left="6480" w:hanging="360"/>
      </w:pPr>
      <w:rPr>
        <w:rFonts w:ascii="Courier New" w:hAnsi="Courier New" w:hint="default"/>
      </w:rPr>
    </w:lvl>
  </w:abstractNum>
  <w:abstractNum w:abstractNumId="2">
    <w:nsid w:val="40552D6A"/>
    <w:multiLevelType w:val="hybridMultilevel"/>
    <w:tmpl w:val="D6D40B9C"/>
    <w:lvl w:ilvl="0" w:tplc="A2AC0980">
      <w:start w:val="1"/>
      <w:numFmt w:val="bullet"/>
      <w:lvlText w:val=""/>
      <w:lvlJc w:val="left"/>
      <w:pPr>
        <w:ind w:left="720" w:hanging="360"/>
      </w:pPr>
      <w:rPr>
        <w:rFonts w:ascii="Symbol" w:hAnsi="Symbol" w:hint="default"/>
      </w:rPr>
    </w:lvl>
    <w:lvl w:ilvl="1" w:tplc="EABE2134">
      <w:start w:val="1"/>
      <w:numFmt w:val="bullet"/>
      <w:lvlText w:val="o"/>
      <w:lvlJc w:val="left"/>
      <w:pPr>
        <w:ind w:left="1440" w:hanging="360"/>
      </w:pPr>
      <w:rPr>
        <w:rFonts w:ascii="Courier New" w:hAnsi="Courier New" w:hint="default"/>
      </w:rPr>
    </w:lvl>
    <w:lvl w:ilvl="2" w:tplc="23C83328">
      <w:start w:val="1"/>
      <w:numFmt w:val="bullet"/>
      <w:lvlText w:val=""/>
      <w:lvlJc w:val="left"/>
      <w:pPr>
        <w:ind w:left="2160" w:hanging="360"/>
      </w:pPr>
      <w:rPr>
        <w:rFonts w:ascii="Wingdings" w:hAnsi="Wingdings" w:hint="default"/>
      </w:rPr>
    </w:lvl>
    <w:lvl w:ilvl="3" w:tplc="F3D0F852">
      <w:start w:val="1"/>
      <w:numFmt w:val="bullet"/>
      <w:lvlText w:val=""/>
      <w:lvlJc w:val="left"/>
      <w:pPr>
        <w:ind w:left="2880" w:hanging="360"/>
      </w:pPr>
      <w:rPr>
        <w:rFonts w:ascii="Symbol" w:hAnsi="Symbol" w:hint="default"/>
      </w:rPr>
    </w:lvl>
    <w:lvl w:ilvl="4" w:tplc="0640356C">
      <w:start w:val="1"/>
      <w:numFmt w:val="bullet"/>
      <w:lvlText w:val="o"/>
      <w:lvlJc w:val="left"/>
      <w:pPr>
        <w:ind w:left="3600" w:hanging="360"/>
      </w:pPr>
      <w:rPr>
        <w:rFonts w:ascii="Courier New" w:hAnsi="Courier New" w:hint="default"/>
      </w:rPr>
    </w:lvl>
    <w:lvl w:ilvl="5" w:tplc="EB245972">
      <w:start w:val="1"/>
      <w:numFmt w:val="bullet"/>
      <w:lvlText w:val=""/>
      <w:lvlJc w:val="left"/>
      <w:pPr>
        <w:ind w:left="4320" w:hanging="360"/>
      </w:pPr>
      <w:rPr>
        <w:rFonts w:ascii="Wingdings" w:hAnsi="Wingdings" w:hint="default"/>
      </w:rPr>
    </w:lvl>
    <w:lvl w:ilvl="6" w:tplc="E140E9D4">
      <w:start w:val="1"/>
      <w:numFmt w:val="bullet"/>
      <w:lvlText w:val=""/>
      <w:lvlJc w:val="left"/>
      <w:pPr>
        <w:ind w:left="5040" w:hanging="360"/>
      </w:pPr>
      <w:rPr>
        <w:rFonts w:ascii="Symbol" w:hAnsi="Symbol" w:hint="default"/>
      </w:rPr>
    </w:lvl>
    <w:lvl w:ilvl="7" w:tplc="2F680EEE">
      <w:start w:val="1"/>
      <w:numFmt w:val="bullet"/>
      <w:lvlText w:val="o"/>
      <w:lvlJc w:val="left"/>
      <w:pPr>
        <w:ind w:left="5760" w:hanging="360"/>
      </w:pPr>
      <w:rPr>
        <w:rFonts w:ascii="Courier New" w:hAnsi="Courier New" w:hint="default"/>
      </w:rPr>
    </w:lvl>
    <w:lvl w:ilvl="8" w:tplc="20EC7058">
      <w:start w:val="1"/>
      <w:numFmt w:val="bullet"/>
      <w:lvlText w:val=""/>
      <w:lvlJc w:val="left"/>
      <w:pPr>
        <w:ind w:left="6480" w:hanging="360"/>
      </w:pPr>
      <w:rPr>
        <w:rFonts w:ascii="Wingdings" w:hAnsi="Wingdings" w:hint="default"/>
      </w:rPr>
    </w:lvl>
  </w:abstractNum>
  <w:abstractNum w:abstractNumId="3">
    <w:nsid w:val="740357B4"/>
    <w:multiLevelType w:val="hybridMultilevel"/>
    <w:tmpl w:val="CBC283B8"/>
    <w:lvl w:ilvl="0" w:tplc="A11C41D0">
      <w:start w:val="1"/>
      <w:numFmt w:val="bullet"/>
      <w:lvlText w:val=""/>
      <w:lvlJc w:val="left"/>
      <w:pPr>
        <w:ind w:left="720" w:hanging="360"/>
      </w:pPr>
      <w:rPr>
        <w:rFonts w:ascii="Symbol" w:hAnsi="Symbol" w:hint="default"/>
      </w:rPr>
    </w:lvl>
    <w:lvl w:ilvl="1" w:tplc="5EE03336">
      <w:start w:val="1"/>
      <w:numFmt w:val="bullet"/>
      <w:lvlText w:val="o"/>
      <w:lvlJc w:val="left"/>
      <w:pPr>
        <w:ind w:left="1440" w:hanging="360"/>
      </w:pPr>
      <w:rPr>
        <w:rFonts w:ascii="Courier New" w:hAnsi="Courier New" w:hint="default"/>
      </w:rPr>
    </w:lvl>
    <w:lvl w:ilvl="2" w:tplc="F44EEDA2">
      <w:start w:val="1"/>
      <w:numFmt w:val="bullet"/>
      <w:lvlText w:val=""/>
      <w:lvlJc w:val="left"/>
      <w:pPr>
        <w:ind w:left="2160" w:hanging="360"/>
      </w:pPr>
      <w:rPr>
        <w:rFonts w:ascii="Wingdings" w:hAnsi="Wingdings" w:hint="default"/>
      </w:rPr>
    </w:lvl>
    <w:lvl w:ilvl="3" w:tplc="DD78E75C">
      <w:start w:val="1"/>
      <w:numFmt w:val="bullet"/>
      <w:lvlText w:val=""/>
      <w:lvlJc w:val="left"/>
      <w:pPr>
        <w:ind w:left="2880" w:hanging="360"/>
      </w:pPr>
      <w:rPr>
        <w:rFonts w:ascii="Symbol" w:hAnsi="Symbol" w:hint="default"/>
      </w:rPr>
    </w:lvl>
    <w:lvl w:ilvl="4" w:tplc="30246590">
      <w:start w:val="1"/>
      <w:numFmt w:val="bullet"/>
      <w:lvlText w:val="o"/>
      <w:lvlJc w:val="left"/>
      <w:pPr>
        <w:ind w:left="3600" w:hanging="360"/>
      </w:pPr>
      <w:rPr>
        <w:rFonts w:ascii="Courier New" w:hAnsi="Courier New" w:hint="default"/>
      </w:rPr>
    </w:lvl>
    <w:lvl w:ilvl="5" w:tplc="B3D8FF92">
      <w:start w:val="1"/>
      <w:numFmt w:val="bullet"/>
      <w:lvlText w:val=""/>
      <w:lvlJc w:val="left"/>
      <w:pPr>
        <w:ind w:left="4320" w:hanging="360"/>
      </w:pPr>
      <w:rPr>
        <w:rFonts w:ascii="Wingdings" w:hAnsi="Wingdings" w:hint="default"/>
      </w:rPr>
    </w:lvl>
    <w:lvl w:ilvl="6" w:tplc="10609D5C">
      <w:start w:val="1"/>
      <w:numFmt w:val="bullet"/>
      <w:lvlText w:val=""/>
      <w:lvlJc w:val="left"/>
      <w:pPr>
        <w:ind w:left="5040" w:hanging="360"/>
      </w:pPr>
      <w:rPr>
        <w:rFonts w:ascii="Symbol" w:hAnsi="Symbol" w:hint="default"/>
      </w:rPr>
    </w:lvl>
    <w:lvl w:ilvl="7" w:tplc="6A303F3E">
      <w:start w:val="1"/>
      <w:numFmt w:val="bullet"/>
      <w:lvlText w:val="o"/>
      <w:lvlJc w:val="left"/>
      <w:pPr>
        <w:ind w:left="5760" w:hanging="360"/>
      </w:pPr>
      <w:rPr>
        <w:rFonts w:ascii="Courier New" w:hAnsi="Courier New" w:hint="default"/>
      </w:rPr>
    </w:lvl>
    <w:lvl w:ilvl="8" w:tplc="BB428D3E">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880BE"/>
    <w:rsid w:val="00173F95"/>
    <w:rsid w:val="00247B0E"/>
    <w:rsid w:val="00B736FA"/>
    <w:rsid w:val="368D4930"/>
    <w:rsid w:val="440B54D7"/>
    <w:rsid w:val="66E88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1283</Words>
  <Characters>7059</Characters>
  <Application>Microsoft Office Word</Application>
  <DocSecurity>0</DocSecurity>
  <Lines>58</Lines>
  <Paragraphs>16</Paragraphs>
  <ScaleCrop>false</ScaleCrop>
  <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Ibasca</dc:creator>
  <cp:keywords/>
  <dc:description/>
  <cp:lastModifiedBy>Proxy Screw</cp:lastModifiedBy>
  <cp:revision>3</cp:revision>
  <dcterms:created xsi:type="dcterms:W3CDTF">2020-06-09T17:02:00Z</dcterms:created>
  <dcterms:modified xsi:type="dcterms:W3CDTF">2020-06-30T03:48:00Z</dcterms:modified>
</cp:coreProperties>
</file>