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both"/>
        <w:spacing w:lineRule="auto" w:line="276" w:before="15" w:after="45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b w:val="1"/>
          <w:color w:val="000000"/>
          <w:position w:val="0"/>
          <w:sz w:val="24"/>
          <w:szCs w:val="24"/>
          <w:u w:val="single"/>
          <w:rFonts w:ascii="Arial" w:eastAsia="Arial" w:hAnsi="Arial" w:hint="default"/>
        </w:rPr>
        <w:t xml:space="preserve">Resumen sobre Robo de Identidad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195"/>
        <w:ind w:left="0" w:hanging="0"/>
        <w:rPr>
          <w:color w:val="000000"/>
          <w:position w:val="0"/>
          <w:sz w:val="22"/>
          <w:szCs w:val="22"/>
          <w:rFonts w:ascii="Calibri" w:eastAsia="Calibri" w:hAnsi="Calibri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76" w:before="0" w:after="195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El robo de identidad o usurpación de identidad es la apropiación de la identidad de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una persona: finge ser otra persona asumiendo su identidad, suplantarla  ante otras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personas en público o en privado, en general se realiza a los efectos de cometer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delitos patrimoniales, apropiarse de bienes o, bien personales, como daños a la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moral de la persona.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195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Hay diferentes maneras de robar la identidad de una persona. Una de ellas muy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común es el robo de los datos de las tarjetas de créditos o bien, de las tarjetas de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crédito propiamente dicha. Otra es accediendo a información personal a través de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documentación hallada por medios legales e ilegales, como por ejemplo, información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bancaria tirada a cestos de basura y por último, el más conocido por su gravedad es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el que se configura a través del phishing.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195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El phishing es una modalidad de estafa diseñada con la finalidad de robar la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identidad ajena. El delito consiste en obtener información como números de tarjetas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de crédito, contraseñas, información de cuentas u otros datos personales por medio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de engaños. El usuario malintencionado envía millones de mensajes falsos que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parecen provenir de sitios Web reconocidos o de su confianza, como su banco o la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empresa de su tarjeta de crédito. Dado que los mensajes y los sitios Web que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envían estos usuarios parecen oficiales, logran engañar a muchas personas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haciéndoles creer que son legítimos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195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Algunas recomendaciones para tener presente: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195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Ante todo hacer un seguimiento permanente de las compras y descuentos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practicados en sus tarjetas de créditos. Inmediatamente detectada una compra no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realizada o que le ofrezca duda realizar la “denuncia” por el titular de la tarjeta, a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la propia empresa emisora de la tarjeta. Los bancos emisores deben hacerse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responsables por estos delitos de robo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195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No botar información personal y confidencial en basureros sin haber sido totalmente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destruida. Esta puede ser aprovechada por extraños para suplantarlos en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operaciones ilegales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En caso de solicitar una tarjeta de crédito y no llegar a destino, realizar la denuncia </w:t>
      </w:r>
      <w:r>
        <w:rPr>
          <w:color w:val="000000"/>
          <w:position w:val="0"/>
          <w:sz w:val="24"/>
          <w:szCs w:val="24"/>
          <w:rFonts w:ascii="Arial" w:eastAsia="Arial" w:hAnsi="Arial" w:hint="default"/>
        </w:rPr>
        <w:t xml:space="preserve">al banco emisor. Asegurarse de que le den número de denuncia.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</cp:coreProperties>
</file>