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12" w:lineRule="auto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50"/>
          <w:szCs w:val="50"/>
        </w:rPr>
      </w:pPr>
      <w:bookmarkStart w:colFirst="0" w:colLast="0" w:name="_heading=h.30j0zll" w:id="0"/>
      <w:bookmarkEnd w:id="0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Mesa de trabajo: patrón template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bookmarkStart w:colFirst="0" w:colLast="0" w:name="_heading=h.1fob9te" w:id="1"/>
      <w:bookmarkEnd w:id="1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before="0" w:line="312" w:lineRule="auto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UML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programar en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patrón template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según el siguiente enunciado.</w:t>
      </w:r>
    </w:p>
    <w:p w:rsidR="00000000" w:rsidDel="00000000" w:rsidP="00000000" w:rsidRDefault="00000000" w:rsidRPr="00000000" w14:paraId="00000005">
      <w:pPr>
        <w:pageBreakBefore w:val="0"/>
        <w:spacing w:after="200" w:before="0" w:line="312" w:lineRule="auto"/>
        <w:ind w:left="0" w:firstLine="0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A tener en cuenta: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Ejercicio individual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Nivel de complejidad: intermedio 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0" w:line="312" w:lineRule="auto"/>
        <w:ind w:left="0" w:firstLine="0"/>
        <w:rPr>
          <w:rFonts w:ascii="Open Sans" w:cs="Open Sans" w:eastAsia="Open Sans" w:hAnsi="Open Sans"/>
          <w:b w:val="1"/>
          <w:color w:val="434343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 w:orient="portrait"/>
      <w:pgMar w:bottom="1440.0000000000002" w:top="1440.0000000000002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ajdhani">
    <w:embedRegular w:fontKey="{00000000-0000-0000-0000-000000000000}" r:id="rId21" w:subsetted="0"/>
    <w:embedBold w:fontKey="{00000000-0000-0000-0000-000000000000}" r:id="rId22" w:subsetted="0"/>
  </w:font>
  <w:font w:name="Open Sans">
    <w:embedRegular w:fontKey="{00000000-0000-0000-0000-000000000000}" r:id="rId23" w:subsetted="0"/>
    <w:embedBold w:fontKey="{00000000-0000-0000-0000-000000000000}" r:id="rId24" w:subsetted="0"/>
    <w:embedItalic w:fontKey="{00000000-0000-0000-0000-000000000000}" r:id="rId25" w:subsetted="0"/>
    <w:embedBoldItalic w:fontKey="{00000000-0000-0000-0000-000000000000}" r:id="rId2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spacing w:after="200" w:before="0" w:line="312" w:lineRule="auto"/>
      <w:ind w:left="0" w:firstLine="0"/>
      <w:jc w:val="both"/>
      <w:rPr>
        <w:rFonts w:ascii="Rubik Light" w:cs="Rubik Light" w:eastAsia="Rubik Light" w:hAnsi="Rubik Light"/>
        <w:color w:val="000000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Se desea apoyar el proceso de armado de menús para llevar en un negocio de comidas rápidas. Se ofrecen tres tipos de menús: clásico, infantil y vegetariano.</w:t>
    </w:r>
  </w:p>
  <w:p w:rsidR="00000000" w:rsidDel="00000000" w:rsidP="00000000" w:rsidRDefault="00000000" w:rsidRPr="00000000" w14:paraId="00000010">
    <w:pPr>
      <w:spacing w:after="200" w:before="0" w:line="312" w:lineRule="auto"/>
      <w:ind w:left="0" w:firstLine="0"/>
      <w:jc w:val="both"/>
      <w:rPr>
        <w:rFonts w:ascii="Rubik Light" w:cs="Rubik Light" w:eastAsia="Rubik Light" w:hAnsi="Rubik Light"/>
        <w:color w:val="000000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Los menús tienen un precio base al cual se le suman los recargos de acuerdo a lo siguiente:</w:t>
    </w:r>
  </w:p>
  <w:p w:rsidR="00000000" w:rsidDel="00000000" w:rsidP="00000000" w:rsidRDefault="00000000" w:rsidRPr="00000000" w14:paraId="00000011">
    <w:pPr>
      <w:numPr>
        <w:ilvl w:val="0"/>
        <w:numId w:val="2"/>
      </w:numPr>
      <w:spacing w:after="200" w:before="0" w:line="276" w:lineRule="auto"/>
      <w:ind w:left="720" w:hanging="360"/>
      <w:jc w:val="both"/>
      <w:rPr>
        <w:rFonts w:ascii="Open Sans" w:cs="Open Sans" w:eastAsia="Open Sans" w:hAnsi="Open Sans"/>
        <w:color w:val="434343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Menú infantil: 3 pesos adicionales por cada juguete incluido.</w:t>
    </w:r>
  </w:p>
  <w:p w:rsidR="00000000" w:rsidDel="00000000" w:rsidP="00000000" w:rsidRDefault="00000000" w:rsidRPr="00000000" w14:paraId="00000012">
    <w:pPr>
      <w:numPr>
        <w:ilvl w:val="0"/>
        <w:numId w:val="2"/>
      </w:numPr>
      <w:spacing w:after="200" w:before="0" w:line="276" w:lineRule="auto"/>
      <w:ind w:left="720" w:hanging="360"/>
      <w:jc w:val="both"/>
      <w:rPr>
        <w:rFonts w:ascii="Open Sans" w:cs="Open Sans" w:eastAsia="Open Sans" w:hAnsi="Open Sans"/>
        <w:color w:val="434343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Menú vegetariano: 1% adicional por especias y 2 pesos por cada salsa vegetariana.</w:t>
    </w:r>
  </w:p>
  <w:p w:rsidR="00000000" w:rsidDel="00000000" w:rsidP="00000000" w:rsidRDefault="00000000" w:rsidRPr="00000000" w14:paraId="00000013">
    <w:pPr>
      <w:numPr>
        <w:ilvl w:val="0"/>
        <w:numId w:val="2"/>
      </w:numPr>
      <w:spacing w:after="200" w:before="0" w:line="276" w:lineRule="auto"/>
      <w:ind w:left="720" w:hanging="360"/>
      <w:jc w:val="both"/>
      <w:rPr>
        <w:rFonts w:ascii="Open Sans" w:cs="Open Sans" w:eastAsia="Open Sans" w:hAnsi="Open Sans"/>
        <w:color w:val="434343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Menú clásico: no tiene recargos.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spacing w:after="200" w:before="0" w:line="312" w:lineRule="auto"/>
      <w:ind w:left="0" w:firstLine="0"/>
      <w:jc w:val="both"/>
      <w:rPr>
        <w:rFonts w:ascii="Open Sans" w:cs="Open Sans" w:eastAsia="Open Sans" w:hAnsi="Open Sans"/>
        <w:color w:val="434343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Cuando un cliente adquiere los productos, los empleados deben armar el paquete de cada menú y luego calcular su costo. El </w:t>
    </w:r>
    <w:r w:rsidDel="00000000" w:rsidR="00000000" w:rsidRPr="00000000">
      <w:rPr>
        <w:rFonts w:ascii="Rubik Medium" w:cs="Rubik Medium" w:eastAsia="Rubik Medium" w:hAnsi="Rubik Medium"/>
        <w:color w:val="000000"/>
        <w:sz w:val="24"/>
        <w:szCs w:val="24"/>
        <w:rtl w:val="0"/>
      </w:rPr>
      <w:t xml:space="preserve">proceso </w:t>
    </w: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de preparar un menú implica el </w:t>
    </w:r>
    <w:r w:rsidDel="00000000" w:rsidR="00000000" w:rsidRPr="00000000">
      <w:rPr>
        <w:rFonts w:ascii="Rubik Medium" w:cs="Rubik Medium" w:eastAsia="Rubik Medium" w:hAnsi="Rubik Medium"/>
        <w:color w:val="000000"/>
        <w:sz w:val="24"/>
        <w:szCs w:val="24"/>
        <w:rtl w:val="0"/>
      </w:rPr>
      <w:t xml:space="preserve">armado </w:t>
    </w: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y luego su </w:t>
    </w:r>
    <w:r w:rsidDel="00000000" w:rsidR="00000000" w:rsidRPr="00000000">
      <w:rPr>
        <w:rFonts w:ascii="Rubik Medium" w:cs="Rubik Medium" w:eastAsia="Rubik Medium" w:hAnsi="Rubik Medium"/>
        <w:color w:val="000000"/>
        <w:sz w:val="24"/>
        <w:szCs w:val="24"/>
        <w:rtl w:val="0"/>
      </w:rPr>
      <w:t xml:space="preserve">cálculo del precio de venta</w:t>
    </w: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spacing w:after="200" w:before="0" w:line="312" w:lineRule="auto"/>
      <w:ind w:left="0" w:firstLine="0"/>
      <w:jc w:val="both"/>
      <w:rPr>
        <w:rFonts w:ascii="Open Sans" w:cs="Open Sans" w:eastAsia="Open Sans" w:hAnsi="Open Sans"/>
        <w:color w:val="434343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Necesitamos un sistema que muestre un mensaje a los empleados sobre cómo debe armarse el menú. De esta manera, podremos garantizar la uniformidad en las entregas. Luego, deberá informar el costo final del menú vendido.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spacing w:after="200" w:line="312" w:lineRule="auto"/>
      <w:jc w:val="both"/>
      <w:rPr>
        <w:rFonts w:ascii="Rubik Light" w:cs="Rubik Light" w:eastAsia="Rubik Light" w:hAnsi="Rubik Light"/>
        <w:color w:val="000000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  <w:rtl w:val="0"/>
      </w:rPr>
      <w:t xml:space="preserve">Debemos desarrollar las clases y pruebas necesarias para lograr el proceso explicado de preparación.</w:t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rFonts w:ascii="Rubik Light" w:cs="Rubik Light" w:eastAsia="Rubik Light" w:hAnsi="Rubik Light"/>
        <w:color w:val="000000"/>
        <w:sz w:val="24"/>
        <w:szCs w:val="2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spacing w:after="200" w:before="0" w:line="360" w:lineRule="auto"/>
      <w:ind w:left="-1133.8582677165355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9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after="200" w:before="0" w:line="312" w:lineRule="auto"/>
      <w:ind w:left="-1440" w:firstLine="720"/>
      <w:jc w:val="left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3175</wp:posOffset>
          </wp:positionV>
          <wp:extent cx="7553325" cy="904875"/>
          <wp:effectExtent b="0" l="0" r="0" t="0"/>
          <wp:wrapSquare wrapText="bothSides" distB="0" distT="0" distL="0" distR="0"/>
          <wp:docPr id="4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after="200" w:before="0" w:line="312" w:lineRule="auto"/>
      <w:ind w:left="-1133.8582677165355" w:firstLine="0"/>
      <w:rPr/>
    </w:pPr>
    <w:r w:rsidDel="00000000" w:rsidR="00000000" w:rsidRPr="00000000">
      <w:rPr>
        <w:rFonts w:ascii="Rubik Light" w:cs="Rubik Light" w:eastAsia="Rubik Light" w:hAnsi="Rubik Light"/>
        <w:color w:val="000000"/>
        <w:sz w:val="24"/>
        <w:szCs w:val="24"/>
      </w:rPr>
      <w:drawing>
        <wp:inline distB="114300" distT="114300" distL="114300" distR="114300">
          <wp:extent cx="7560000" cy="1316329"/>
          <wp:effectExtent b="0" l="0" r="0" t="0"/>
          <wp:docPr id="48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60000" cy="131632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SemiBold-boldItalic.ttf"/><Relationship Id="rId22" Type="http://schemas.openxmlformats.org/officeDocument/2006/relationships/font" Target="fonts/Rajdhani-bold.ttf"/><Relationship Id="rId21" Type="http://schemas.openxmlformats.org/officeDocument/2006/relationships/font" Target="fonts/Rajdhani-regular.ttf"/><Relationship Id="rId24" Type="http://schemas.openxmlformats.org/officeDocument/2006/relationships/font" Target="fonts/OpenSans-bold.ttf"/><Relationship Id="rId23" Type="http://schemas.openxmlformats.org/officeDocument/2006/relationships/font" Target="fonts/OpenSans-regular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26" Type="http://schemas.openxmlformats.org/officeDocument/2006/relationships/font" Target="fonts/OpenSans-boldItalic.ttf"/><Relationship Id="rId25" Type="http://schemas.openxmlformats.org/officeDocument/2006/relationships/font" Target="fonts/OpenSans-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Relationship Id="rId11" Type="http://schemas.openxmlformats.org/officeDocument/2006/relationships/font" Target="fonts/RubikLight-italic.ttf"/><Relationship Id="rId10" Type="http://schemas.openxmlformats.org/officeDocument/2006/relationships/font" Target="fonts/RubikLight-bold.ttf"/><Relationship Id="rId13" Type="http://schemas.openxmlformats.org/officeDocument/2006/relationships/font" Target="fonts/Rubik-regular.ttf"/><Relationship Id="rId12" Type="http://schemas.openxmlformats.org/officeDocument/2006/relationships/font" Target="fonts/RubikLight-boldItalic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ubikSemiBold-regular.ttf"/><Relationship Id="rId16" Type="http://schemas.openxmlformats.org/officeDocument/2006/relationships/font" Target="fonts/Rubik-boldItalic.ttf"/><Relationship Id="rId19" Type="http://schemas.openxmlformats.org/officeDocument/2006/relationships/font" Target="fonts/RubikSemiBold-italic.ttf"/><Relationship Id="rId18" Type="http://schemas.openxmlformats.org/officeDocument/2006/relationships/font" Target="fonts/Rubik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pW4hCif4XC/NF/q/HVtNy3NjTg==">CgMxLjAyCWguMzBqMHpsbDIJaC4xZm9iOXRlOAByITFBbDhHdE04VjRiV1RieUI3VU8wVlZvWUcyRDlEOHFldA==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