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1.png" ContentType="image/png"/>
  <Override PartName="/word/media/rId24.png" ContentType="image/png"/>
  <Override PartName="/word/media/rId14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Label-Free Transformer Health Monitoring from DGA — and a Caution About Validation</w:t>
      </w:r>
    </w:p>
    <w:p>
      <w:pPr>
        <w:pStyle w:val="Author"/>
      </w:pPr>
      <w:r>
        <w:t xml:space="preserve">Thibaut Faucheux (CESI, FISA4 INFO) · Research Initiation at KMUTNB, Bangkok · Supervisor: Dr. Rattanakorn Phadungthin</w:t>
      </w:r>
    </w:p>
    <w:p>
      <w:pPr>
        <w:pStyle w:val="Date"/>
      </w:pPr>
      <w:r>
        <w:t xml:space="preserve">End-of-project report — Weeks 1 to 5 — 17 July 2026</w:t>
      </w:r>
    </w:p>
    <w:p>
      <w:pPr>
        <w:pStyle w:val="FirstParagraph"/>
      </w:pPr>
      <w:r>
        <w:rPr>
          <w:b/>
          <w:bCs/>
        </w:rPr>
        <w:t xml:space="preserve">Executive summary.</w:t>
      </w:r>
      <w:r>
        <w:t xml:space="preserve"> </w:t>
      </w:r>
      <w:r>
        <w:t xml:space="preserve">Power transformers fail expensively, and Dissolved Gas Analysis (DGA) is the</w:t>
      </w:r>
      <w:r>
        <w:t xml:space="preserve"> </w:t>
      </w:r>
      <w:r>
        <w:t xml:space="preserve">standard way to catch faults early. Conventional interpretation (Duval, IEC, Rogers) is rule-based,</w:t>
      </w:r>
      <w:r>
        <w:t xml:space="preserve"> </w:t>
      </w:r>
      <w:r>
        <w:t xml:space="preserve">needs an expert, and machine-learning alternatives need fault labels that utilities rarely have.</w:t>
      </w:r>
      <w:r>
        <w:t xml:space="preserve"> </w:t>
      </w:r>
      <w:r>
        <w:t xml:space="preserve">On a real longitudinal fleet (628 units, 4,563 samples, 2019–2024) this project delivered three</w:t>
      </w:r>
      <w:r>
        <w:t xml:space="preserve"> </w:t>
      </w:r>
      <w:r>
        <w:t xml:space="preserve">results, all</w:t>
      </w:r>
      <w:r>
        <w:t xml:space="preserve"> </w:t>
      </w:r>
      <w:r>
        <w:rPr>
          <w:b/>
          <w:bCs/>
        </w:rPr>
        <w:t xml:space="preserve">label-free</w:t>
      </w:r>
      <w:r>
        <w:t xml:space="preserve">. (1) Representing each sample by the</w:t>
      </w:r>
      <w:r>
        <w:t xml:space="preserve"> </w:t>
      </w:r>
      <w:r>
        <w:rPr>
          <w:b/>
          <w:bCs/>
        </w:rPr>
        <w:t xml:space="preserve">log-ratios of its gas</w:t>
      </w:r>
      <w:r>
        <w:rPr>
          <w:b/>
          <w:bCs/>
        </w:rP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separates fault</w:t>
      </w:r>
      <w: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t xml:space="preserve">from gassing</w:t>
      </w:r>
      <w:r>
        <w:t xml:space="preserve"> </w:t>
      </w:r>
      <w:r>
        <w:rPr>
          <w:i/>
          <w:iCs/>
        </w:rPr>
        <w:t xml:space="preserve">severity</w:t>
      </w:r>
      <w:r>
        <w:t xml:space="preserve"> </w:t>
      </w:r>
      <w:r>
        <w:t xml:space="preserve">by construction: a simple linear</w:t>
      </w:r>
      <w:r>
        <w:t xml:space="preserve"> </w:t>
      </w:r>
      <w:r>
        <w:t xml:space="preserve">projection of that representation agrees with the expert Duval classes at</w:t>
      </w:r>
      <w:r>
        <w:t xml:space="preserve"> </w:t>
      </w:r>
      <w:r>
        <w:rPr>
          <w:b/>
          <w:bCs/>
        </w:rPr>
        <w:t xml:space="preserve">ARI 0.55, versus 0.16</w:t>
      </w:r>
      <w:r>
        <w:t xml:space="preserve"> </w:t>
      </w:r>
      <w:r>
        <w:t xml:space="preserve">for raw concentrations — and a neural autoencoder adds nothing, a negative result we report.</w:t>
      </w:r>
      <w:r>
        <w:t xml:space="preserve"> </w:t>
      </w:r>
      <w:r>
        <w:t xml:space="preserve">(2) We discovered that the field-event notes routinely used to validate such models are</w:t>
      </w:r>
      <w:r>
        <w:t xml:space="preserve"> </w:t>
      </w:r>
      <w:r>
        <w:rPr>
          <w:b/>
          <w:bCs/>
        </w:rPr>
        <w:t xml:space="preserve">confounded</w:t>
      </w:r>
      <w:r>
        <w:rPr>
          <w:b/>
          <w:bCs/>
        </w:rPr>
        <w:t xml:space="preserve"> </w:t>
      </w:r>
      <w:r>
        <w:rPr>
          <w:b/>
          <w:bCs/>
        </w:rPr>
        <w:t xml:space="preserve">by surveillance bias</w:t>
      </w:r>
      <w:r>
        <w:t xml:space="preserve">: simply counting how often a unit was sampled predicts logged events as well</w:t>
      </w:r>
      <w:r>
        <w:t xml:space="preserve"> </w:t>
      </w:r>
      <w:r>
        <w:t xml:space="preserve">as all our chemistry combined (AUC 0.76 vs 0.74, statistically indistinguishable). We quantify the</w:t>
      </w:r>
      <w:r>
        <w:t xml:space="preserve"> </w:t>
      </w:r>
      <w:r>
        <w:t xml:space="preserve">confound, repair part of it by translating the Thai field notes, and propose a confound-free,</w:t>
      </w:r>
      <w:r>
        <w:t xml:space="preserve"> </w:t>
      </w:r>
      <w:r>
        <w:t xml:space="preserve">chemistry-defined evaluation target. (3) A label-free</w:t>
      </w:r>
      <w:r>
        <w:t xml:space="preserve"> </w:t>
      </w:r>
      <w:r>
        <w:rPr>
          <w:b/>
          <w:bCs/>
        </w:rPr>
        <w:t xml:space="preserve">health/risk index</w:t>
      </w:r>
      <w:r>
        <w:t xml:space="preserve"> </w:t>
      </w:r>
      <w:r>
        <w:t xml:space="preserve">ranks the fleet usefully</w:t>
      </w:r>
      <w:r>
        <w:t xml:space="preserve"> </w:t>
      </w:r>
      <w:r>
        <w:t xml:space="preserve">(riskiest decile ≈ 27% event rate vs 2% for the safest), reported honestly against the confound floor.</w:t>
      </w:r>
    </w:p>
    <w:bookmarkStart w:id="9" w:name="context-and-motivation"/>
    <w:p>
      <w:pPr>
        <w:pStyle w:val="Heading2"/>
      </w:pPr>
      <w:r>
        <w:t xml:space="preserve">1. Context and motivation</w:t>
      </w:r>
    </w:p>
    <w:p>
      <w:pPr>
        <w:pStyle w:val="FirstParagraph"/>
      </w:pPr>
      <w:r>
        <w:t xml:space="preserve">Power transformers are among the most critical and expensive assets of an electrical grid; an</w:t>
      </w:r>
      <w:r>
        <w:t xml:space="preserve"> </w:t>
      </w:r>
      <w:r>
        <w:t xml:space="preserve">in-service failure means outages, safety risk and costly, slow replacement.</w:t>
      </w:r>
      <w:r>
        <w:t xml:space="preserve"> </w:t>
      </w:r>
      <w:r>
        <w:rPr>
          <w:b/>
          <w:bCs/>
        </w:rPr>
        <w:t xml:space="preserve">Dissolved Gas Analysis</w:t>
      </w:r>
      <w:r>
        <w:rPr>
          <w:b/>
          <w:bCs/>
        </w:rPr>
        <w:t xml:space="preserve"> </w:t>
      </w:r>
      <w:r>
        <w:rPr>
          <w:b/>
          <w:bCs/>
        </w:rPr>
        <w:t xml:space="preserve">(DGA)</w:t>
      </w:r>
      <w:r>
        <w:t xml:space="preserve"> </w:t>
      </w:r>
      <w:r>
        <w:t xml:space="preserve">detects incipient faults early: internal thermal or electrical stress decomposes the oil and</w:t>
      </w:r>
      <w:r>
        <w:t xml:space="preserve"> </w:t>
      </w:r>
      <w:r>
        <w:t xml:space="preserve">paper insulation and releases characteristic gases (hydrogen, methane, ethylene, acetylene, carbon</w:t>
      </w:r>
      <w:r>
        <w:t xml:space="preserve"> </w:t>
      </w:r>
      <w:r>
        <w:t xml:space="preserve">oxides) measured in ppm. Conventional interpretation — IEC 60599 ratios, Rogers ratios and the Duval</w:t>
      </w:r>
      <w:r>
        <w:t xml:space="preserve"> </w:t>
      </w:r>
      <w:r>
        <w:t xml:space="preserve">Triangle — is</w:t>
      </w:r>
      <w:r>
        <w:t xml:space="preserve"> </w:t>
      </w:r>
      <w:r>
        <w:rPr>
          <w:b/>
          <w:bCs/>
        </w:rPr>
        <w:t xml:space="preserve">rule-based</w:t>
      </w:r>
      <w:r>
        <w:t xml:space="preserve">, requires</w:t>
      </w:r>
      <w:r>
        <w:t xml:space="preserve"> </w:t>
      </w:r>
      <w:r>
        <w:rPr>
          <w:b/>
          <w:bCs/>
        </w:rPr>
        <w:t xml:space="preserve">expert judgement</w:t>
      </w:r>
      <w:r>
        <w:t xml:space="preserve">, sometimes returns</w:t>
      </w:r>
      <w:r>
        <w:t xml:space="preserve"> </w:t>
      </w:r>
      <w:r>
        <w:rPr>
          <w:b/>
          <w:bCs/>
        </w:rPr>
        <w:t xml:space="preserve">“not determined”</w:t>
      </w:r>
      <w:r>
        <w:t xml:space="preserve">,</w:t>
      </w:r>
      <w:r>
        <w:t xml:space="preserve"> </w:t>
      </w:r>
      <w:r>
        <w:t xml:space="preserve">and published machine-learning methods assume per-sample fault</w:t>
      </w:r>
      <w:r>
        <w:t xml:space="preserve"> </w:t>
      </w:r>
      <w:r>
        <w:rPr>
          <w:i/>
          <w:iCs/>
        </w:rPr>
        <w:t xml:space="preserve">labels</w:t>
      </w:r>
      <w:r>
        <w:t xml:space="preserve"> </w:t>
      </w:r>
      <w:r>
        <w:t xml:space="preserve">that utilities rarely have at</w:t>
      </w:r>
      <w:r>
        <w:t xml:space="preserve"> </w:t>
      </w:r>
      <w:r>
        <w:t xml:space="preserve">scale. In practice an operator must</w:t>
      </w:r>
      <w:r>
        <w:t xml:space="preserve"> </w:t>
      </w:r>
      <w:r>
        <w:rPr>
          <w:b/>
          <w:bCs/>
        </w:rPr>
        <w:t xml:space="preserve">prioritise maintenance across an entire fleet</w:t>
      </w:r>
      <w:r>
        <w:t xml:space="preserve"> </w:t>
      </w:r>
      <w:r>
        <w:t xml:space="preserve">— rank units by</w:t>
      </w:r>
      <w:r>
        <w:t xml:space="preserve"> </w:t>
      </w:r>
      <w:r>
        <w:t xml:space="preserve">risk —</w:t>
      </w:r>
      <w:r>
        <w:t xml:space="preserve"> </w:t>
      </w:r>
      <w:r>
        <w:rPr>
          <w:b/>
          <w:bCs/>
        </w:rPr>
        <w:t xml:space="preserve">without labels</w:t>
      </w:r>
      <w:r>
        <w:t xml:space="preserve">. That is the gap this project addresses.</w:t>
      </w:r>
    </w:p>
    <w:bookmarkEnd w:id="9"/>
    <w:bookmarkStart w:id="10" w:name="objective-research-question-and-dataset"/>
    <w:p>
      <w:pPr>
        <w:pStyle w:val="Heading2"/>
      </w:pPr>
      <w:r>
        <w:t xml:space="preserve">2. Objective, research question and dataset</w:t>
      </w:r>
    </w:p>
    <w:p>
      <w:pPr>
        <w:pStyle w:val="FirstParagraph"/>
      </w:pPr>
      <w:r>
        <w:rPr>
          <w:b/>
          <w:bCs/>
        </w:rPr>
        <w:t xml:space="preserve">Research question.</w:t>
      </w:r>
      <w:r>
        <w:t xml:space="preserve"> </w:t>
      </w:r>
      <w:r>
        <w:t xml:space="preserve">Can we rank transformers across a fleet by incipient-fault risk and recover</w:t>
      </w:r>
      <w:r>
        <w:t xml:space="preserve"> </w:t>
      </w:r>
      <w:r>
        <w:t xml:space="preserve">fault types,</w:t>
      </w:r>
      <w:r>
        <w:t xml:space="preserve"> </w:t>
      </w:r>
      <w:r>
        <w:rPr>
          <w:i/>
          <w:iCs/>
        </w:rPr>
        <w:t xml:space="preserve">label-free</w:t>
      </w:r>
      <w:r>
        <w:t xml:space="preserve">, from each unit’s DGA history — and can we trust the way such models are</w:t>
      </w:r>
      <w:r>
        <w:t xml:space="preserve"> </w:t>
      </w:r>
      <w:r>
        <w:t xml:space="preserve">usually validated?</w:t>
      </w:r>
    </w:p>
    <w:p>
      <w:pPr>
        <w:pStyle w:val="BodyText"/>
      </w:pPr>
      <w:r>
        <w:rPr>
          <w:b/>
          <w:bCs/>
        </w:rPr>
        <w:t xml:space="preserve">Dataset.</w:t>
      </w:r>
      <w:r>
        <w:t xml:space="preserve"> </w:t>
      </w:r>
      <w:r>
        <w:t xml:space="preserve">628 transformers,</w:t>
      </w:r>
      <w:r>
        <w:t xml:space="preserve"> </w:t>
      </w:r>
      <w:r>
        <w:rPr>
          <w:b/>
          <w:bCs/>
        </w:rPr>
        <w:t xml:space="preserve">4,563 main-tank oil samples</w:t>
      </w:r>
      <w:r>
        <w:t xml:space="preserve">, 42 manufacturers, spanning</w:t>
      </w:r>
      <w:r>
        <w:t xml:space="preserve"> </w:t>
      </w:r>
      <w:r>
        <w:t xml:space="preserve">~5 years (2019–2024) at ~6-month sampling intervals (a genuinely</w:t>
      </w:r>
      <w:r>
        <w:t xml:space="preserve"> </w:t>
      </w:r>
      <w:r>
        <w:rPr>
          <w:b/>
          <w:bCs/>
        </w:rPr>
        <w:t xml:space="preserve">longitudinal</w:t>
      </w:r>
      <w:r>
        <w:t xml:space="preserve"> </w:t>
      </w:r>
      <w:r>
        <w:t xml:space="preserve">fleet), assembled</w:t>
      </w:r>
      <w:r>
        <w:t xml:space="preserve"> </w:t>
      </w:r>
      <w:r>
        <w:t xml:space="preserve">from multiple operational sources in Thailand and anonymised.</w:t>
      </w:r>
      <w:r>
        <w:t xml:space="preserve"> </w:t>
      </w:r>
      <w:r>
        <w:rPr>
          <w:b/>
          <w:bCs/>
        </w:rPr>
        <w:t xml:space="preserve">391 samples carry a free-text</w:t>
      </w:r>
      <w:r>
        <w:rPr>
          <w:b/>
          <w:bCs/>
        </w:rPr>
        <w:t xml:space="preserve"> </w:t>
      </w:r>
      <w:r>
        <w:rPr>
          <w:b/>
          <w:bCs/>
        </w:rPr>
        <w:t xml:space="preserve">field-event note</w:t>
      </w:r>
      <w:r>
        <w:t xml:space="preserve"> </w:t>
      </w:r>
      <w:r>
        <w:t xml:space="preserve">(Buchholz trip, bushing failure, high power factor…) — 69% of them partly in</w:t>
      </w:r>
      <w:r>
        <w:t xml:space="preserve"> </w:t>
      </w:r>
      <w:r>
        <w:t xml:space="preserve">Thai — used as</w:t>
      </w:r>
      <w:r>
        <w:t xml:space="preserve"> </w:t>
      </w:r>
      <w:r>
        <w:rPr>
          <w:b/>
          <w:bCs/>
        </w:rPr>
        <w:t xml:space="preserve">weak validation labels</w:t>
      </w:r>
      <w:r>
        <w:t xml:space="preserve">, whose reliability itself became a finding of the project.</w:t>
      </w:r>
    </w:p>
    <w:bookmarkEnd w:id="10"/>
    <w:bookmarkStart w:id="20" w:name="week-by-week-progress"/>
    <w:p>
      <w:pPr>
        <w:pStyle w:val="Heading2"/>
      </w:pPr>
      <w:r>
        <w:t xml:space="preserve">3. Week-by-week progress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630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Dates</w:t>
            </w:r>
          </w:p>
        </w:tc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Main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15–19 Jun</w:t>
            </w:r>
          </w:p>
        </w:tc>
        <w:tc>
          <w:tcPr/>
          <w:p>
            <w:pPr>
              <w:pStyle w:val="Compact"/>
            </w:pPr>
            <w:r>
              <w:t xml:space="preserve">Foundations</w:t>
            </w:r>
          </w:p>
        </w:tc>
        <w:tc>
          <w:tcPr/>
          <w:p>
            <w:pPr>
              <w:pStyle w:val="Compact"/>
            </w:pPr>
            <w:r>
              <w:t xml:space="preserve">Clean data + EDA, conventional baselines, literature (15+ refs with notes), problem statement; the</w:t>
            </w:r>
            <w:r>
              <w:t xml:space="preserve"> </w:t>
            </w:r>
            <w:r>
              <w:t xml:space="preserve">“severity trap”</w:t>
            </w:r>
            <w:r>
              <w:t xml:space="preserve"> </w:t>
            </w:r>
            <w:r>
              <w:t xml:space="preserve">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22–26 Jun</w:t>
            </w:r>
          </w:p>
        </w:tc>
        <w:tc>
          <w:tcPr/>
          <w:p>
            <w:pPr>
              <w:pStyle w:val="Compact"/>
            </w:pPr>
            <w:r>
              <w:t xml:space="preserve">Models + the discovery</w:t>
            </w:r>
          </w:p>
        </w:tc>
        <w:tc>
          <w:tcPr/>
          <w:p>
            <w:pPr>
              <w:pStyle w:val="Compact"/>
            </w:pPr>
            <w:r>
              <w:t xml:space="preserve">Label-free risk index (AUC 0.74); research campaign reveals</w:t>
            </w:r>
            <w:r>
              <w:t xml:space="preserve"> </w:t>
            </w:r>
            <w:r>
              <w:rPr>
                <w:b/>
                <w:bCs/>
              </w:rPr>
              <w:t xml:space="preserve">surveillance bias</w:t>
            </w:r>
            <w:r>
              <w:t xml:space="preserve"> </w:t>
            </w:r>
            <w:r>
              <w:t xml:space="preserve">in the validation label (sample count: AUC 0.76); project reframed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29 Jun–3 Jul</w:t>
            </w:r>
          </w:p>
        </w:tc>
        <w:tc>
          <w:tcPr/>
          <w:p>
            <w:pPr>
              <w:pStyle w:val="Compact"/>
            </w:pPr>
            <w:r>
              <w:t xml:space="preserve">Attacking our own results</w:t>
            </w:r>
          </w:p>
        </w:tc>
        <w:tc>
          <w:tcPr/>
          <w:p>
            <w:pPr>
              <w:pStyle w:val="Compact"/>
            </w:pPr>
            <w:r>
              <w:t xml:space="preserve">Linear CLR-PCA</w:t>
            </w:r>
            <w:r>
              <w:t xml:space="preserve"> </w:t>
            </w:r>
            <w:r>
              <w:rPr>
                <w:b/>
                <w:bCs/>
              </w:rPr>
              <w:t xml:space="preserve">beats</w:t>
            </w:r>
            <w:r>
              <w:t xml:space="preserve"> </w:t>
            </w:r>
            <w:r>
              <w:t xml:space="preserve">the neural model (ARI 0.545 vs 0.474); statistics hardened (unit-blocked intervals); 211 Thai notes translated; paper rewritten; git repository +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6–10 Jul</w:t>
            </w:r>
          </w:p>
        </w:tc>
        <w:tc>
          <w:tcPr/>
          <w:p>
            <w:pPr>
              <w:pStyle w:val="Compact"/>
            </w:pPr>
            <w:r>
              <w:t xml:space="preserve">Consolidation</w:t>
            </w:r>
          </w:p>
        </w:tc>
        <w:tc>
          <w:tcPr/>
          <w:p>
            <w:pPr>
              <w:pStyle w:val="Compact"/>
            </w:pPr>
            <w:r>
              <w:t xml:space="preserve">Dashboard UX redesign; data-provenance statement; paper figures consolidated to the 6-page IEEE limit; defense decks (HTML + PowerPoint)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13–17 Jul</w:t>
            </w:r>
          </w:p>
        </w:tc>
        <w:tc>
          <w:tcPr/>
          <w:p>
            <w:pPr>
              <w:pStyle w:val="Compact"/>
            </w:pPr>
            <w:r>
              <w:t xml:space="preserve">Dissemination</w:t>
            </w:r>
          </w:p>
        </w:tc>
        <w:tc>
          <w:tcPr/>
          <w:p>
            <w:pPr>
              <w:pStyle w:val="Compact"/>
            </w:pPr>
            <w:r>
              <w:t xml:space="preserve">Final report, cross-deliverable coherence audit, rehearsal, defense</w:t>
            </w:r>
          </w:p>
        </w:tc>
      </w:tr>
    </w:tbl>
    <w:p>
      <w:pPr>
        <w:pStyle w:val="BodyText"/>
      </w:pPr>
      <w:r>
        <w:rPr>
          <w:b/>
          <w:bCs/>
        </w:rPr>
        <w:t xml:space="preserve">Week 1 — Foundations.</w:t>
      </w:r>
      <w:r>
        <w:t xml:space="preserve"> </w:t>
      </w:r>
      <w:r>
        <w:t xml:space="preserve">Built and verified the full pipeline end-to-end on the real data: cleaning</w:t>
      </w:r>
      <w:r>
        <w:t xml:space="preserve"> </w:t>
      </w:r>
      <w:r>
        <w:t xml:space="preserve">(gas values stored as text, missing markers, field notes), exploratory analysis, and the conventional</w:t>
      </w:r>
      <w:r>
        <w:t xml:space="preserve"> </w:t>
      </w:r>
      <w:r>
        <w:t xml:space="preserve">baselines (Duval / IEC / Rogers) reproduced as the reference to compare against. A first experiment</w:t>
      </w:r>
      <w:r>
        <w:t xml:space="preserve"> </w:t>
      </w:r>
      <w:r>
        <w:t xml:space="preserve">already exposed the</w:t>
      </w:r>
      <w:r>
        <w:t xml:space="preserve"> </w:t>
      </w:r>
      <w:r>
        <w:rPr>
          <w:b/>
          <w:bCs/>
        </w:rPr>
        <w:t xml:space="preserve">severity trap</w:t>
      </w:r>
      <w:r>
        <w:t xml:space="preserve">: a plain autoencoder on concentrations reaches near-perfect</w:t>
      </w:r>
      <w:r>
        <w:t xml:space="preserve"> </w:t>
      </w:r>
      <w:r>
        <w:t xml:space="preserve">cluster quality scores while agreeing with expert fault types at only ARI ≈ 0.015 — it had learned</w:t>
      </w:r>
      <w:r>
        <w:t xml:space="preserve"> </w:t>
      </w:r>
      <w:r>
        <w:rPr>
          <w:i/>
          <w:iCs/>
        </w:rPr>
        <w:t xml:space="preserve">how much</w:t>
      </w:r>
      <w:r>
        <w:t xml:space="preserve"> </w:t>
      </w:r>
      <w:r>
        <w:t xml:space="preserve">gas, not</w:t>
      </w:r>
      <w:r>
        <w:t xml:space="preserve"> </w:t>
      </w:r>
      <w:r>
        <w:rPr>
          <w:i/>
          <w:iCs/>
        </w:rPr>
        <w:t xml:space="preserve">which fault</w:t>
      </w:r>
      <w:r>
        <w:t xml:space="preserve">.</w:t>
      </w:r>
    </w:p>
    <w:p>
      <w:pPr>
        <w:pStyle w:val="CaptionedFigure"/>
      </w:pPr>
      <w:r>
        <w:drawing>
          <wp:inline>
            <wp:extent cx="3520440" cy="1625839"/>
            <wp:effectExtent b="0" l="0" r="0" t="0"/>
            <wp:docPr descr="Conventional Duval diagnosis across the fleet — the baseline to compare against, with strong class imbalance." title="" id="12" name="Picture"/>
            <a:graphic>
              <a:graphicData uri="http://schemas.openxmlformats.org/drawingml/2006/picture">
                <pic:pic>
                  <pic:nvPicPr>
                    <pic:cNvPr descr="../results/figures/synth_fault_mix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162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Conventional Duval diagnosis across the fleet — the baseline to compare against, with strong class imbalance.</w:t>
      </w:r>
    </w:p>
    <w:p>
      <w:pPr>
        <w:pStyle w:val="BodyText"/>
      </w:pPr>
      <w:r>
        <w:rPr>
          <w:b/>
          <w:bCs/>
        </w:rPr>
        <w:t xml:space="preserve">Week 2 — Models, and the discovery that reframed the project.</w:t>
      </w:r>
      <w:r>
        <w:t xml:space="preserve"> </w:t>
      </w:r>
      <w:r>
        <w:t xml:space="preserve">Built the label-free</w:t>
      </w:r>
      <w:r>
        <w:t xml:space="preserve"> </w:t>
      </w:r>
      <w:r>
        <w:rPr>
          <w:b/>
          <w:bCs/>
        </w:rPr>
        <w:t xml:space="preserve">health/risk index</w:t>
      </w:r>
      <w:r>
        <w:t xml:space="preserve"> </w:t>
      </w:r>
      <w:r>
        <w:t xml:space="preserve">(gas severity + acetylene weighting + hydrogen growth rate + anomaly score;</w:t>
      </w:r>
      <w:r>
        <w:t xml:space="preserve"> </w:t>
      </w:r>
      <w:r>
        <w:t xml:space="preserve">AUC 0.74 against field events) and the compositional fault-type representation. Then a systematic</w:t>
      </w:r>
      <w:r>
        <w:t xml:space="preserve"> </w:t>
      </w:r>
      <w:r>
        <w:t xml:space="preserve">research pass produced the project’s central finding:</w:t>
      </w:r>
      <w:r>
        <w:t xml:space="preserve"> </w:t>
      </w:r>
      <w:r>
        <w:rPr>
          <w:b/>
          <w:bCs/>
        </w:rPr>
        <w:t xml:space="preserve">how often a unit is sampled predicts logged</w:t>
      </w:r>
      <w:r>
        <w:rPr>
          <w:b/>
          <w:bCs/>
        </w:rPr>
        <w:t xml:space="preserve"> </w:t>
      </w:r>
      <w:r>
        <w:rPr>
          <w:b/>
          <w:bCs/>
        </w:rPr>
        <w:t xml:space="preserve">events as well as the chemistry does</w:t>
      </w:r>
      <w:r>
        <w:t xml:space="preserve"> </w:t>
      </w:r>
      <w:r>
        <w:t xml:space="preserve">(AUC 0.76) — because operators re-sample units they worry</w:t>
      </w:r>
      <w:r>
        <w:t xml:space="preserve"> </w:t>
      </w:r>
      <w:r>
        <w:t xml:space="preserve">about, the validation label partly records</w:t>
      </w:r>
      <w:r>
        <w:t xml:space="preserve"> </w:t>
      </w:r>
      <w:r>
        <w:rPr>
          <w:i/>
          <w:iCs/>
        </w:rPr>
        <w:t xml:space="preserve">attention</w:t>
      </w:r>
      <w:r>
        <w:t xml:space="preserve">, not faults. This is surveillance /</w:t>
      </w:r>
      <w:r>
        <w:t xml:space="preserve"> </w:t>
      </w:r>
      <w:r>
        <w:t xml:space="preserve">informed-presence bias, well documented in medicine but, to our knowledge, never reported for DGA.</w:t>
      </w:r>
      <w:r>
        <w:t xml:space="preserve"> </w:t>
      </w:r>
      <w:r>
        <w:t xml:space="preserve">The project was reframed around it.</w:t>
      </w:r>
    </w:p>
    <w:p>
      <w:pPr>
        <w:pStyle w:val="BodyText"/>
      </w:pPr>
      <w:r>
        <w:rPr>
          <w:b/>
          <w:bCs/>
        </w:rPr>
        <w:t xml:space="preserve">Week 3 — Attacking our own results.</w:t>
      </w:r>
      <w:r>
        <w:t xml:space="preserve"> </w:t>
      </w:r>
      <w:r>
        <w:t xml:space="preserve">A full adversarial audit of our own headline claims.</w:t>
      </w:r>
      <w:r>
        <w:t xml:space="preserve"> </w:t>
      </w:r>
      <w:r>
        <w:t xml:space="preserve">Outcome 1: the fault-type gain comes from the</w:t>
      </w:r>
      <w:r>
        <w:t xml:space="preserve"> </w:t>
      </w:r>
      <w:r>
        <w:rPr>
          <w:b/>
          <w:bCs/>
        </w:rPr>
        <w:t xml:space="preserve">log-ratio geometry</w:t>
      </w:r>
      <w:r>
        <w:t xml:space="preserve">, not the neural network — a</w:t>
      </w:r>
      <w:r>
        <w:t xml:space="preserve"> </w:t>
      </w:r>
      <w:r>
        <w:t xml:space="preserve">deterministic linear pipeline (CLR + PCA + KMeans) reaches</w:t>
      </w:r>
      <w:r>
        <w:t xml:space="preserve"> </w:t>
      </w:r>
      <w:r>
        <w:rPr>
          <w:b/>
          <w:bCs/>
        </w:rPr>
        <w:t xml:space="preserve">ARI 0.545 ± 0.002</w:t>
      </w:r>
      <w:r>
        <w:t xml:space="preserve"> </w:t>
      </w:r>
      <w:r>
        <w:t xml:space="preserve">vs Duval, beating</w:t>
      </w:r>
      <w:r>
        <w:t xml:space="preserve"> </w:t>
      </w:r>
      <w:r>
        <w:t xml:space="preserve">our own autoencoder (0.474 ± 0.055), which we demoted to a negative ablation. Outcome 2: honest</w:t>
      </w:r>
      <w:r>
        <w:t xml:space="preserve"> </w:t>
      </w:r>
      <w:r>
        <w:t xml:space="preserve">statistics everywhere — the 0.76-vs-0.74 gap is</w:t>
      </w:r>
      <w:r>
        <w:t xml:space="preserve"> </w:t>
      </w:r>
      <w:r>
        <w:rPr>
          <w:i/>
          <w:iCs/>
        </w:rPr>
        <w:t xml:space="preserve">not significant</w:t>
      </w:r>
      <w:r>
        <w:t xml:space="preserve"> </w:t>
      </w:r>
      <w:r>
        <w:t xml:space="preserve">(p = 0.58); the physics carries a</w:t>
      </w:r>
      <w:r>
        <w:t xml:space="preserve"> </w:t>
      </w:r>
      <w:r>
        <w:t xml:space="preserve">small real increment beyond the count (likelihood-ratio p = 0.003) but none forward in time; the</w:t>
      </w:r>
      <w:r>
        <w:t xml:space="preserve"> </w:t>
      </w:r>
      <w:r>
        <w:t xml:space="preserve">confound-free arcing-onset target rests on</w:t>
      </w:r>
      <w:r>
        <w:t xml:space="preserve"> </w:t>
      </w:r>
      <w:r>
        <w:rPr>
          <w:b/>
          <w:bCs/>
        </w:rPr>
        <w:t xml:space="preserve">17 onset units</w:t>
      </w:r>
      <w:r>
        <w:t xml:space="preserve">, so we report unit-blocked confidence</w:t>
      </w:r>
      <w:r>
        <w:t xml:space="preserve"> </w:t>
      </w:r>
      <w:r>
        <w:t xml:space="preserve">intervals (ethylene AUC 0.64, CI 0.52–0.77 — above chance, modest). Outcome 3: all</w:t>
      </w:r>
      <w:r>
        <w:t xml:space="preserve"> </w:t>
      </w:r>
      <w:r>
        <w:rPr>
          <w:b/>
          <w:bCs/>
        </w:rPr>
        <w:t xml:space="preserve">211 distinct</w:t>
      </w:r>
      <w:r>
        <w:rPr>
          <w:b/>
          <w:bCs/>
        </w:rPr>
        <w:t xml:space="preserve"> </w:t>
      </w:r>
      <w:r>
        <w:rPr>
          <w:b/>
          <w:bCs/>
        </w:rPr>
        <w:t xml:space="preserve">Thai notes translated and classified</w:t>
      </w:r>
      <w:r>
        <w:t xml:space="preserve"> </w:t>
      </w:r>
      <w:r>
        <w:t xml:space="preserve">(+6 genuine electrical events); on the repaired label the</w:t>
      </w:r>
      <w:r>
        <w:t xml:space="preserve"> </w:t>
      </w:r>
      <w:r>
        <w:t xml:space="preserve">count’s advantage disappears entirely (0.734 vs 0.735) — part of the confound was label</w:t>
      </w:r>
      <w:r>
        <w:t xml:space="preserve"> </w:t>
      </w:r>
      <w:r>
        <w:t xml:space="preserve">incompleteness. The paper was rewritten accordingly; the repository gained version control,</w:t>
      </w:r>
      <w:r>
        <w:t xml:space="preserve"> </w:t>
      </w:r>
      <w:r>
        <w:t xml:space="preserve">automated tests and an interactive dashboard.</w:t>
      </w:r>
    </w:p>
    <w:p>
      <w:pPr>
        <w:pStyle w:val="CaptionedFigure"/>
      </w:pPr>
      <w:r>
        <w:drawing>
          <wp:inline>
            <wp:extent cx="4693920" cy="2383067"/>
            <wp:effectExtent b="0" l="0" r="0" t="0"/>
            <wp:docPr descr="Fault-type agreement across representations: the gain is the log-ratio geometry, and a linear projection beats the autoencoder (negative ablation)." title="" id="15" name="Picture"/>
            <a:graphic>
              <a:graphicData uri="http://schemas.openxmlformats.org/drawingml/2006/picture">
                <pic:pic>
                  <pic:nvPicPr>
                    <pic:cNvPr descr="../results/figures/representation_ablation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383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Fault-type agreement across representations: the gain is the log-ratio geometry, and a linear projection beats the autoencoder (negative ablation).</w:t>
      </w:r>
    </w:p>
    <w:p>
      <w:pPr>
        <w:pStyle w:val="CaptionedFigure"/>
      </w:pPr>
      <w:r>
        <w:drawing>
          <wp:inline>
            <wp:extent cx="3307080" cy="2746557"/>
            <wp:effectExtent b="0" l="0" r="0" t="0"/>
            <wp:docPr descr="The learned diagnostic map — PCA of the standardised CLR, coloured by expert (Duval) class added afterwards: discharge, thermal and partial-discharge regions separate without any labels." title="" id="18" name="Picture"/>
            <a:graphic>
              <a:graphicData uri="http://schemas.openxmlformats.org/drawingml/2006/picture">
                <pic:pic>
                  <pic:nvPicPr>
                    <pic:cNvPr descr="../results/figures/clr_pca_map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2746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learned diagnostic map — PCA of the standardised CLR, coloured by expert (Duval) class added afterwards: discharge, thermal and partial-discharge regions separate without any labels.</w:t>
      </w:r>
    </w:p>
    <w:p>
      <w:pPr>
        <w:pStyle w:val="BodyText"/>
      </w:pPr>
      <w:r>
        <w:rPr>
          <w:b/>
          <w:bCs/>
        </w:rPr>
        <w:t xml:space="preserve">Week 4 — Consolidation.</w:t>
      </w:r>
      <w:r>
        <w:t xml:space="preserve"> </w:t>
      </w:r>
      <w:r>
        <w:t xml:space="preserve">Dashboard redesigned around scoring profiles (usable by a non-expert);</w:t>
      </w:r>
      <w:r>
        <w:t xml:space="preserve"> </w:t>
      </w:r>
      <w:r>
        <w:t xml:space="preserve">data-provenance statement finalised with the supervisor (anonymised multi-source records; an</w:t>
      </w:r>
      <w:r>
        <w:t xml:space="preserve"> </w:t>
      </w:r>
      <w:r>
        <w:t xml:space="preserve">anonymised extract is released with the code); paper figures consolidated into two multi-panel</w:t>
      </w:r>
      <w:r>
        <w:t xml:space="preserve"> </w:t>
      </w:r>
      <w:r>
        <w:t xml:space="preserve">figures to meet the 6-page IEEE limit; defense decks built (self-contained HTML + native PowerPoint).</w:t>
      </w:r>
    </w:p>
    <w:p>
      <w:pPr>
        <w:pStyle w:val="BodyText"/>
      </w:pPr>
      <w:r>
        <w:rPr>
          <w:b/>
          <w:bCs/>
        </w:rPr>
        <w:t xml:space="preserve">Week 5 — Dissemination.</w:t>
      </w:r>
      <w:r>
        <w:t xml:space="preserve"> </w:t>
      </w:r>
      <w:r>
        <w:t xml:space="preserve">This report, a cross-deliverable coherence audit (paper, decks, lab</w:t>
      </w:r>
      <w:r>
        <w:t xml:space="preserve"> </w:t>
      </w:r>
      <w:r>
        <w:t xml:space="preserve">notebook, dashboard, repository), rehearsal and defense.</w:t>
      </w:r>
    </w:p>
    <w:bookmarkEnd w:id="20"/>
    <w:bookmarkStart w:id="27" w:name="key-results"/>
    <w:p>
      <w:pPr>
        <w:pStyle w:val="Heading2"/>
      </w:pPr>
      <w:r>
        <w:t xml:space="preserve">4. Key results</w:t>
      </w:r>
    </w:p>
    <w:p>
      <w:pPr>
        <w:pStyle w:val="CaptionedFigure"/>
      </w:pPr>
      <w:r>
        <w:drawing>
          <wp:inline>
            <wp:extent cx="5227320" cy="1334338"/>
            <wp:effectExtent b="0" l="0" r="0" t="0"/>
            <wp:docPr descr="The surveillance-bias analysis. (a) A trivial sample count matches the physics index against the field-note label. (b) Temporal hold-out: forward validity vanishes once the count is controlled. (c) A confound-free chemistry target (arcing onset): gases predict, the count does not." title="" id="22" name="Picture"/>
            <a:graphic>
              <a:graphicData uri="http://schemas.openxmlformats.org/drawingml/2006/picture">
                <pic:pic>
                  <pic:nvPicPr>
                    <pic:cNvPr descr="../results/figures/confound_panel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1334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surveillance-bias analysis. (a) A trivial sample count matches the physics index against the field-note label. (b) Temporal hold-out: forward validity vanishes once the count is controlled. (c) A confound-free chemistry target (arcing onset): gases predict, the count does not.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Fault-type recovery (contribution 1):</w:t>
      </w:r>
      <w:r>
        <w:t xml:space="preserve"> </w:t>
      </w:r>
      <w:r>
        <w:t xml:space="preserve">ARI</w:t>
      </w:r>
      <w:r>
        <w:t xml:space="preserve"> </w:t>
      </w:r>
      <w:r>
        <w:rPr>
          <w:b/>
          <w:bCs/>
        </w:rPr>
        <w:t xml:space="preserve">0.16 → 0.55</w:t>
      </w:r>
      <w:r>
        <w:t xml:space="preserve"> </w:t>
      </w:r>
      <w:r>
        <w:t xml:space="preserve">vs the Duval classes using log-ratio</w:t>
      </w:r>
      <w:r>
        <w:t xml:space="preserve"> </w:t>
      </w:r>
      <w:r>
        <w:t xml:space="preserve">geometry and a linear projection; deterministic; stable on a strict temporal split (fit pre-2022,</w:t>
      </w:r>
      <w:r>
        <w:t xml:space="preserve"> </w:t>
      </w:r>
      <w:r>
        <w:t xml:space="preserve">score 2022+: ARI 0.45). The neural variant (SD-CAE) and an adversarial disentanglement term are</w:t>
      </w:r>
      <w:r>
        <w:t xml:space="preserve"> </w:t>
      </w:r>
      <w:r>
        <w:t xml:space="preserve">reported as</w:t>
      </w:r>
      <w:r>
        <w:t xml:space="preserve"> </w:t>
      </w:r>
      <w:r>
        <w:rPr>
          <w:b/>
          <w:bCs/>
        </w:rPr>
        <w:t xml:space="preserve">negative results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validation caution (contribution 2):</w:t>
      </w:r>
      <w:r>
        <w:t xml:space="preserve"> </w:t>
      </w:r>
      <w:r>
        <w:t xml:space="preserve">sample count AUC</w:t>
      </w:r>
      <w:r>
        <w:t xml:space="preserve"> </w:t>
      </w:r>
      <w:r>
        <w:rPr>
          <w:b/>
          <w:bCs/>
        </w:rPr>
        <w:t xml:space="preserve">0.76</w:t>
      </w:r>
      <w:r>
        <w:t xml:space="preserve"> </w:t>
      </w:r>
      <w:r>
        <w:t xml:space="preserve">≈ physics</w:t>
      </w:r>
      <w:r>
        <w:t xml:space="preserve"> </w:t>
      </w:r>
      <w:r>
        <w:rPr>
          <w:b/>
          <w:bCs/>
        </w:rPr>
        <w:t xml:space="preserve">0.74</w:t>
      </w:r>
      <w:r>
        <w:t xml:space="preserve"> </w:t>
      </w:r>
      <w:r>
        <w:t xml:space="preserve">(p = 0.58); forward validity falls to chance (0.50) once the count is controlled; a</w:t>
      </w:r>
      <w:r>
        <w:t xml:space="preserve"> </w:t>
      </w:r>
      <w:r>
        <w:t xml:space="preserve">chemistry-defined target (arcing onset) remains genuinely predictable from gases (AUC 0.64,</w:t>
      </w:r>
      <w:r>
        <w:t xml:space="preserve"> </w:t>
      </w:r>
      <w:r>
        <w:t xml:space="preserve">unit-blocked CI 0.52–0.77) while the count is not (0.49).</w:t>
      </w:r>
      <w:r>
        <w:t xml:space="preserve"> </w:t>
      </w:r>
      <w:r>
        <w:rPr>
          <w:b/>
          <w:bCs/>
        </w:rPr>
        <w:t xml:space="preserve">Recommendation to the field:</w:t>
      </w:r>
      <w:r>
        <w:t xml:space="preserve"> </w:t>
      </w:r>
      <w:r>
        <w:t xml:space="preserve">any DGA</w:t>
      </w:r>
      <w:r>
        <w:t xml:space="preserve"> </w:t>
      </w:r>
      <w:r>
        <w:t xml:space="preserve">risk model validated on operator-logged events should co-report this sample-count confound floor.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Fleet ranking (contribution 3):</w:t>
      </w:r>
      <w:r>
        <w:t xml:space="preserve"> </w:t>
      </w:r>
      <w:r>
        <w:t xml:space="preserve">riskiest decile ≈</w:t>
      </w:r>
      <w:r>
        <w:t xml:space="preserve"> </w:t>
      </w:r>
      <w:r>
        <w:rPr>
          <w:b/>
          <w:bCs/>
        </w:rPr>
        <w:t xml:space="preserve">27%</w:t>
      </w:r>
      <w:r>
        <w:t xml:space="preserve"> </w:t>
      </w:r>
      <w:r>
        <w:t xml:space="preserve">event rate vs ≈</w:t>
      </w:r>
      <w:r>
        <w:t xml:space="preserve"> </w:t>
      </w:r>
      <w:r>
        <w:rPr>
          <w:b/>
          <w:bCs/>
        </w:rPr>
        <w:t xml:space="preserve">2%</w:t>
      </w:r>
      <w:r>
        <w:t xml:space="preserve"> </w:t>
      </w:r>
      <w:r>
        <w:t xml:space="preserve">for the</w:t>
      </w:r>
      <w:r>
        <w:t xml:space="preserve"> </w:t>
      </w:r>
      <w:r>
        <w:t xml:space="preserve">safest; four transparent components (severity, acetylene, H2 growth rate, anomaly) — always read</w:t>
      </w:r>
      <w:r>
        <w:t xml:space="preserve"> </w:t>
      </w:r>
      <w:r>
        <w:t xml:space="preserve">against the 0.76 floor above.</w:t>
      </w:r>
    </w:p>
    <w:p>
      <w:pPr>
        <w:pStyle w:val="CaptionedFigure"/>
      </w:pPr>
      <w:r>
        <w:drawing>
          <wp:inline>
            <wp:extent cx="3840480" cy="2148065"/>
            <wp:effectExtent b="0" l="0" r="0" t="0"/>
            <wp:docPr descr="Field-event rate by risk decile: events concentrate where the label-free index says they should." title="" id="25" name="Picture"/>
            <a:graphic>
              <a:graphicData uri="http://schemas.openxmlformats.org/drawingml/2006/picture">
                <pic:pic>
                  <pic:nvPicPr>
                    <pic:cNvPr descr="../results/figures/health_decile_note_rat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148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Field-event rate by risk decile: events concentrate where the label-free index says they should.</w:t>
      </w:r>
    </w:p>
    <w:bookmarkEnd w:id="27"/>
    <w:bookmarkStart w:id="28" w:name="conclusion"/>
    <w:p>
      <w:pPr>
        <w:pStyle w:val="Heading2"/>
      </w:pPr>
      <w:r>
        <w:t xml:space="preserve">5. Conclusion</w:t>
      </w:r>
    </w:p>
    <w:p>
      <w:pPr>
        <w:pStyle w:val="FirstParagraph"/>
      </w:pPr>
      <w:r>
        <w:t xml:space="preserve">The project set out to rank a transformer fleet by risk without labels; it delivered that — and</w:t>
      </w:r>
      <w:r>
        <w:t xml:space="preserve"> </w:t>
      </w:r>
      <w:r>
        <w:t xml:space="preserve">something arguably more valuable: evidence that</w:t>
      </w:r>
      <w:r>
        <w:t xml:space="preserve"> </w:t>
      </w:r>
      <w:r>
        <w:rPr>
          <w:b/>
          <w:bCs/>
        </w:rPr>
        <w:t xml:space="preserve">the standard way of validating such models is</w:t>
      </w:r>
      <w:r>
        <w:rPr>
          <w:b/>
          <w:bCs/>
        </w:rPr>
        <w:t xml:space="preserve"> </w:t>
      </w:r>
      <w:r>
        <w:rPr>
          <w:b/>
          <w:bCs/>
        </w:rPr>
        <w:t xml:space="preserve">partly measuring operator attention rather than transformer health</w:t>
      </w:r>
      <w:r>
        <w:t xml:space="preserve">, plus a practical fix</w:t>
      </w:r>
      <w:r>
        <w:t xml:space="preserve"> </w:t>
      </w:r>
      <w:r>
        <w:t xml:space="preserve">(condition on the sampling count; use chemistry-defined targets; repair multilingual labels).</w:t>
      </w:r>
      <w:r>
        <w:t xml:space="preserve"> </w:t>
      </w:r>
      <w:r>
        <w:t xml:space="preserve">Methodologically, the strongest lesson is that</w:t>
      </w:r>
      <w:r>
        <w:t xml:space="preserve"> </w:t>
      </w:r>
      <w:r>
        <w:rPr>
          <w:b/>
          <w:bCs/>
        </w:rPr>
        <w:t xml:space="preserve">the right geometry beat the bigger model</w:t>
      </w:r>
      <w:r>
        <w:t xml:space="preserve">: a</w:t>
      </w:r>
      <w:r>
        <w:t xml:space="preserve"> </w:t>
      </w:r>
      <w:r>
        <w:t xml:space="preserve">linear, interpretable, deterministic method outperformed our own neural network once the data was</w:t>
      </w:r>
      <w:r>
        <w:t xml:space="preserve"> </w:t>
      </w:r>
      <w:r>
        <w:t xml:space="preserve">represented correctly. All claims are reproducible: one command regenerates every number and figure</w:t>
      </w:r>
      <w:r>
        <w:t xml:space="preserve"> </w:t>
      </w:r>
      <w:r>
        <w:t xml:space="preserve">(10 automated tests), the paper draft (6-page IEEE format) is written, and an interactive dashboard</w:t>
      </w:r>
      <w:r>
        <w:t xml:space="preserve"> </w:t>
      </w:r>
      <w:r>
        <w:t xml:space="preserve">exposes the whole framework on an anonymised data extract.</w:t>
      </w:r>
    </w:p>
    <w:bookmarkEnd w:id="28"/>
    <w:bookmarkStart w:id="29" w:name="limitations-and-next-steps"/>
    <w:p>
      <w:pPr>
        <w:pStyle w:val="Heading2"/>
      </w:pPr>
      <w:r>
        <w:t xml:space="preserve">6. Limitations and next steps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fleet:</w:t>
      </w:r>
      <w:r>
        <w:t xml:space="preserve"> </w:t>
      </w:r>
      <w:r>
        <w:t xml:space="preserve">the surveillance-bias finding is demonstrated on this fleet; its prevalence across</w:t>
      </w:r>
      <w:r>
        <w:t xml:space="preserve"> </w:t>
      </w:r>
      <w:r>
        <w:t xml:space="preserve">utilities is an open (and testable) question.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Weak labels remain weak:</w:t>
      </w:r>
      <w:r>
        <w:t xml:space="preserve"> </w:t>
      </w:r>
      <w:r>
        <w:t xml:space="preserve">the Thai-note classification awaits full domain validation; real</w:t>
      </w:r>
      <w:r>
        <w:t xml:space="preserve"> </w:t>
      </w:r>
      <w:r>
        <w:t xml:space="preserve">failure/maintenance records would strengthen every risk claim.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Moderate absolute agreement:</w:t>
      </w:r>
      <w:r>
        <w:t xml:space="preserve"> </w:t>
      </w:r>
      <w:r>
        <w:t xml:space="preserve">ARI 0.55 is against a heuristic (Duval), not ground truth; we</w:t>
      </w:r>
      <w:r>
        <w:t xml:space="preserve"> </w:t>
      </w:r>
      <w:r>
        <w:t xml:space="preserve">claim the relative gain and the label-free setting, not diagnostic accuracy.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Small-event statistics:</w:t>
      </w:r>
      <w:r>
        <w:t xml:space="preserve"> </w:t>
      </w:r>
      <w:r>
        <w:t xml:space="preserve">the chemistry target has 17 onset units; intervals are wide and</w:t>
      </w:r>
      <w:r>
        <w:t xml:space="preserve"> </w:t>
      </w:r>
      <w:r>
        <w:t xml:space="preserve">reported as such.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Forward direction:</w:t>
      </w:r>
      <w:r>
        <w:t xml:space="preserve"> </w:t>
      </w:r>
      <w:r>
        <w:t xml:space="preserve">trajectory features in the compositional plane (an honest</w:t>
      </w:r>
      <w:r>
        <w:t xml:space="preserve"> </w:t>
      </w:r>
      <w:r>
        <w:t xml:space="preserve">“temporal</w:t>
      </w:r>
      <w:r>
        <w:t xml:space="preserve"> </w:t>
      </w:r>
      <w:r>
        <w:t xml:space="preserve">representation”</w:t>
      </w:r>
      <w:r>
        <w:t xml:space="preserve">), federated evaluation across utilities, and prognostics once better labels exist.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Reproducible: every figure and number in this report is produced by versioned code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run_all.py</w:t>
      </w:r>
      <w:r>
        <w:rPr>
          <w:i/>
          <w:iCs/>
        </w:rPr>
        <w:t xml:space="preserve"> </w:t>
      </w:r>
      <w:r>
        <w:rPr>
          <w:i/>
          <w:iCs/>
        </w:rPr>
        <w:t xml:space="preserve">regenerates all of them). Repository: github.com/Thibaut0000/DGA_KMUTNB_2026_ThibautFCX</w:t>
      </w:r>
      <w:r>
        <w:rPr>
          <w:i/>
          <w:iCs/>
        </w:rPr>
        <w:t xml:space="preserve"> </w:t>
      </w:r>
      <w:r>
        <w:rPr>
          <w:i/>
          <w:iCs/>
        </w:rPr>
        <w:t xml:space="preserve">(private; anonymised data extract included). This is a research initiation (5 weeks, one student);</w:t>
      </w:r>
      <w:r>
        <w:rPr>
          <w:i/>
          <w:iCs/>
        </w:rPr>
        <w:t xml:space="preserve"> </w:t>
      </w:r>
      <w:r>
        <w:rPr>
          <w:i/>
          <w:iCs/>
        </w:rPr>
        <w:t xml:space="preserve">results are honestly hedged.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14" Target="media/rId14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Label-Free Transformer Health Monitoring from DGA — and a Caution About Validation</dc:title>
  <dc:creator>Thibaut Faucheux (CESI, FISA4 INFO) · Research Initiation at KMUTNB, Bangkok · Supervisor: Dr. Rattanakorn Phadungthin</dc:creator>
  <cp:keywords/>
  <dcterms:created xsi:type="dcterms:W3CDTF">2026-07-16T07:12:56Z</dcterms:created>
  <dcterms:modified xsi:type="dcterms:W3CDTF">2026-07-16T07:12:56Z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End-of-project report — Weeks 1 to 5 — 17 July 2026</vt:lpwstr>
  </property>
</Properties>
</file>