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451E" w14:textId="77777777" w:rsidR="00F26889" w:rsidRDefault="00000000">
      <w:pPr>
        <w:pStyle w:val="Title"/>
      </w:pPr>
      <w:r>
        <w:t>Week 2 Synthesis — Representation Learning (teaching the model what to look at)</w:t>
      </w:r>
    </w:p>
    <w:p w14:paraId="64C9451F" w14:textId="77777777" w:rsidR="00F26889" w:rsidRDefault="00000000">
      <w:pPr>
        <w:pStyle w:val="Author"/>
      </w:pPr>
      <w:r>
        <w:t>Thibaut Faucheux (CESI) · Host lab: KMUTNB, Bangkok · Supervisor: Dr. Rattanakorn Phadungthin</w:t>
      </w:r>
    </w:p>
    <w:p w14:paraId="64C94520" w14:textId="77777777" w:rsidR="00F26889" w:rsidRDefault="00000000">
      <w:pPr>
        <w:pStyle w:val="Date"/>
      </w:pPr>
      <w:r>
        <w:t>26 June 2026</w:t>
      </w:r>
    </w:p>
    <w:p w14:paraId="64C94521" w14:textId="77777777" w:rsidR="00F26889" w:rsidRDefault="00000000">
      <w:pPr>
        <w:pStyle w:val="Heading2"/>
      </w:pPr>
      <w:bookmarkStart w:id="0" w:name="this-week-in-one-paragraph"/>
      <w:r>
        <w:t>1. This week in one paragraph</w:t>
      </w:r>
      <w:bookmarkEnd w:id="0"/>
    </w:p>
    <w:p w14:paraId="64C94522" w14:textId="77777777" w:rsidR="00F26889" w:rsidRDefault="00000000">
      <w:pPr>
        <w:pStyle w:val="FirstParagraph"/>
      </w:pPr>
      <w:r>
        <w:t xml:space="preserve">Week 2 was about </w:t>
      </w:r>
      <w:r>
        <w:rPr>
          <w:b/>
        </w:rPr>
        <w:t>representation learning</w:t>
      </w:r>
      <w:r>
        <w:t xml:space="preserve"> — teaching the model to summarise each oil sample into a few numbers, and, crucially, to make those numbers capture the </w:t>
      </w:r>
      <w:r>
        <w:rPr>
          <w:b/>
        </w:rPr>
        <w:t>fault type</w:t>
      </w:r>
      <w:r>
        <w:t xml:space="preserve"> (which fault), not just the </w:t>
      </w:r>
      <w:r>
        <w:rPr>
          <w:b/>
        </w:rPr>
        <w:t>severity</w:t>
      </w:r>
      <w:r>
        <w:t xml:space="preserve"> (how much gas). I trained and tuned the autoencoder, compared a variational autoencoder (VAE), and ran the key experiment of the project: separating “how much” from “the mix”.</w:t>
      </w:r>
    </w:p>
    <w:p w14:paraId="64C94523" w14:textId="77777777" w:rsidR="00F26889" w:rsidRDefault="00000000" w:rsidP="00CB1DFC">
      <w:pPr>
        <w:pStyle w:val="CaptionedFigure"/>
        <w:jc w:val="center"/>
      </w:pPr>
      <w:r>
        <w:rPr>
          <w:noProof/>
        </w:rPr>
        <w:drawing>
          <wp:inline distT="0" distB="0" distL="0" distR="0" wp14:anchorId="64C9453A" wp14:editId="64C9453B">
            <wp:extent cx="5334000" cy="1649285"/>
            <wp:effectExtent l="0" t="0" r="0" b="0"/>
            <wp:docPr id="1" name="Picture" descr="Week 2 idea: split each sample into magnitude (severity) and composition (fault type), and encode only the composi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ynth_w2_concep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94524" w14:textId="77777777" w:rsidR="00F26889" w:rsidRDefault="00000000">
      <w:pPr>
        <w:pStyle w:val="ImageCaption"/>
      </w:pPr>
      <w:r>
        <w:t>Week 2 idea: split each sample into magnitude (severity) and composition (fault type), and encode only the composition.</w:t>
      </w:r>
    </w:p>
    <w:p w14:paraId="64C94525" w14:textId="77777777" w:rsidR="00F26889" w:rsidRDefault="00000000">
      <w:pPr>
        <w:pStyle w:val="Heading2"/>
      </w:pPr>
      <w:bookmarkStart w:id="1" w:name="the-problem-from-week-1"/>
      <w:r>
        <w:t>2. The problem from Week 1</w:t>
      </w:r>
      <w:bookmarkEnd w:id="1"/>
    </w:p>
    <w:p w14:paraId="64C94526" w14:textId="77777777" w:rsidR="00F26889" w:rsidRDefault="00000000">
      <w:pPr>
        <w:pStyle w:val="FirstParagraph"/>
      </w:pPr>
      <w:r>
        <w:t xml:space="preserve">The plain autoencoder mostly learned </w:t>
      </w:r>
      <w:r>
        <w:rPr>
          <w:b/>
        </w:rPr>
        <w:t>severity</w:t>
      </w:r>
      <w:r>
        <w:t xml:space="preserve"> — the overall amount of gas — not the fault type. The plot below shows it: the representation predicts total gas almost perfectly (R2 = 0.61). That is useful for “how serious”, but it cannot tell partial discharge from thermal from arcing. The fix (already in the plan): fault type lives in the </w:t>
      </w:r>
      <w:r>
        <w:rPr>
          <w:b/>
        </w:rPr>
        <w:t>proportions</w:t>
      </w:r>
      <w:r>
        <w:t xml:space="preserve"> of the gases — exactly what the Duval rule uses — so the model should look at proportions, not raw amounts.</w:t>
      </w:r>
    </w:p>
    <w:p w14:paraId="64C94527" w14:textId="77777777" w:rsidR="00F26889" w:rsidRDefault="00000000" w:rsidP="00CB1DFC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4C9453C" wp14:editId="64C9453D">
            <wp:extent cx="4495545" cy="3578086"/>
            <wp:effectExtent l="0" t="0" r="0" b="0"/>
            <wp:docPr id="175138283" name="Picture" descr="The plain representation encodes severity: it predicts total gas almost perfectly (R2 = 0.61), so it captures “how much”, not “which fault”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atent_vs_severit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45" cy="35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94528" w14:textId="77777777" w:rsidR="00F26889" w:rsidRDefault="00000000">
      <w:pPr>
        <w:pStyle w:val="ImageCaption"/>
      </w:pPr>
      <w:r>
        <w:t>The plain representation encodes severity: it predicts total gas almost perfectly (R2 = 0.61), so it captures “how much”, not “which fault”.</w:t>
      </w:r>
    </w:p>
    <w:p w14:paraId="64C94529" w14:textId="77777777" w:rsidR="00F26889" w:rsidRDefault="00000000">
      <w:pPr>
        <w:pStyle w:val="Heading2"/>
      </w:pPr>
      <w:bookmarkStart w:id="2" w:name="what-i-did-week-2"/>
      <w:r>
        <w:t>3. What I did (Week 2)</w:t>
      </w:r>
      <w:bookmarkEnd w:id="2"/>
    </w:p>
    <w:p w14:paraId="64C9452A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Trained and tuned the autoencoder</w:t>
      </w:r>
      <w:r>
        <w:t xml:space="preserve"> (different sizes and numbers of summary dimensions); checked training curves and reconstruction quality.</w:t>
      </w:r>
    </w:p>
    <w:p w14:paraId="64C9452B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Implemented and compared a VAE</w:t>
      </w:r>
      <w:r>
        <w:t xml:space="preserve"> (a probabilistic autoencoder). The simpler compositional autoencoder gave the clearer, more interpretable separation, so I selected it.</w:t>
      </w:r>
    </w:p>
    <w:p w14:paraId="64C9452C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Key experiment — separate magnitude from composition.</w:t>
      </w:r>
      <w:r>
        <w:t xml:space="preserve"> I described each sample by its gas </w:t>
      </w:r>
      <w:r>
        <w:rPr>
          <w:b/>
        </w:rPr>
        <w:t>proportions</w:t>
      </w:r>
      <w:r>
        <w:t xml:space="preserve"> (a standard transform, CLR) and encoded only those — removing “how much” and keeping “which mix”.</w:t>
      </w:r>
    </w:p>
    <w:p w14:paraId="64C9452D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Result:</w:t>
      </w:r>
      <w:r>
        <w:t xml:space="preserve"> agreement with the Duval fault types </w:t>
      </w:r>
      <w:r>
        <w:rPr>
          <w:b/>
        </w:rPr>
        <w:t>more than tripled</w:t>
      </w:r>
      <w:r>
        <w:t xml:space="preserve"> — from </w:t>
      </w:r>
      <w:r>
        <w:rPr>
          <w:b/>
        </w:rPr>
        <w:t>ARI 0.14</w:t>
      </w:r>
      <w:r>
        <w:t xml:space="preserve"> (raw amounts) to </w:t>
      </w:r>
      <w:r>
        <w:rPr>
          <w:b/>
        </w:rPr>
        <w:t>0.47</w:t>
      </w:r>
      <w:r>
        <w:t xml:space="preserve"> (proportions), averaged over 5 runs — and severity stopped leaking into the representation (R2 0.63 -&gt; 0.27).</w:t>
      </w:r>
    </w:p>
    <w:p w14:paraId="64C9452E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Honest check (negative result):</w:t>
      </w:r>
      <w:r>
        <w:t xml:space="preserve"> I also tried an “adversarial” trick to force type and severity apart. It </w:t>
      </w:r>
      <w:r>
        <w:rPr>
          <w:b/>
        </w:rPr>
        <w:t>did not help</w:t>
      </w:r>
      <w:r>
        <w:t>, so the gain comes from the proportions idea itself, not the trick — reported as such.</w:t>
      </w:r>
    </w:p>
    <w:p w14:paraId="64C9452F" w14:textId="77777777" w:rsidR="00F26889" w:rsidRDefault="00000000">
      <w:pPr>
        <w:pStyle w:val="Compact"/>
        <w:numPr>
          <w:ilvl w:val="0"/>
          <w:numId w:val="2"/>
        </w:numPr>
      </w:pPr>
      <w:r>
        <w:rPr>
          <w:b/>
        </w:rPr>
        <w:t>Froze the chosen representation</w:t>
      </w:r>
      <w:r>
        <w:t xml:space="preserve"> and drafted the method section.</w:t>
      </w:r>
    </w:p>
    <w:p w14:paraId="64C94530" w14:textId="77777777" w:rsidR="00F2688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C9453E" wp14:editId="64C9453F">
            <wp:extent cx="5334000" cy="1908495"/>
            <wp:effectExtent l="0" t="0" r="0" b="0"/>
            <wp:docPr id="1764152689" name="Picture" descr="Agreement with Duval fault type (left, higher is better) more than triples with the compositional representation; severity leakage (right, lower is better) drops sharply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dcae_abl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94531" w14:textId="77777777" w:rsidR="00F26889" w:rsidRDefault="00000000">
      <w:pPr>
        <w:pStyle w:val="ImageCaption"/>
      </w:pPr>
      <w:r>
        <w:t>Agreement with Duval fault type (left, higher is better) more than triples with the compositional representation; severity leakage (right, lower is better) drops sharply.</w:t>
      </w:r>
    </w:p>
    <w:p w14:paraId="64C94532" w14:textId="77777777" w:rsidR="00F26889" w:rsidRDefault="00000000">
      <w:pPr>
        <w:pStyle w:val="BodyText"/>
      </w:pPr>
      <w:r>
        <w:t xml:space="preserve">The chosen representation now shows real </w:t>
      </w:r>
      <w:r>
        <w:rPr>
          <w:b/>
        </w:rPr>
        <w:t>fault-type structure</w:t>
      </w:r>
      <w:r>
        <w:t xml:space="preserve"> — discharge (blue), thermal (green/red) and partial-discharge (yellow) samples fall in different regions:</w:t>
      </w:r>
    </w:p>
    <w:p w14:paraId="64C94533" w14:textId="77777777" w:rsidR="00F26889" w:rsidRDefault="00000000">
      <w:pPr>
        <w:pStyle w:val="CaptionedFigure"/>
      </w:pPr>
      <w:r>
        <w:rPr>
          <w:noProof/>
        </w:rPr>
        <w:drawing>
          <wp:inline distT="0" distB="0" distL="0" distR="0" wp14:anchorId="64C94540" wp14:editId="64C94541">
            <wp:extent cx="5334000" cy="4429932"/>
            <wp:effectExtent l="0" t="0" r="0" b="0"/>
            <wp:docPr id="120710429" name="Picture" descr="The compositional representation, coloured by Duval type: discharge, thermal and partial-discharge samples separate into different region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dcae_diagnostic_ma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94534" w14:textId="77777777" w:rsidR="00F26889" w:rsidRDefault="00000000">
      <w:pPr>
        <w:pStyle w:val="ImageCaption"/>
      </w:pPr>
      <w:r>
        <w:t>The compositional representation, coloured by Duval type: discharge, thermal and partial-discharge samples separate into different regions.</w:t>
      </w:r>
    </w:p>
    <w:p w14:paraId="64C94535" w14:textId="77777777" w:rsidR="00F26889" w:rsidRDefault="00000000">
      <w:pPr>
        <w:pStyle w:val="BlockText"/>
      </w:pPr>
      <w:r>
        <w:rPr>
          <w:b/>
        </w:rPr>
        <w:lastRenderedPageBreak/>
        <w:t>On credibility:</w:t>
      </w:r>
      <w:r>
        <w:t xml:space="preserve"> ARI measures </w:t>
      </w:r>
      <w:r>
        <w:rPr>
          <w:b/>
        </w:rPr>
        <w:t>agreement with an expert rule (Duval)</w:t>
      </w:r>
      <w:r>
        <w:t xml:space="preserve">, not accuracy against a true label — we have none. The honest claim is the </w:t>
      </w:r>
      <w:r>
        <w:rPr>
          <w:b/>
        </w:rPr>
        <w:t>large relative gain (x3.4)</w:t>
      </w:r>
      <w:r>
        <w:t xml:space="preserve"> and the removal of severity leakage, not a perfect score. Rare fault classes (D1/D2) stay hard, as expected.</w:t>
      </w:r>
    </w:p>
    <w:p w14:paraId="64C94536" w14:textId="77777777" w:rsidR="00F26889" w:rsidRDefault="00000000">
      <w:pPr>
        <w:pStyle w:val="Heading2"/>
      </w:pPr>
      <w:bookmarkStart w:id="3" w:name="what-i-plan-to-do-week-3"/>
      <w:r>
        <w:t>4. What I plan to do (Week 3)</w:t>
      </w:r>
      <w:bookmarkEnd w:id="3"/>
    </w:p>
    <w:p w14:paraId="64C94537" w14:textId="77777777" w:rsidR="00F26889" w:rsidRDefault="00000000">
      <w:pPr>
        <w:pStyle w:val="FirstParagraph"/>
      </w:pPr>
      <w:r>
        <w:t xml:space="preserve">Following the plan: take this representation into </w:t>
      </w:r>
      <w:r>
        <w:rPr>
          <w:b/>
        </w:rPr>
        <w:t>clustering</w:t>
      </w:r>
      <w:r>
        <w:t xml:space="preserve"> (group the fleet into fault families) and </w:t>
      </w:r>
      <w:r>
        <w:rPr>
          <w:b/>
        </w:rPr>
        <w:t>anomaly detection</w:t>
      </w:r>
      <w:r>
        <w:t xml:space="preserve"> (flag unusual samples), and </w:t>
      </w:r>
      <w:r>
        <w:rPr>
          <w:b/>
        </w:rPr>
        <w:t>evaluate both quantitatively</w:t>
      </w:r>
      <w:r>
        <w:t xml:space="preserve"> — internal cluster quality, agreement with Duval, and checking flagged anomalies against the real field-event notes.</w:t>
      </w:r>
    </w:p>
    <w:p w14:paraId="4863B644" w14:textId="77777777" w:rsidR="001C6925" w:rsidRPr="001C6925" w:rsidRDefault="001C6925" w:rsidP="001C6925">
      <w:pPr>
        <w:pStyle w:val="FirstParagraph"/>
        <w:rPr>
          <w:lang w:val="en"/>
        </w:rPr>
      </w:pPr>
      <w:r w:rsidRPr="001C6925">
        <w:rPr>
          <w:lang w:val="en"/>
        </w:rPr>
        <w:t xml:space="preserve">The initial plan focused on temporal representation learning, but upon closer inspection, I discovered that the temporal signal—or apparent risk—is </w:t>
      </w:r>
      <w:proofErr w:type="gramStart"/>
      <w:r w:rsidRPr="001C6925">
        <w:rPr>
          <w:lang w:val="en"/>
        </w:rPr>
        <w:t>actually a</w:t>
      </w:r>
      <w:proofErr w:type="gramEnd"/>
      <w:r w:rsidRPr="001C6925">
        <w:rPr>
          <w:lang w:val="en"/>
        </w:rPr>
        <w:t xml:space="preserve"> sampling artifact: operators resample the units they monitor, so a simple sample count predicts 'faults' better than gas chemistry does. Pursuing RUL analysis would have yielded confounded results rather than physical insights. So, I pivoted to two solid, honest, label-free contributions: (1) SD-CAE, which cleanly separates type and severity and recovers the Duval structure without labels; and (2) a methodological caveat—DGA risk labels are biased by monitoring practices, a point that seemingly hasn't been raised before in the context of DGA."</w:t>
      </w:r>
    </w:p>
    <w:p w14:paraId="64C94539" w14:textId="2D075CC8" w:rsidR="00F26889" w:rsidRPr="001C6925" w:rsidRDefault="00F26889">
      <w:pPr>
        <w:pStyle w:val="FirstParagraph"/>
        <w:rPr>
          <w:lang w:val="en-GB"/>
        </w:rPr>
      </w:pPr>
    </w:p>
    <w:sectPr w:rsidR="00F26889" w:rsidRPr="001C692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DCE7" w14:textId="77777777" w:rsidR="00C73DF3" w:rsidRDefault="00C73DF3">
      <w:pPr>
        <w:spacing w:after="0"/>
      </w:pPr>
      <w:r>
        <w:separator/>
      </w:r>
    </w:p>
  </w:endnote>
  <w:endnote w:type="continuationSeparator" w:id="0">
    <w:p w14:paraId="523DA53C" w14:textId="77777777" w:rsidR="00C73DF3" w:rsidRDefault="00C73D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9606" w14:textId="77777777" w:rsidR="003E6941" w:rsidRDefault="003E69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1022" w14:textId="77777777" w:rsidR="003E6941" w:rsidRDefault="003E69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525A" w14:textId="77777777" w:rsidR="003E6941" w:rsidRDefault="003E6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DD6B" w14:textId="77777777" w:rsidR="00C73DF3" w:rsidRDefault="00C73DF3">
      <w:r>
        <w:separator/>
      </w:r>
    </w:p>
  </w:footnote>
  <w:footnote w:type="continuationSeparator" w:id="0">
    <w:p w14:paraId="05E2D3E0" w14:textId="77777777" w:rsidR="00C73DF3" w:rsidRDefault="00C73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38CD" w14:textId="77777777" w:rsidR="003E6941" w:rsidRDefault="003E69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F941" w14:textId="77777777" w:rsidR="003E6941" w:rsidRDefault="003E69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0E2" w14:textId="77777777" w:rsidR="003E6941" w:rsidRDefault="003E69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B3A68A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D3E62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31358867">
    <w:abstractNumId w:val="1"/>
  </w:num>
  <w:num w:numId="2" w16cid:durableId="192213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1905"/>
    <w:rsid w:val="001C6925"/>
    <w:rsid w:val="003E6941"/>
    <w:rsid w:val="004E29B3"/>
    <w:rsid w:val="00590D07"/>
    <w:rsid w:val="00784D58"/>
    <w:rsid w:val="008D6863"/>
    <w:rsid w:val="00B86B75"/>
    <w:rsid w:val="00BC48D5"/>
    <w:rsid w:val="00C36279"/>
    <w:rsid w:val="00C73DF3"/>
    <w:rsid w:val="00CB1DFC"/>
    <w:rsid w:val="00DD4F67"/>
    <w:rsid w:val="00E315A3"/>
    <w:rsid w:val="00F26889"/>
    <w:rsid w:val="00FF0B7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451E"/>
  <w15:docId w15:val="{3AD6D83C-EB54-415C-ACC9-38E2EFB5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E694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E6941"/>
  </w:style>
  <w:style w:type="paragraph" w:styleId="Footer">
    <w:name w:val="footer"/>
    <w:basedOn w:val="Normal"/>
    <w:link w:val="FooterChar"/>
    <w:rsid w:val="003E694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E6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Synthesis — Representation Learning (teaching the model what to look at)</dc:title>
  <dc:creator>Thibaut Faucheux (CESI) · Host lab: KMUTNB, Bangkok · Supervisor: Dr. Rattanakorn Phadungthin</dc:creator>
  <cp:keywords/>
  <cp:lastModifiedBy>Thibaut Faucheux</cp:lastModifiedBy>
  <cp:revision>6</cp:revision>
  <dcterms:created xsi:type="dcterms:W3CDTF">2026-06-30T04:39:00Z</dcterms:created>
  <dcterms:modified xsi:type="dcterms:W3CDTF">2026-07-02T04:19:00Z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June 2026</vt:lpwstr>
  </property>
</Properties>
</file>