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0.png" ContentType="image/png"/>
  <Override PartName="/word/media/rId26.png" ContentType="image/png"/>
  <Override PartName="/word/media/rId27.png" ContentType="image/png"/>
  <Override PartName="/word/media/rId25.png" ContentType="image/png"/>
  <Override PartName="/word/media/rId23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Label-Free</w:t>
      </w:r>
      <w:r>
        <w:t xml:space="preserve"> </w:t>
      </w:r>
      <w:r>
        <w:t xml:space="preserve">Health</w:t>
      </w:r>
      <w:r>
        <w:t xml:space="preserve"> </w:t>
      </w:r>
      <w:r>
        <w:t xml:space="preserve">Ranking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 </w:t>
      </w:r>
      <w:r>
        <w:t xml:space="preserve">Transformers</w:t>
      </w:r>
      <w:r>
        <w:t xml:space="preserve"> </w:t>
      </w:r>
      <w:r>
        <w:t xml:space="preserve">from</w:t>
      </w:r>
      <w:r>
        <w:t xml:space="preserve"> </w:t>
      </w:r>
      <w:r>
        <w:t xml:space="preserve">Dissolved</w:t>
      </w:r>
      <w:r>
        <w:t xml:space="preserve"> </w:t>
      </w:r>
      <w:r>
        <w:t xml:space="preserve">Gas</w:t>
      </w:r>
      <w:r>
        <w:t xml:space="preserve"> </w:t>
      </w:r>
      <w:r>
        <w:t xml:space="preserve">Analysis</w:t>
      </w:r>
    </w:p>
    <w:p>
      <w:pPr>
        <w:pStyle w:val="Author"/>
      </w:pPr>
      <w:r>
        <w:t xml:space="preserve">Thibaut</w:t>
      </w:r>
      <w:r>
        <w:t xml:space="preserve"> </w:t>
      </w:r>
      <w:r>
        <w:t xml:space="preserve">Faucheux</w:t>
      </w:r>
      <w:r>
        <w:t xml:space="preserve"> </w:t>
      </w:r>
      <w:r>
        <w:t xml:space="preserve">(CESI,</w:t>
      </w:r>
      <w:r>
        <w:t xml:space="preserve"> </w:t>
      </w:r>
      <w:r>
        <w:t xml:space="preserve">FISA4</w:t>
      </w:r>
      <w:r>
        <w:t xml:space="preserve"> </w:t>
      </w:r>
      <w:r>
        <w:t xml:space="preserve">INFO)</w:t>
      </w:r>
      <w:r>
        <w:t xml:space="preserve"> </w:t>
      </w:r>
      <w:r>
        <w:t xml:space="preserve">·</w:t>
      </w:r>
      <w:r>
        <w:t xml:space="preserve"> </w:t>
      </w:r>
      <w:r>
        <w:t xml:space="preserve">Research</w:t>
      </w:r>
      <w:r>
        <w:t xml:space="preserve"> </w:t>
      </w:r>
      <w:r>
        <w:t xml:space="preserve">Initiation</w:t>
      </w:r>
      <w:r>
        <w:t xml:space="preserve"> </w:t>
      </w:r>
      <w:r>
        <w:t xml:space="preserve">at</w:t>
      </w:r>
      <w:r>
        <w:t xml:space="preserve"> </w:t>
      </w:r>
      <w:r>
        <w:t xml:space="preserve">KMUTNB,</w:t>
      </w:r>
      <w:r>
        <w:t xml:space="preserve"> </w:t>
      </w:r>
      <w:r>
        <w:t xml:space="preserve">Bangkok</w:t>
      </w:r>
      <w:r>
        <w:t xml:space="preserve"> </w:t>
      </w:r>
      <w:r>
        <w:t xml:space="preserve">·</w:t>
      </w:r>
      <w:r>
        <w:t xml:space="preserve"> </w:t>
      </w:r>
      <w:r>
        <w:t xml:space="preserve">Supervisor:</w:t>
      </w:r>
      <w:r>
        <w:t xml:space="preserve"> </w:t>
      </w:r>
      <w:r>
        <w:t xml:space="preserve">Dr. Rattanakorn</w:t>
      </w:r>
      <w:r>
        <w:t xml:space="preserve"> </w:t>
      </w:r>
      <w:r>
        <w:t xml:space="preserve">Phadungthin</w:t>
      </w:r>
    </w:p>
    <w:p>
      <w:pPr>
        <w:pStyle w:val="Date"/>
      </w:pPr>
      <w:r>
        <w:t xml:space="preserve">End-of-project</w:t>
      </w:r>
      <w:r>
        <w:t xml:space="preserve"> </w:t>
      </w:r>
      <w:r>
        <w:t xml:space="preserve">report</w:t>
      </w:r>
      <w:r>
        <w:t xml:space="preserve"> </w:t>
      </w:r>
      <w:r>
        <w:t xml:space="preserve">—</w:t>
      </w:r>
      <w:r>
        <w:t xml:space="preserve"> </w:t>
      </w:r>
      <w:r>
        <w:t xml:space="preserve">Weeks</w:t>
      </w:r>
      <w:r>
        <w:t xml:space="preserve"> </w:t>
      </w:r>
      <w:r>
        <w:t xml:space="preserve">1</w:t>
      </w:r>
      <w:r>
        <w:t xml:space="preserve"> </w:t>
      </w:r>
      <w:r>
        <w:t xml:space="preserve">to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17</w:t>
      </w:r>
      <w:r>
        <w:t xml:space="preserve"> </w:t>
      </w:r>
      <w:r>
        <w:t xml:space="preserve">July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/>
        </w:rPr>
        <w:t xml:space="preserve">Executive summary.</w:t>
      </w:r>
      <w:r>
        <w:t xml:space="preserve"> </w:t>
      </w:r>
      <w:r>
        <w:t xml:space="preserve">Power transformers fail expensively, and Dissolved Gas Analysis (DGA) is the</w:t>
      </w:r>
      <w:r>
        <w:t xml:space="preserve"> </w:t>
      </w:r>
      <w:r>
        <w:t xml:space="preserve">standard way to catch faults early. Conventional interpretation (Duval, IEC, Rogers) is rule-based,</w:t>
      </w:r>
      <w:r>
        <w:t xml:space="preserve"> </w:t>
      </w:r>
      <w:r>
        <w:t xml:space="preserve">needs an expert, and does not scale to a whole fleet without labels. This project developed a</w:t>
      </w:r>
      <w:r>
        <w:t xml:space="preserve"> </w:t>
      </w:r>
      <w:r>
        <w:rPr>
          <w:b/>
        </w:rPr>
        <w:t xml:space="preserve">label-free, self-supervised</w:t>
      </w:r>
      <w:r>
        <w:t xml:space="preserve"> </w:t>
      </w:r>
      <w:r>
        <w:t xml:space="preserve">framework that</w:t>
      </w:r>
      <w:r>
        <w:t xml:space="preserve"> </w:t>
      </w:r>
      <w:r>
        <w:rPr>
          <w:b/>
        </w:rPr>
        <w:t xml:space="preserve">ranks a fleet of transformers by incipient-fault</w:t>
      </w:r>
      <w:r>
        <w:rPr>
          <w:b/>
        </w:rPr>
        <w:t xml:space="preserve"> </w:t>
      </w:r>
      <w:r>
        <w:rPr>
          <w:b/>
        </w:rPr>
        <w:t xml:space="preserve">risk</w:t>
      </w:r>
      <w:r>
        <w:t xml:space="preserve"> </w:t>
      </w:r>
      <w:r>
        <w:t xml:space="preserve">from their DGA history, and explains each rank by separating fault</w:t>
      </w:r>
      <w:r>
        <w:t xml:space="preserve"> </w:t>
      </w:r>
      <w:r>
        <w:rPr>
          <w:i/>
        </w:rPr>
        <w:t xml:space="preserve">type</w:t>
      </w:r>
      <w:r>
        <w:t xml:space="preserve"> </w:t>
      </w:r>
      <w:r>
        <w:t xml:space="preserve">from</w:t>
      </w:r>
      <w:r>
        <w:t xml:space="preserve"> </w:t>
      </w:r>
      <w:r>
        <w:rPr>
          <w:i/>
        </w:rPr>
        <w:t xml:space="preserve">severity</w:t>
      </w:r>
      <w:r>
        <w:t xml:space="preserve">.</w:t>
      </w:r>
      <w:r>
        <w:t xml:space="preserve"> </w:t>
      </w:r>
      <w:r>
        <w:t xml:space="preserve">On a real longitudinal fleet (628 units, 4,563 samples, ~4.5 years), the label-free risk ranking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</w:rPr>
        <w:t xml:space="preserve">AUC 0.74</w:t>
      </w:r>
      <w:r>
        <w:t xml:space="preserve"> </w:t>
      </w:r>
      <w:r>
        <w:t xml:space="preserve">against recorded field events (vs 0.52 for a total-gas baseline), and the</w:t>
      </w:r>
      <w:r>
        <w:t xml:space="preserve"> </w:t>
      </w:r>
      <w:r>
        <w:t xml:space="preserve">compositional representation</w:t>
      </w:r>
      <w:r>
        <w:t xml:space="preserve"> </w:t>
      </w:r>
      <w:r>
        <w:rPr>
          <w:b/>
        </w:rPr>
        <w:t xml:space="preserve">triples</w:t>
      </w:r>
      <w:r>
        <w:t xml:space="preserve"> </w:t>
      </w:r>
      <w:r>
        <w:t xml:space="preserve">the agreement with expert fault types (ARI 0.14 to 0.47).</w:t>
      </w:r>
    </w:p>
    <w:p>
      <w:pPr>
        <w:pStyle w:val="Heading2"/>
      </w:pPr>
      <w:bookmarkStart w:id="20" w:name="context-and-motivation"/>
      <w:r>
        <w:t xml:space="preserve">1. Context and motivation</w:t>
      </w:r>
      <w:bookmarkEnd w:id="20"/>
    </w:p>
    <w:p>
      <w:pPr>
        <w:pStyle w:val="FirstParagraph"/>
      </w:pPr>
      <w:r>
        <w:t xml:space="preserve">Power transformers are among the most critical and expensive assets of an electrical grid; an</w:t>
      </w:r>
      <w:r>
        <w:t xml:space="preserve"> </w:t>
      </w:r>
      <w:r>
        <w:t xml:space="preserve">in-service failure means outages, safety risk and costly, slow replacement.</w:t>
      </w:r>
      <w:r>
        <w:t xml:space="preserve"> </w:t>
      </w:r>
      <w:r>
        <w:rPr>
          <w:b/>
        </w:rPr>
        <w:t xml:space="preserve">Dissolved Gas Analysis</w:t>
      </w:r>
      <w:r>
        <w:rPr>
          <w:b/>
        </w:rPr>
        <w:t xml:space="preserve"> </w:t>
      </w:r>
      <w:r>
        <w:rPr>
          <w:b/>
        </w:rPr>
        <w:t xml:space="preserve">(DGA)</w:t>
      </w:r>
      <w:r>
        <w:t xml:space="preserve"> </w:t>
      </w:r>
      <w:r>
        <w:t xml:space="preserve">detects incipient faults early: internal thermal or electrical stress decomposes the oil and</w:t>
      </w:r>
      <w:r>
        <w:t xml:space="preserve"> </w:t>
      </w:r>
      <w:r>
        <w:t xml:space="preserve">paper insulation and releases characteristic gases (hydrogen, methane, ethylene, acetylene, carbon</w:t>
      </w:r>
      <w:r>
        <w:t xml:space="preserve"> </w:t>
      </w:r>
      <w:r>
        <w:t xml:space="preserve">oxides) measured in ppm. Conventional interpretation methods — IEC 60599 ratios, Rogers ratios and</w:t>
      </w:r>
      <w:r>
        <w:t xml:space="preserve"> </w:t>
      </w:r>
      <w:r>
        <w:t xml:space="preserve">the Duval Triangle — are</w:t>
      </w:r>
      <w:r>
        <w:t xml:space="preserve"> </w:t>
      </w:r>
      <w:r>
        <w:rPr>
          <w:b/>
        </w:rPr>
        <w:t xml:space="preserve">rule-based</w:t>
      </w:r>
      <w:r>
        <w:t xml:space="preserve">, require</w:t>
      </w:r>
      <w:r>
        <w:t xml:space="preserve"> </w:t>
      </w:r>
      <w:r>
        <w:rPr>
          <w:b/>
        </w:rPr>
        <w:t xml:space="preserve">expert judgement</w:t>
      </w:r>
      <w:r>
        <w:t xml:space="preserve">, sometimes return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not determined</w:t>
      </w:r>
      <w:r>
        <w:rPr>
          <w:b/>
        </w:rPr>
        <w:t xml:space="preserve">”</w:t>
      </w:r>
      <w:r>
        <w:t xml:space="preserve">, and implicitly assume a per-sample fault</w:t>
      </w:r>
      <w:r>
        <w:t xml:space="preserve"> </w:t>
      </w:r>
      <w:r>
        <w:rPr>
          <w:i/>
        </w:rPr>
        <w:t xml:space="preserve">label</w:t>
      </w:r>
      <w:r>
        <w:t xml:space="preserve"> </w:t>
      </w:r>
      <w:r>
        <w:t xml:space="preserve">that utilities rarely have at</w:t>
      </w:r>
      <w:r>
        <w:t xml:space="preserve"> </w:t>
      </w:r>
      <w:r>
        <w:t xml:space="preserve">scale. In practice an operator must</w:t>
      </w:r>
      <w:r>
        <w:t xml:space="preserve"> </w:t>
      </w:r>
      <w:r>
        <w:rPr>
          <w:b/>
        </w:rPr>
        <w:t xml:space="preserve">prioritise maintenance across an entire fleet</w:t>
      </w:r>
      <w:r>
        <w:t xml:space="preserve"> </w:t>
      </w:r>
      <w:r>
        <w:t xml:space="preserve">— rank units by</w:t>
      </w:r>
      <w:r>
        <w:t xml:space="preserve"> </w:t>
      </w:r>
      <w:r>
        <w:t xml:space="preserve">risk —</w:t>
      </w:r>
      <w:r>
        <w:t xml:space="preserve"> </w:t>
      </w:r>
      <w:r>
        <w:rPr>
          <w:b/>
        </w:rPr>
        <w:t xml:space="preserve">without labels</w:t>
      </w:r>
      <w:r>
        <w:t xml:space="preserve">. That is the gap this project addresses.</w:t>
      </w:r>
    </w:p>
    <w:p>
      <w:pPr>
        <w:pStyle w:val="Heading2"/>
      </w:pPr>
      <w:bookmarkStart w:id="21" w:name="objective-research-question-and-dataset"/>
      <w:r>
        <w:t xml:space="preserve">2. Objective, research question and dataset</w:t>
      </w:r>
      <w:bookmarkEnd w:id="21"/>
    </w:p>
    <w:p>
      <w:pPr>
        <w:pStyle w:val="FirstParagraph"/>
      </w:pPr>
      <w:r>
        <w:rPr>
          <w:b/>
        </w:rPr>
        <w:t xml:space="preserve">Research question.</w:t>
      </w:r>
      <w:r>
        <w:t xml:space="preserve"> </w:t>
      </w:r>
      <w:r>
        <w:t xml:space="preserve">Can we rank transformers across a fleet by incipient-fault risk,</w:t>
      </w:r>
      <w:r>
        <w:t xml:space="preserve"> </w:t>
      </w:r>
      <w:r>
        <w:rPr>
          <w:i/>
        </w:rPr>
        <w:t xml:space="preserve">label-free</w:t>
      </w:r>
      <w:r>
        <w:t xml:space="preserve">,</w:t>
      </w:r>
      <w:r>
        <w:t xml:space="preserve"> </w:t>
      </w:r>
      <w:r>
        <w:t xml:space="preserve">by learning a self-supervised, temporal representation of each unit’s DGA history and scoring severity</w:t>
      </w:r>
      <w:r>
        <w:t xml:space="preserve"> </w:t>
      </w:r>
      <w:r>
        <w:t xml:space="preserve">and deviation (acetylene-aware) — and how does this compare with conventional DGA interpretation?</w:t>
      </w:r>
    </w:p>
    <w:p>
      <w:pPr>
        <w:pStyle w:val="BodyText"/>
      </w:pPr>
      <w:r>
        <w:rPr>
          <w:b/>
        </w:rPr>
        <w:t xml:space="preserve">Dataset.</w:t>
      </w:r>
      <w:r>
        <w:t xml:space="preserve"> </w:t>
      </w:r>
      <w:r>
        <w:t xml:space="preserve">628 transformers,</w:t>
      </w:r>
      <w:r>
        <w:t xml:space="preserve"> </w:t>
      </w:r>
      <w:r>
        <w:rPr>
          <w:b/>
        </w:rPr>
        <w:t xml:space="preserve">4,563 main-tank oil samples</w:t>
      </w:r>
      <w:r>
        <w:t xml:space="preserve">, 42 manufacturers, 115–525 kV, spanning</w:t>
      </w:r>
      <w:r>
        <w:t xml:space="preserve"> </w:t>
      </w:r>
      <w:r>
        <w:t xml:space="preserve">a median ~4.5 years at ~6-month sampling intervals (a genuinely</w:t>
      </w:r>
      <w:r>
        <w:t xml:space="preserve"> </w:t>
      </w:r>
      <w:r>
        <w:rPr>
          <w:b/>
        </w:rPr>
        <w:t xml:space="preserve">longitudinal</w:t>
      </w:r>
      <w:r>
        <w:t xml:space="preserve"> </w:t>
      </w:r>
      <w:r>
        <w:t xml:space="preserve">fleet).</w:t>
      </w:r>
      <w:r>
        <w:t xml:space="preserve"> </w:t>
      </w:r>
      <w:r>
        <w:rPr>
          <w:b/>
        </w:rPr>
        <w:t xml:space="preserve">391 samples</w:t>
      </w:r>
      <w:r>
        <w:rPr>
          <w:b/>
        </w:rPr>
        <w:t xml:space="preserve"> </w:t>
      </w:r>
      <w:r>
        <w:rPr>
          <w:b/>
        </w:rPr>
        <w:t xml:space="preserve">carry a real field-event note</w:t>
      </w:r>
      <w:r>
        <w:t xml:space="preserve"> </w:t>
      </w:r>
      <w:r>
        <w:t xml:space="preserve">(Buchholz trip, bushing failure, high power factor…), used as</w:t>
      </w:r>
      <w:r>
        <w:t xml:space="preserve"> </w:t>
      </w:r>
      <w:r>
        <w:rPr>
          <w:b/>
        </w:rPr>
        <w:t xml:space="preserve">weak validation labels</w:t>
      </w:r>
      <w:r>
        <w:t xml:space="preserve"> </w:t>
      </w:r>
      <w:r>
        <w:t xml:space="preserve">— sparse and imperfect, so results are read as indicative, not absolute.</w:t>
      </w:r>
    </w:p>
    <w:p>
      <w:pPr>
        <w:pStyle w:val="Heading2"/>
      </w:pPr>
      <w:bookmarkStart w:id="22" w:name="approach"/>
      <w:r>
        <w:t xml:space="preserve">3. Approach</w:t>
      </w:r>
      <w:bookmarkEnd w:id="22"/>
    </w:p>
    <w:p>
      <w:pPr>
        <w:pStyle w:val="FirstParagraph"/>
      </w:pPr>
      <w:r>
        <w:t xml:space="preserve">The pipeline turns each unit’s raw DGA history into a single risk rank, with no fault labels used at</w:t>
      </w:r>
      <w:r>
        <w:t xml:space="preserve"> </w:t>
      </w:r>
      <w:r>
        <w:t xml:space="preserve">any stage, and is benchmarked against the conventional methods.</w:t>
      </w:r>
    </w:p>
    <w:p>
      <w:pPr>
        <w:pStyle w:val="CaptionedFigure"/>
      </w:pPr>
      <w:r>
        <w:drawing>
          <wp:inline>
            <wp:extent cx="5334000" cy="1505300"/>
            <wp:effectExtent b="0" l="0" r="0" t="0"/>
            <wp:docPr descr="Pipeline: from each transformer’s DGA history to a risk-ranked fleet, with no fault labels." title="" id="1" name="Picture"/>
            <a:graphic>
              <a:graphicData uri="http://schemas.openxmlformats.org/drawingml/2006/picture">
                <pic:pic>
                  <pic:nvPicPr>
                    <pic:cNvPr descr="synth_pipel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Pipeline: from each transformer’s DGA history to a risk-ranked fleet, with no fault labels.</w:t>
      </w:r>
    </w:p>
    <w:p>
      <w:pPr>
        <w:pStyle w:val="Heading2"/>
      </w:pPr>
      <w:bookmarkStart w:id="24" w:name="week-by-week-progress"/>
      <w:r>
        <w:t xml:space="preserve">4. Week-by-week progress</w:t>
      </w:r>
      <w:bookmarkEnd w:id="24"/>
    </w:p>
    <w:tbl>
      <w:tblPr>
        <w:tblStyle w:val="Table"/>
        <w:tblW w:type="pct" w:w="4999.999999999999"/>
        <w:tblLook w:firstRow="1"/>
      </w:tblPr>
      <w:tblGrid>
        <w:gridCol w:w="1397"/>
        <w:gridCol w:w="1630"/>
        <w:gridCol w:w="1630"/>
        <w:gridCol w:w="326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Main outcome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15–19 Jun</w:t>
            </w:r>
          </w:p>
        </w:tc>
        <w:tc>
          <w:p>
            <w:pPr>
              <w:pStyle w:val="Compact"/>
              <w:jc w:val="left"/>
            </w:pPr>
            <w:r>
              <w:t xml:space="preserve">Foundations</w:t>
            </w:r>
          </w:p>
        </w:tc>
        <w:tc>
          <w:p>
            <w:pPr>
              <w:pStyle w:val="Compact"/>
              <w:jc w:val="left"/>
            </w:pPr>
            <w:r>
              <w:t xml:space="preserve">Clean data + EDA, conventional baselines, literature (16 refs + notes), problem statement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22–26 Jun</w:t>
            </w:r>
          </w:p>
        </w:tc>
        <w:tc>
          <w:p>
            <w:pPr>
              <w:pStyle w:val="Compact"/>
              <w:jc w:val="left"/>
            </w:pPr>
            <w:r>
              <w:t xml:space="preserve">Representation learning</w:t>
            </w:r>
          </w:p>
        </w:tc>
        <w:tc>
          <w:p>
            <w:pPr>
              <w:pStyle w:val="Compact"/>
              <w:jc w:val="left"/>
            </w:pPr>
            <w:r>
              <w:t xml:space="preserve">AE + VAE; compositional representation separating fault type from severity (ARI 0.14 to 0.47)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29 Jun–3 Jul</w:t>
            </w:r>
          </w:p>
        </w:tc>
        <w:tc>
          <w:p>
            <w:pPr>
              <w:pStyle w:val="Compact"/>
              <w:jc w:val="left"/>
            </w:pPr>
            <w:r>
              <w:t xml:space="preserve">Clustering + anomaly detection</w:t>
            </w:r>
          </w:p>
        </w:tc>
        <w:tc>
          <w:p>
            <w:pPr>
              <w:pStyle w:val="Compact"/>
              <w:jc w:val="left"/>
            </w:pPr>
            <w:r>
              <w:t xml:space="preserve">Fault-family clusters + anomaly scoring, validated against field-event 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6–10 Jul</w:t>
            </w:r>
          </w:p>
        </w:tc>
        <w:tc>
          <w:p>
            <w:pPr>
              <w:pStyle w:val="Compact"/>
              <w:jc w:val="left"/>
            </w:pPr>
            <w:r>
              <w:t xml:space="preserve">Health/risk index + evaluation</w:t>
            </w:r>
          </w:p>
        </w:tc>
        <w:tc>
          <w:p>
            <w:pPr>
              <w:pStyle w:val="Compact"/>
              <w:jc w:val="left"/>
            </w:pPr>
            <w:r>
              <w:t xml:space="preserve">Label-free fleet ranking, AUC 0.74; systematic comparison vs conventional methods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13–17 Jul</w:t>
            </w:r>
          </w:p>
        </w:tc>
        <w:tc>
          <w:p>
            <w:pPr>
              <w:pStyle w:val="Compact"/>
              <w:jc w:val="left"/>
            </w:pPr>
            <w:r>
              <w:t xml:space="preserve">Writing + dissemination</w:t>
            </w:r>
          </w:p>
        </w:tc>
        <w:tc>
          <w:p>
            <w:pPr>
              <w:pStyle w:val="Compact"/>
              <w:jc w:val="left"/>
            </w:pPr>
            <w:r>
              <w:t xml:space="preserve">IEEE paper draft, frozen figures/tables, reproducible repository, defense slides</w:t>
            </w:r>
          </w:p>
        </w:tc>
      </w:tr>
    </w:tbl>
    <w:p>
      <w:pPr>
        <w:pStyle w:val="BodyText"/>
      </w:pPr>
      <w:r>
        <w:rPr>
          <w:b/>
        </w:rPr>
        <w:t xml:space="preserve">Week 1 — Foundations.</w:t>
      </w:r>
      <w:r>
        <w:t xml:space="preserve"> </w:t>
      </w:r>
      <w:r>
        <w:t xml:space="preserve">Built and verified the full pipeline end-to-end on the real data: cleaning</w:t>
      </w:r>
      <w:r>
        <w:t xml:space="preserve"> </w:t>
      </w:r>
      <w:r>
        <w:t xml:space="preserve">(gas values stored as text, missing markers, field notes), exploratory analysis, and the conventional</w:t>
      </w:r>
      <w:r>
        <w:t xml:space="preserve"> </w:t>
      </w:r>
      <w:r>
        <w:t xml:space="preserve">baselines (Duval / IEC / Rogers) reproduced as the reference to compare against. The literature review</w:t>
      </w:r>
      <w:r>
        <w:t xml:space="preserve"> </w:t>
      </w:r>
      <w:r>
        <w:t xml:space="preserve">produced 16 references with per-paper reading notes. The fleet is dominated by partial-discharge and</w:t>
      </w:r>
      <w:r>
        <w:t xml:space="preserve"> </w:t>
      </w:r>
      <w:r>
        <w:t xml:space="preserve">thermal diagnoses, with a strong class imbalance to keep in mind for evaluation.</w:t>
      </w:r>
    </w:p>
    <w:p>
      <w:pPr>
        <w:pStyle w:val="CaptionedFigure"/>
      </w:pPr>
      <w:r>
        <w:drawing>
          <wp:inline>
            <wp:extent cx="5334000" cy="2463393"/>
            <wp:effectExtent b="0" l="0" r="0" t="0"/>
            <wp:docPr descr="Conventional Duval diagnosis across the fleet — the baseline to compare against, with clear class imbalance." title="" id="1" name="Picture"/>
            <a:graphic>
              <a:graphicData uri="http://schemas.openxmlformats.org/drawingml/2006/picture">
                <pic:pic>
                  <pic:nvPicPr>
                    <pic:cNvPr descr="synth_fault_m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3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Conventional Duval diagnosis across the fleet — the baseline to compare against, with clear class imbalance.</w:t>
      </w:r>
    </w:p>
    <w:p>
      <w:pPr>
        <w:pStyle w:val="BodyText"/>
      </w:pPr>
      <w:r>
        <w:rPr>
          <w:b/>
        </w:rPr>
        <w:t xml:space="preserve">Week 2 — Representation learning.</w:t>
      </w:r>
      <w:r>
        <w:t xml:space="preserve"> </w:t>
      </w:r>
      <w:r>
        <w:t xml:space="preserve">Trained and tuned an autoencoder and compared a variational</w:t>
      </w:r>
      <w:r>
        <w:t xml:space="preserve"> </w:t>
      </w:r>
      <w:r>
        <w:t xml:space="preserve">autoencoder. The key experiment separated</w:t>
      </w:r>
      <w:r>
        <w:t xml:space="preserve"> </w:t>
      </w:r>
      <w:r>
        <w:rPr>
          <w:b/>
        </w:rPr>
        <w:t xml:space="preserve">magnitude</w:t>
      </w:r>
      <w:r>
        <w:t xml:space="preserve"> </w:t>
      </w:r>
      <w:r>
        <w:t xml:space="preserve">(total gas = severity) from</w:t>
      </w:r>
      <w:r>
        <w:t xml:space="preserve"> </w:t>
      </w:r>
      <w:r>
        <w:rPr>
          <w:b/>
        </w:rPr>
        <w:t xml:space="preserve">composition</w:t>
      </w:r>
      <w:r>
        <w:t xml:space="preserve"> </w:t>
      </w:r>
      <w:r>
        <w:t xml:space="preserve">(gas proportions = fault type). Encoding only the composition (a CLR transform) raised agreement with</w:t>
      </w:r>
      <w:r>
        <w:t xml:space="preserve"> </w:t>
      </w:r>
      <w:r>
        <w:t xml:space="preserve">Duval fault types from</w:t>
      </w:r>
      <w:r>
        <w:t xml:space="preserve"> </w:t>
      </w:r>
      <w:r>
        <w:rPr>
          <w:b/>
        </w:rPr>
        <w:t xml:space="preserve">ARI 0.14 to 0.47</w:t>
      </w:r>
      <w:r>
        <w:t xml:space="preserve"> </w:t>
      </w:r>
      <w:r>
        <w:t xml:space="preserve">(about ×3.4, over 5 seeds) and removed severity leakage</w:t>
      </w:r>
      <w:r>
        <w:t xml:space="preserve"> </w:t>
      </w:r>
      <w:r>
        <w:t xml:space="preserve">(R² 0.63 to 0.27). An adversarial variant did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help — a negative result reported honestly.</w:t>
      </w:r>
    </w:p>
    <w:p>
      <w:pPr>
        <w:pStyle w:val="CaptionedFigure"/>
      </w:pPr>
      <w:r>
        <w:drawing>
          <wp:inline>
            <wp:extent cx="5334000" cy="1908495"/>
            <wp:effectExtent b="0" l="0" r="0" t="0"/>
            <wp:docPr descr="Left: agreement with Duval fault type jumps with the compositional representation. Right: the plain model mostly encodes severity." title="" id="1" name="Picture"/>
            <a:graphic>
              <a:graphicData uri="http://schemas.openxmlformats.org/drawingml/2006/picture">
                <pic:pic>
                  <pic:nvPicPr>
                    <pic:cNvPr descr="sdcae_ab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8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agreement with Duval fault type jumps with the compositional representation. Right: the plain model mostly encodes severity.</w:t>
      </w:r>
    </w:p>
    <w:p>
      <w:pPr>
        <w:pStyle w:val="BodyText"/>
      </w:pPr>
      <w:r>
        <w:t xml:space="preserve">The chosen representation shows real fault-type structure — discharge, thermal and partial-discharge</w:t>
      </w:r>
      <w:r>
        <w:t xml:space="preserve"> </w:t>
      </w:r>
      <w:r>
        <w:t xml:space="preserve">samples fall in different regions:</w:t>
      </w:r>
    </w:p>
    <w:p>
      <w:pPr>
        <w:pStyle w:val="CaptionedFigure"/>
      </w:pPr>
      <w:r>
        <w:drawing>
          <wp:inline>
            <wp:extent cx="5334000" cy="4429932"/>
            <wp:effectExtent b="0" l="0" r="0" t="0"/>
            <wp:docPr descr="The compositional representation, coloured by Duval type: fault families separate into different regions." title="" id="1" name="Picture"/>
            <a:graphic>
              <a:graphicData uri="http://schemas.openxmlformats.org/drawingml/2006/picture">
                <pic:pic>
                  <pic:nvPicPr>
                    <pic:cNvPr descr="sdcae_diagnostic_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9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compositional representation, coloured by Duval type: fault families separate into different regions.</w:t>
      </w:r>
    </w:p>
    <w:p>
      <w:pPr>
        <w:pStyle w:val="BodyText"/>
      </w:pPr>
      <w:r>
        <w:rPr>
          <w:b/>
        </w:rPr>
        <w:t xml:space="preserve">Week 3 — Clustering and anomaly detection.</w:t>
      </w:r>
      <w:r>
        <w:t xml:space="preserve"> </w:t>
      </w:r>
      <w:r>
        <w:t xml:space="preserve">Clustered the representation (KMeans / GMM / HDBSCAN,</w:t>
      </w:r>
      <w:r>
        <w:t xml:space="preserve"> </w:t>
      </w:r>
      <w:r>
        <w:t xml:space="preserve">model selection by silhouette) and interpreted each cluster physically against the Duval mix. Added</w:t>
      </w:r>
      <w:r>
        <w:t xml:space="preserve"> </w:t>
      </w:r>
      <w:r>
        <w:t xml:space="preserve">anomaly scoring by autoencoder reconstruction error and Isolation Forest, and validated flagged</w:t>
      </w:r>
      <w:r>
        <w:t xml:space="preserve"> </w:t>
      </w:r>
      <w:r>
        <w:t xml:space="preserve">anomalies against the field-event notes (precision/recall reported as indicative given weak labels).</w:t>
      </w:r>
    </w:p>
    <w:p>
      <w:pPr>
        <w:pStyle w:val="BodyText"/>
      </w:pPr>
      <w:r>
        <w:rPr>
          <w:b/>
        </w:rPr>
        <w:t xml:space="preserve">Week 4 — Health/risk index and evaluation.</w:t>
      </w:r>
      <w:r>
        <w:t xml:space="preserve"> </w:t>
      </w:r>
      <w:r>
        <w:t xml:space="preserve">Combined severity, an</w:t>
      </w:r>
      <w:r>
        <w:t xml:space="preserve"> </w:t>
      </w:r>
      <w:r>
        <w:rPr>
          <w:b/>
        </w:rPr>
        <w:t xml:space="preserve">acetylene weighting</w:t>
      </w:r>
      <w:r>
        <w:t xml:space="preserve"> </w:t>
      </w:r>
      <w:r>
        <w:t xml:space="preserve">(acetylene = arcing = the most dangerous fault), a</w:t>
      </w:r>
      <w:r>
        <w:t xml:space="preserve"> </w:t>
      </w:r>
      <w:r>
        <w:rPr>
          <w:b/>
        </w:rPr>
        <w:t xml:space="preserve">temporal</w:t>
      </w:r>
      <w:r>
        <w:t xml:space="preserve"> </w:t>
      </w:r>
      <w:r>
        <w:t xml:space="preserve">gas-growth-rate feature, and the</w:t>
      </w:r>
      <w:r>
        <w:t xml:space="preserve"> </w:t>
      </w:r>
      <w:r>
        <w:t xml:space="preserve">anomaly score into a single</w:t>
      </w:r>
      <w:r>
        <w:t xml:space="preserve"> </w:t>
      </w:r>
      <w:r>
        <w:rPr>
          <w:b/>
        </w:rPr>
        <w:t xml:space="preserve">label-free Health/Risk Index</w:t>
      </w:r>
      <w:r>
        <w:t xml:space="preserve">, then ranked the fleet. Each component</w:t>
      </w:r>
      <w:r>
        <w:t xml:space="preserve"> </w:t>
      </w:r>
      <w:r>
        <w:t xml:space="preserve">adds measurable value, and the full index reaches</w:t>
      </w:r>
      <w:r>
        <w:t xml:space="preserve"> </w:t>
      </w:r>
      <w:r>
        <w:rPr>
          <w:b/>
        </w:rPr>
        <w:t xml:space="preserve">AUC 0.74</w:t>
      </w:r>
      <w:r>
        <w:t xml:space="preserve"> </w:t>
      </w:r>
      <w:r>
        <w:t xml:space="preserve">against field events, far above a</w:t>
      </w:r>
      <w:r>
        <w:t xml:space="preserve"> </w:t>
      </w:r>
      <w:r>
        <w:t xml:space="preserve">total-gas baseline (0.52).</w:t>
      </w:r>
    </w:p>
    <w:p>
      <w:pPr>
        <w:pStyle w:val="CaptionedFigure"/>
      </w:pPr>
      <w:r>
        <w:drawing>
          <wp:inline>
            <wp:extent cx="5334000" cy="2751776"/>
            <wp:effectExtent b="0" l="0" r="0" t="0"/>
            <wp:docPr descr="Each component of the risk index adds value: severity 0.64, then +acetylene 0.71, +temporal 0.73, +anomaly 0.74 (vs 0.52 for a total-gas baseline)." title="" id="1" name="Picture"/>
            <a:graphic>
              <a:graphicData uri="http://schemas.openxmlformats.org/drawingml/2006/picture">
                <pic:pic>
                  <pic:nvPicPr>
                    <pic:cNvPr descr="health_component_ab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Each component of the risk index adds value: severity 0.64, then +acetylene 0.71, +temporal 0.73, +anomaly 0.74 (vs 0.52 for a total-gas baseline).</w:t>
      </w:r>
    </w:p>
    <w:p>
      <w:pPr>
        <w:pStyle w:val="BodyText"/>
      </w:pPr>
      <w:r>
        <w:rPr>
          <w:b/>
        </w:rPr>
        <w:t xml:space="preserve">Week 5 — Writing and dissemination.</w:t>
      </w:r>
      <w:r>
        <w:t xml:space="preserve"> </w:t>
      </w:r>
      <w:r>
        <w:t xml:space="preserve">Drafted the IEEE paper (all sections), froze the figures and</w:t>
      </w:r>
      <w:r>
        <w:t xml:space="preserve"> </w:t>
      </w:r>
      <w:r>
        <w:t xml:space="preserve">tables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finalised the reproducible repository, and prepared the defense slides.</w:t>
      </w:r>
    </w:p>
    <w:p>
      <w:pPr>
        <w:pStyle w:val="Heading2"/>
      </w:pPr>
      <w:bookmarkStart w:id="29" w:name="key-results"/>
      <w:r>
        <w:t xml:space="preserve">5. Key results</w:t>
      </w:r>
      <w:bookmarkEnd w:id="29"/>
    </w:p>
    <w:p>
      <w:pPr>
        <w:pStyle w:val="FirstParagraph"/>
      </w:pPr>
      <w:r>
        <w:t xml:space="preserve">The ranking is</w:t>
      </w:r>
      <w:r>
        <w:t xml:space="preserve"> </w:t>
      </w:r>
      <w:r>
        <w:rPr>
          <w:b/>
        </w:rPr>
        <w:t xml:space="preserve">meaningful</w:t>
      </w:r>
      <w:r>
        <w:t xml:space="preserve">: the 10% riskiest units carry far more real field faults (~30%) than</w:t>
      </w:r>
      <w:r>
        <w:t xml:space="preserve"> </w:t>
      </w:r>
      <w:r>
        <w:t xml:space="preserve">the fleet average (~11%) and than the safest units (~2–3%), with a monotonic trend across deciles.</w:t>
      </w:r>
    </w:p>
    <w:p>
      <w:pPr>
        <w:pStyle w:val="CaptionedFigure"/>
      </w:pPr>
      <w:r>
        <w:drawing>
          <wp:inline>
            <wp:extent cx="5334000" cy="2983423"/>
            <wp:effectExtent b="0" l="0" r="0" t="0"/>
            <wp:docPr descr="Riskiest units (left, D1) carry many more real field faults than safe units (right, D10) — the ranking is meaningful." title="" id="1" name="Picture"/>
            <a:graphic>
              <a:graphicData uri="http://schemas.openxmlformats.org/drawingml/2006/picture">
                <pic:pic>
                  <pic:nvPicPr>
                    <pic:cNvPr descr="health_decile_note_rat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3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Riskiest units (left, D1) carry many more real field faults than safe units (right, D10) — the ranking is meaningful.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Representation:</w:t>
      </w:r>
      <w:r>
        <w:t xml:space="preserve"> </w:t>
      </w:r>
      <w:r>
        <w:t xml:space="preserve">fault-type agreement tripled (ARI 0.14 to 0.47); severity leakage removed.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Risk ranking:</w:t>
      </w:r>
      <w:r>
        <w:t xml:space="preserve"> </w:t>
      </w:r>
      <w:r>
        <w:t xml:space="preserve">AUC 0.74 vs 0.52 baseline; monotonic risk deciles; top-decile lift up to ×2.7.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Component value:</w:t>
      </w:r>
      <w:r>
        <w:t xml:space="preserve"> </w:t>
      </w:r>
      <w:r>
        <w:t xml:space="preserve">severity 0.64 to +acetylene 0.71 to +temporal 0.73 to +anomaly 0.74.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Vs conventional:</w:t>
      </w:r>
      <w:r>
        <w:t xml:space="preserve"> </w:t>
      </w:r>
      <w:r>
        <w:t xml:space="preserve">the label-free ranking recovers the units the conventional severity ordering</w:t>
      </w:r>
      <w:r>
        <w:t xml:space="preserve"> </w:t>
      </w:r>
      <w:r>
        <w:t xml:space="preserve">flags, and surfaces some the rules miss — while needing no labels and no expert thresholds.</w:t>
      </w:r>
    </w:p>
    <w:p>
      <w:pPr>
        <w:pStyle w:val="Heading2"/>
      </w:pPr>
      <w:bookmarkStart w:id="31" w:name="conclusion"/>
      <w:r>
        <w:t xml:space="preserve">6. Conclusion</w:t>
      </w:r>
      <w:bookmarkEnd w:id="31"/>
    </w:p>
    <w:p>
      <w:pPr>
        <w:pStyle w:val="FirstParagraph"/>
      </w:pPr>
      <w:r>
        <w:t xml:space="preserve">The project delivered a</w:t>
      </w:r>
      <w:r>
        <w:t xml:space="preserve"> </w:t>
      </w:r>
      <w:r>
        <w:rPr>
          <w:b/>
        </w:rPr>
        <w:t xml:space="preserve">label-free, self-supervised framework</w:t>
      </w:r>
      <w:r>
        <w:t xml:space="preserve"> </w:t>
      </w:r>
      <w:r>
        <w:t xml:space="preserve">that ranks a real fleet of</w:t>
      </w:r>
      <w:r>
        <w:t xml:space="preserve"> </w:t>
      </w:r>
      <w:r>
        <w:t xml:space="preserve">transformers by incipient-fault risk, and explains each rank by separating fault</w:t>
      </w:r>
      <w:r>
        <w:t xml:space="preserve"> </w:t>
      </w:r>
      <w:r>
        <w:rPr>
          <w:i/>
        </w:rPr>
        <w:t xml:space="preserve">type</w:t>
      </w:r>
      <w:r>
        <w:t xml:space="preserve"> </w:t>
      </w:r>
      <w:r>
        <w:t xml:space="preserve">(a</w:t>
      </w:r>
      <w:r>
        <w:t xml:space="preserve"> </w:t>
      </w:r>
      <w:r>
        <w:t xml:space="preserve">compositional representation) from</w:t>
      </w:r>
      <w:r>
        <w:t xml:space="preserve"> </w:t>
      </w:r>
      <w:r>
        <w:rPr>
          <w:i/>
        </w:rPr>
        <w:t xml:space="preserve">severity</w:t>
      </w:r>
      <w:r>
        <w:t xml:space="preserve"> </w:t>
      </w:r>
      <w:r>
        <w:t xml:space="preserve">(an acetylene-aware risk score). Three contributions</w:t>
      </w:r>
      <w:r>
        <w:t xml:space="preserve"> </w:t>
      </w:r>
      <w:r>
        <w:t xml:space="preserve">stand out: (1) the label-free fleet health-ranking pipeline, validated on a longitudinal fleet;</w:t>
      </w:r>
      <w:r>
        <w:t xml:space="preserve"> </w:t>
      </w:r>
      <w:r>
        <w:t xml:space="preserve">(2) a compositional representation that recovers fault type and provides the interpretable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behind a rank; (3) a systematic comparison with the conventional IEC / Duval / Rogers methods.</w:t>
      </w:r>
      <w:r>
        <w:t xml:space="preserve"> </w:t>
      </w:r>
      <w:r>
        <w:t xml:space="preserve">Because no ground-truth health label exists, the ranking is validated</w:t>
      </w:r>
      <w:r>
        <w:t xml:space="preserve"> </w:t>
      </w:r>
      <w:r>
        <w:rPr>
          <w:b/>
        </w:rPr>
        <w:t xml:space="preserve">indirectly</w:t>
      </w:r>
      <w:r>
        <w:t xml:space="preserve"> </w:t>
      </w:r>
      <w:r>
        <w:t xml:space="preserve">(field-event</w:t>
      </w:r>
      <w:r>
        <w:t xml:space="preserve"> </w:t>
      </w:r>
      <w:r>
        <w:t xml:space="preserve">notes + agreement with C57.104 severity), and the framework is positioned as</w:t>
      </w:r>
      <w:r>
        <w:t xml:space="preserve"> </w:t>
      </w:r>
      <w:r>
        <w:rPr>
          <w:b/>
        </w:rPr>
        <w:t xml:space="preserve">decision support</w:t>
      </w:r>
      <w:r>
        <w:t xml:space="preserve">,</w:t>
      </w:r>
      <w:r>
        <w:t xml:space="preserve"> </w:t>
      </w:r>
      <w:r>
        <w:t xml:space="preserve">not a claim to beat supervised classifiers (a different setting). In short, it turns DGA from a</w:t>
      </w:r>
      <w:r>
        <w:t xml:space="preserve"> </w:t>
      </w:r>
      <w:r>
        <w:t xml:space="preserve">per-sample rule lookup into a</w:t>
      </w:r>
      <w:r>
        <w:t xml:space="preserve"> </w:t>
      </w:r>
      <w:r>
        <w:rPr>
          <w:b/>
        </w:rPr>
        <w:t xml:space="preserve">fleet-level, label-free maintenance-prioritisation tool</w:t>
      </w:r>
      <w:r>
        <w:t xml:space="preserve">.</w:t>
      </w:r>
    </w:p>
    <w:p>
      <w:pPr>
        <w:pStyle w:val="Heading2"/>
      </w:pPr>
      <w:bookmarkStart w:id="32" w:name="limitations-and-next-steps"/>
      <w:r>
        <w:t xml:space="preserve">7. Limitations and next steps</w:t>
      </w:r>
      <w:bookmarkEnd w:id="3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Weak, sparse labels</w:t>
      </w:r>
      <w:r>
        <w:t xml:space="preserve"> </w:t>
      </w:r>
      <w:r>
        <w:t xml:space="preserve">(391 field-event notes) → validation is indicative; we report note-rate by</w:t>
      </w:r>
      <w:r>
        <w:t xml:space="preserve"> </w:t>
      </w:r>
      <w:r>
        <w:t xml:space="preserve">decile and precision@k rather than a single accuracy number.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Temporal features are engineered</w:t>
      </w:r>
      <w:r>
        <w:t xml:space="preserve"> </w:t>
      </w:r>
      <w:r>
        <w:t xml:space="preserve">(gas-growth rates); a deep sequence model over each unit’s</w:t>
      </w:r>
      <w:r>
        <w:t xml:space="preserve"> </w:t>
      </w:r>
      <w:r>
        <w:t xml:space="preserve">trajectory is the natural next step.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Confound control:</w:t>
      </w:r>
      <w:r>
        <w:t xml:space="preserve"> </w:t>
      </w:r>
      <w:r>
        <w:t xml:space="preserve">the index deliberately uses physical-gas features only (not sampling</w:t>
      </w:r>
      <w:r>
        <w:t xml:space="preserve"> </w:t>
      </w:r>
      <w:r>
        <w:t xml:space="preserve">frequency, which correlates with faults only because faulted units get re-sampled).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Highest-leverage improvement:</w:t>
      </w:r>
      <w:r>
        <w:t xml:space="preserve"> </w:t>
      </w:r>
      <w:r>
        <w:t xml:space="preserve">a better label — translating the Thai field notes or obtaining the</w:t>
      </w:r>
      <w:r>
        <w:t xml:space="preserve"> </w:t>
      </w:r>
      <w:r>
        <w:t xml:space="preserve">utility’s failure records — would strengthen every risk claim.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Forward direction</w:t>
      </w:r>
      <w:r>
        <w:t xml:space="preserve"> </w:t>
      </w:r>
      <w:r>
        <w:t xml:space="preserve">(consistent with the 2026 review literature): deep temporal models, Deep SVDD</w:t>
      </w:r>
      <w:r>
        <w:t xml:space="preserve"> </w:t>
      </w:r>
      <w:r>
        <w:t xml:space="preserve">anomaly detection, digital-twin remaining-useful-life prognostics, and privacy-preserving federated</w:t>
      </w:r>
      <w:r>
        <w:t xml:space="preserve"> </w:t>
      </w:r>
      <w:r>
        <w:t xml:space="preserve">learning across utilities.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Reproducible: every figure and number is produced by code under</w:t>
      </w:r>
      <w:r>
        <w:rPr>
          <w:i/>
        </w:rPr>
        <w:t xml:space="preserve"> </w:t>
      </w:r>
      <w:r>
        <w:rPr>
          <w:rStyle w:val="VerbatimChar"/>
          <w:i/>
        </w:rPr>
        <w:t xml:space="preserve">results/</w:t>
      </w:r>
      <w:r>
        <w:rPr>
          <w:i/>
        </w:rPr>
        <w:t xml:space="preserve">. This is a research</w:t>
      </w:r>
      <w:r>
        <w:rPr>
          <w:i/>
        </w:rPr>
        <w:t xml:space="preserve"> </w:t>
      </w:r>
      <w:r>
        <w:rPr>
          <w:i/>
        </w:rPr>
        <w:t xml:space="preserve">initiation (5 weeks, one student); results are early and honestly hedged.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5" Target="media/rId25.png" /><Relationship Type="http://schemas.openxmlformats.org/officeDocument/2006/relationships/image" Id="rId23" Target="media/rId23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Label-Free Health Ranking of Power Transformers from Dissolved Gas Analysis</dc:title>
  <dc:creator>Thibaut Faucheux (CESI, FISA4 INFO) · Research Initiation at KMUTNB, Bangkok · Supervisor: Dr. Rattanakorn Phadungthin</dc:creator>
  <cp:keywords/>
  <dcterms:created xsi:type="dcterms:W3CDTF">2026-07-14T23:07:22Z</dcterms:created>
  <dcterms:modified xsi:type="dcterms:W3CDTF">2026-07-14T23:07:22Z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End-of-project report — Weeks 1 to 5 — 17 July 2026</vt:lpwstr>
  </property>
</Properties>
</file>