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6C" w:rsidRPr="00EE0697" w:rsidRDefault="00800F26" w:rsidP="000C036C">
      <w:pPr>
        <w:pStyle w:val="af3"/>
        <w:rPr>
          <w:bCs/>
        </w:rPr>
      </w:pPr>
      <w:r w:rsidRPr="00EE0697">
        <w:rPr>
          <w:bCs/>
        </w:rPr>
        <w:t>Travaux pratiques : Utilisation de l'interpréteur de commandes Windows</w:t>
      </w:r>
    </w:p>
    <w:p w:rsidR="00172ADC" w:rsidRPr="00A261EC" w:rsidRDefault="00172ADC" w:rsidP="000C036C">
      <w:pPr>
        <w:pStyle w:val="1"/>
      </w:pPr>
      <w:r>
        <w:t>Introduction</w:t>
      </w:r>
    </w:p>
    <w:p w:rsidR="00172ADC" w:rsidRPr="00A261EC" w:rsidRDefault="00172ADC" w:rsidP="00172ADC">
      <w:pPr>
        <w:pStyle w:val="BodyTextL25"/>
      </w:pPr>
      <w:r>
        <w:t>Au cours de ces travaux pratiques, vous allez utiliser l'interface en ligne de commande afin de gérer des fichiers et des dossiers sous Windows.</w:t>
      </w:r>
    </w:p>
    <w:p w:rsidR="00172ADC" w:rsidRPr="00A261EC" w:rsidRDefault="00172ADC" w:rsidP="00172ADC">
      <w:pPr>
        <w:pStyle w:val="1"/>
        <w:numPr>
          <w:ilvl w:val="0"/>
          <w:numId w:val="3"/>
        </w:numPr>
      </w:pPr>
      <w:r>
        <w:t>Équipements recommandés</w:t>
      </w:r>
    </w:p>
    <w:p w:rsidR="00172ADC" w:rsidRPr="00A261EC" w:rsidRDefault="00172ADC" w:rsidP="00172ADC">
      <w:pPr>
        <w:pStyle w:val="Bulletlevel1"/>
        <w:spacing w:before="60" w:after="60" w:line="276" w:lineRule="auto"/>
      </w:pPr>
      <w:r>
        <w:t>Un ordinateur exécutant Windows</w:t>
      </w:r>
    </w:p>
    <w:p w:rsidR="00533C41" w:rsidRPr="00533C41" w:rsidRDefault="00533C41" w:rsidP="008770ED">
      <w:pPr>
        <w:pStyle w:val="1"/>
        <w:numPr>
          <w:ilvl w:val="0"/>
          <w:numId w:val="0"/>
        </w:numPr>
      </w:pPr>
      <w:r>
        <w:t>Instructions</w:t>
      </w:r>
    </w:p>
    <w:p w:rsidR="00172ADC" w:rsidRPr="00A261EC" w:rsidRDefault="00172ADC" w:rsidP="002F3902">
      <w:pPr>
        <w:pStyle w:val="2"/>
      </w:pPr>
      <w:bookmarkStart w:id="0" w:name="_GoBack"/>
      <w:bookmarkEnd w:id="0"/>
      <w:r>
        <w:t>Accédez à l'invite de commandes Windows.</w:t>
      </w:r>
    </w:p>
    <w:p w:rsidR="00172ADC" w:rsidRPr="00A261EC" w:rsidRDefault="00172ADC" w:rsidP="0059751A">
      <w:pPr>
        <w:pStyle w:val="SubStepAlpha"/>
      </w:pPr>
      <w:r>
        <w:t xml:space="preserve">Ouvrez une session Windows en tant qu'administrateur. Le compte </w:t>
      </w:r>
      <w:r w:rsidRPr="000D1154">
        <w:rPr>
          <w:b/>
        </w:rPr>
        <w:t>ITEUser</w:t>
      </w:r>
      <w:r>
        <w:t xml:space="preserve"> est utilisé comme exemple de compte utilisateur dans ces travaux pratiques.</w:t>
      </w:r>
    </w:p>
    <w:p w:rsidR="00172ADC" w:rsidRDefault="00172ADC" w:rsidP="00172ADC">
      <w:pPr>
        <w:pStyle w:val="SubStepAlpha"/>
      </w:pPr>
      <w:r>
        <w:t xml:space="preserve">Pour accéder à l'invite de commandes Windows, cliquez sur </w:t>
      </w:r>
      <w:r w:rsidRPr="00E92834">
        <w:rPr>
          <w:b/>
        </w:rPr>
        <w:t>Démarrer</w:t>
      </w:r>
      <w:r>
        <w:t xml:space="preserve">, puis tapez </w:t>
      </w:r>
      <w:r>
        <w:rPr>
          <w:b/>
        </w:rPr>
        <w:t>cmd</w:t>
      </w:r>
      <w:r>
        <w:t xml:space="preserve">. Sélectionnez </w:t>
      </w:r>
      <w:r>
        <w:rPr>
          <w:b/>
        </w:rPr>
        <w:t>Invite de commandes</w:t>
      </w:r>
      <w:r>
        <w:t xml:space="preserve"> ou </w:t>
      </w:r>
      <w:r>
        <w:rPr>
          <w:b/>
        </w:rPr>
        <w:t>cmd.exe</w:t>
      </w:r>
      <w:r>
        <w:t xml:space="preserve"> pour continuer.</w:t>
      </w:r>
    </w:p>
    <w:p w:rsidR="00172ADC" w:rsidRDefault="00172ADC" w:rsidP="002F3902">
      <w:pPr>
        <w:pStyle w:val="2"/>
      </w:pPr>
      <w:r>
        <w:t>Affichez l'aide à partir de l'invite de commandes.</w:t>
      </w:r>
    </w:p>
    <w:p w:rsidR="00172ADC" w:rsidRPr="000D1154" w:rsidRDefault="00172ADC" w:rsidP="00172ADC">
      <w:pPr>
        <w:pStyle w:val="BodyTextL25"/>
      </w:pPr>
      <w:r>
        <w:t xml:space="preserve">Vous pouvez afficher l'aide relative à la ligne de commande à l'aide de la commande </w:t>
      </w:r>
      <w:r w:rsidRPr="004F758F">
        <w:rPr>
          <w:b/>
        </w:rPr>
        <w:t>help</w:t>
      </w:r>
      <w:r>
        <w:t xml:space="preserve">. Pour plus d'informations sur une commande spécifique, tapez la commande suivie de </w:t>
      </w:r>
      <w:r>
        <w:rPr>
          <w:b/>
        </w:rPr>
        <w:t>/?</w:t>
      </w:r>
      <w:r>
        <w:t>.</w:t>
      </w:r>
    </w:p>
    <w:p w:rsidR="00172ADC" w:rsidRDefault="00172ADC" w:rsidP="00172ADC">
      <w:pPr>
        <w:pStyle w:val="SubStepAlpha"/>
      </w:pPr>
      <w:r>
        <w:t xml:space="preserve">À l'invite, tapez </w:t>
      </w:r>
      <w:r w:rsidRPr="00A261EC">
        <w:rPr>
          <w:b/>
        </w:rPr>
        <w:t>help</w:t>
      </w:r>
      <w:r>
        <w:t xml:space="preserve"> et appuyez sur la touche </w:t>
      </w:r>
      <w:r w:rsidRPr="00A261EC">
        <w:rPr>
          <w:b/>
        </w:rPr>
        <w:t>Entrée</w:t>
      </w:r>
      <w:r>
        <w:t>. Une liste de commandes s'affiche.</w:t>
      </w:r>
    </w:p>
    <w:p w:rsidR="00172ADC" w:rsidRPr="00B168DA" w:rsidRDefault="00172ADC" w:rsidP="00172ADC">
      <w:pPr>
        <w:pStyle w:val="SubStepAlpha"/>
        <w:rPr>
          <w:spacing w:val="-6"/>
        </w:rPr>
      </w:pPr>
      <w:r w:rsidRPr="00B168DA">
        <w:rPr>
          <w:spacing w:val="-6"/>
        </w:rPr>
        <w:t xml:space="preserve">Les résultats de la commande help étant trop longs pour s'afficher sur une page, seule la dernière partie s'affiche. Pour consulter une page après l'autre, saisissez la commande </w:t>
      </w:r>
      <w:r w:rsidRPr="00B168DA">
        <w:rPr>
          <w:b/>
          <w:spacing w:val="-6"/>
        </w:rPr>
        <w:t>help | more</w:t>
      </w:r>
      <w:r w:rsidRPr="00B168DA">
        <w:rPr>
          <w:spacing w:val="-6"/>
        </w:rPr>
        <w:t xml:space="preserve"> à l'invite. La commande </w:t>
      </w:r>
      <w:r w:rsidRPr="00B168DA">
        <w:rPr>
          <w:b/>
          <w:spacing w:val="-6"/>
        </w:rPr>
        <w:t>help</w:t>
      </w:r>
      <w:r w:rsidRPr="00B168DA">
        <w:rPr>
          <w:spacing w:val="-6"/>
        </w:rPr>
        <w:t xml:space="preserve"> peut paginer les résultats d'une autre commande lorsqu'elle est combinée avec </w:t>
      </w:r>
      <w:r w:rsidRPr="00B168DA">
        <w:rPr>
          <w:b/>
          <w:spacing w:val="-6"/>
        </w:rPr>
        <w:t>|</w:t>
      </w:r>
      <w:r w:rsidRPr="00B168DA">
        <w:rPr>
          <w:spacing w:val="-6"/>
        </w:rPr>
        <w:t xml:space="preserve"> (barre verticale) et </w:t>
      </w:r>
      <w:r w:rsidRPr="00B168DA">
        <w:rPr>
          <w:b/>
          <w:spacing w:val="-6"/>
        </w:rPr>
        <w:t>more</w:t>
      </w:r>
      <w:r w:rsidRPr="00B168DA">
        <w:rPr>
          <w:spacing w:val="-6"/>
        </w:rPr>
        <w:t>.</w:t>
      </w:r>
    </w:p>
    <w:p w:rsidR="00172ADC" w:rsidRDefault="00172ADC" w:rsidP="00172ADC">
      <w:pPr>
        <w:pStyle w:val="CMD"/>
      </w:pPr>
      <w:r>
        <w:t xml:space="preserve">C:\Users\ITEUser&gt; </w:t>
      </w:r>
      <w:r w:rsidRPr="00095C38">
        <w:rPr>
          <w:b/>
        </w:rPr>
        <w:t>help | more</w:t>
      </w:r>
    </w:p>
    <w:p w:rsidR="00172ADC" w:rsidRDefault="00172ADC" w:rsidP="00172ADC">
      <w:pPr>
        <w:pStyle w:val="CMD"/>
      </w:pPr>
      <w:r>
        <w:t>Pour plus d'informations sur une commande spécifique, tapez HELP suivi du nom de la commande.</w:t>
      </w:r>
    </w:p>
    <w:p w:rsidR="00172ADC" w:rsidRDefault="00172ADC" w:rsidP="00172ADC">
      <w:pPr>
        <w:pStyle w:val="CMD"/>
      </w:pPr>
      <w:r>
        <w:t xml:space="preserve">ASSOC </w:t>
      </w:r>
      <w:r w:rsidR="00B168DA">
        <w:t xml:space="preserve">        </w:t>
      </w:r>
      <w:r>
        <w:t>Affiche ou modifie les applications associées aux extensions de fichiers.</w:t>
      </w:r>
    </w:p>
    <w:p w:rsidR="00172ADC" w:rsidRDefault="00172ADC" w:rsidP="00172ADC">
      <w:pPr>
        <w:pStyle w:val="CMD"/>
      </w:pPr>
      <w:r>
        <w:t xml:space="preserve">ATTRIB </w:t>
      </w:r>
      <w:r w:rsidR="00B168DA">
        <w:t xml:space="preserve">       </w:t>
      </w:r>
      <w:r>
        <w:t>Affiche ou modifie les attributs d'un fichier.</w:t>
      </w:r>
    </w:p>
    <w:p w:rsidR="00172ADC" w:rsidRDefault="00172ADC" w:rsidP="00172ADC">
      <w:pPr>
        <w:pStyle w:val="CMD"/>
      </w:pPr>
      <w:r>
        <w:t>BREAK</w:t>
      </w:r>
      <w:r w:rsidR="00B168DA">
        <w:t xml:space="preserve">        </w:t>
      </w:r>
      <w:r>
        <w:t xml:space="preserve"> Active ou désactive le contrôle étendu de CTRL+C.</w:t>
      </w:r>
    </w:p>
    <w:p w:rsidR="00172ADC" w:rsidRDefault="00172ADC" w:rsidP="00172ADC">
      <w:pPr>
        <w:pStyle w:val="CMD"/>
      </w:pPr>
      <w:r>
        <w:t xml:space="preserve">BCDEDIT </w:t>
      </w:r>
      <w:r w:rsidR="00B168DA">
        <w:t xml:space="preserve">      </w:t>
      </w:r>
      <w:r>
        <w:t>Définit les propriétés dans la base de données de démarrage pour le contrôle du chargement d'amorçage.</w:t>
      </w:r>
    </w:p>
    <w:p w:rsidR="00172ADC" w:rsidRDefault="00172ADC" w:rsidP="00172ADC">
      <w:pPr>
        <w:pStyle w:val="CMD"/>
      </w:pPr>
      <w:r>
        <w:t xml:space="preserve">CACLS </w:t>
      </w:r>
      <w:r w:rsidR="00B168DA">
        <w:t xml:space="preserve">        </w:t>
      </w:r>
      <w:r>
        <w:t>Affiche ou modifie les listes de contrôle d'accès aux fichiers.</w:t>
      </w:r>
    </w:p>
    <w:p w:rsidR="00172ADC" w:rsidRDefault="00172ADC" w:rsidP="00172ADC">
      <w:pPr>
        <w:pStyle w:val="CMD"/>
      </w:pPr>
      <w:r>
        <w:t xml:space="preserve">CALL </w:t>
      </w:r>
      <w:r w:rsidR="00B168DA">
        <w:t xml:space="preserve">         </w:t>
      </w:r>
      <w:r>
        <w:t>Appelle un fichier de commandes à partir d'un autre fichier de commandes.</w:t>
      </w:r>
    </w:p>
    <w:p w:rsidR="00172ADC" w:rsidRDefault="00172ADC" w:rsidP="00172ADC">
      <w:pPr>
        <w:pStyle w:val="CMD"/>
      </w:pPr>
      <w:r>
        <w:t xml:space="preserve">CD </w:t>
      </w:r>
      <w:r w:rsidR="00B168DA">
        <w:t xml:space="preserve">           </w:t>
      </w:r>
      <w:r>
        <w:t>Modifie le répertoire ou affiche le répertoire actif.</w:t>
      </w:r>
    </w:p>
    <w:p w:rsidR="00172ADC" w:rsidRDefault="00172ADC" w:rsidP="00172ADC">
      <w:pPr>
        <w:pStyle w:val="CMD"/>
      </w:pPr>
      <w:r>
        <w:t>La commande CHCP modifie ou affiche le numéro de la page de code active.</w:t>
      </w:r>
    </w:p>
    <w:p w:rsidR="00172ADC" w:rsidRDefault="00172ADC" w:rsidP="00172ADC">
      <w:pPr>
        <w:pStyle w:val="CMD"/>
      </w:pPr>
      <w:r>
        <w:t>--Plus--</w:t>
      </w:r>
    </w:p>
    <w:p w:rsidR="00172ADC" w:rsidRDefault="00172ADC" w:rsidP="00172ADC">
      <w:pPr>
        <w:pStyle w:val="SubStepAlpha"/>
      </w:pPr>
      <w:r>
        <w:t>Pour afficher la page suivante, appuyez sur la barre d'espacement. Que se passe-t-il lorsque vous appuyez sur la touche Entrée ?</w:t>
      </w:r>
    </w:p>
    <w:p w:rsidR="00172ADC" w:rsidRDefault="00533C41" w:rsidP="00533C41">
      <w:pPr>
        <w:pStyle w:val="AnswerLineL50"/>
      </w:pPr>
      <w:r>
        <w:t>Saisissez vos réponses ici</w:t>
      </w:r>
    </w:p>
    <w:p w:rsidR="00172ADC" w:rsidRDefault="00172ADC" w:rsidP="00172ADC">
      <w:pPr>
        <w:pStyle w:val="SubStepAlpha"/>
        <w:keepNext/>
      </w:pPr>
      <w:r>
        <w:lastRenderedPageBreak/>
        <w:t xml:space="preserve">Appuyez sur </w:t>
      </w:r>
      <w:r w:rsidRPr="00E6070E">
        <w:rPr>
          <w:b/>
        </w:rPr>
        <w:t>q</w:t>
      </w:r>
      <w:r>
        <w:t xml:space="preserve"> ou sur </w:t>
      </w:r>
      <w:r w:rsidRPr="006B7ABB">
        <w:rPr>
          <w:b/>
        </w:rPr>
        <w:t>Ctrl-C</w:t>
      </w:r>
      <w:r>
        <w:t xml:space="preserve"> pour quitter après avoir rempli les fonctions des commandes suivantes :</w:t>
      </w:r>
    </w:p>
    <w:tbl>
      <w:tblPr>
        <w:tblW w:w="99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7855"/>
      </w:tblGrid>
      <w:tr w:rsidR="00172ADC" w:rsidRPr="00800F26" w:rsidTr="00800F26">
        <w:trPr>
          <w:cantSplit/>
          <w:tblHeader/>
          <w:jc w:val="center"/>
        </w:trPr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2ADC" w:rsidRPr="00800F26" w:rsidRDefault="00172ADC" w:rsidP="00F644C2">
            <w:pPr>
              <w:pStyle w:val="TableHeading"/>
            </w:pPr>
            <w:r w:rsidRPr="00800F26">
              <w:t>Commande</w:t>
            </w:r>
          </w:p>
        </w:tc>
        <w:tc>
          <w:tcPr>
            <w:tcW w:w="7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2ADC" w:rsidRPr="00800F26" w:rsidRDefault="00172ADC" w:rsidP="00F644C2">
            <w:pPr>
              <w:pStyle w:val="TableHeading"/>
            </w:pPr>
            <w:r w:rsidRPr="00800F26">
              <w:t>Fonction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b/>
              </w:rPr>
            </w:pPr>
            <w:r w:rsidRPr="00800F26">
              <w:rPr>
                <w:b/>
              </w:rPr>
              <w:t>CD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CHKDSK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b/>
              </w:rPr>
            </w:pPr>
            <w:r w:rsidRPr="00800F26">
              <w:rPr>
                <w:b/>
              </w:rPr>
              <w:t>COPY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b/>
              </w:rPr>
            </w:pPr>
            <w:r w:rsidRPr="00800F26">
              <w:rPr>
                <w:b/>
              </w:rPr>
              <w:t>DEL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DIR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DISKPART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QUITTER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FORMAT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GPRESULT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MD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TASKLIST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 xml:space="preserve">RD 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ROBOCOPY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SHUTDOWN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  <w:tr w:rsidR="00172ADC" w:rsidRPr="00800F26" w:rsidTr="00800F26">
        <w:trPr>
          <w:cantSplit/>
          <w:trHeight w:val="720"/>
          <w:jc w:val="center"/>
        </w:trPr>
        <w:tc>
          <w:tcPr>
            <w:tcW w:w="2095" w:type="dxa"/>
            <w:shd w:val="clear" w:color="auto" w:fill="auto"/>
            <w:vAlign w:val="center"/>
          </w:tcPr>
          <w:p w:rsidR="00172ADC" w:rsidRPr="00800F26" w:rsidRDefault="00172ADC" w:rsidP="00F644C2">
            <w:pPr>
              <w:pStyle w:val="TableText"/>
              <w:rPr>
                <w:rFonts w:eastAsia="Times New Roman" w:cs="Arial"/>
                <w:b/>
              </w:rPr>
            </w:pPr>
            <w:r w:rsidRPr="00800F26">
              <w:rPr>
                <w:b/>
              </w:rPr>
              <w:t>XCOPY</w:t>
            </w:r>
          </w:p>
        </w:tc>
        <w:tc>
          <w:tcPr>
            <w:tcW w:w="7855" w:type="dxa"/>
            <w:shd w:val="clear" w:color="auto" w:fill="auto"/>
            <w:vAlign w:val="center"/>
          </w:tcPr>
          <w:p w:rsidR="00172ADC" w:rsidRPr="00800F26" w:rsidRDefault="000C036C" w:rsidP="000C036C">
            <w:pPr>
              <w:pStyle w:val="ConfigWindow"/>
            </w:pPr>
            <w:r w:rsidRPr="00800F26">
              <w:t>Vierge</w:t>
            </w:r>
          </w:p>
        </w:tc>
      </w:tr>
    </w:tbl>
    <w:p w:rsidR="00172ADC" w:rsidRPr="00533C41" w:rsidRDefault="00172ADC" w:rsidP="00F644C2">
      <w:pPr>
        <w:pStyle w:val="SubStepAlpha"/>
        <w:keepNext/>
      </w:pPr>
      <w:r>
        <w:lastRenderedPageBreak/>
        <w:t xml:space="preserve">Tapez </w:t>
      </w:r>
      <w:r w:rsidRPr="00533C41">
        <w:rPr>
          <w:b/>
        </w:rPr>
        <w:t>md /?</w:t>
      </w:r>
      <w:r>
        <w:t xml:space="preserve"> à l'invite pour afficher des informations supplémentaires et des commutateurs pouvant être utilisés avec cette commande.</w:t>
      </w:r>
    </w:p>
    <w:p w:rsidR="00172ADC" w:rsidRPr="0087483C" w:rsidRDefault="00172ADC" w:rsidP="00172ADC">
      <w:pPr>
        <w:pStyle w:val="CMD"/>
      </w:pPr>
      <w:r>
        <w:t>C:\Users\ITEUser&gt;</w:t>
      </w:r>
      <w:r w:rsidRPr="0087483C">
        <w:rPr>
          <w:b/>
        </w:rPr>
        <w:t xml:space="preserve"> md /?</w:t>
      </w:r>
    </w:p>
    <w:p w:rsidR="00172ADC" w:rsidRPr="00533C41" w:rsidRDefault="00172ADC" w:rsidP="00533C41">
      <w:pPr>
        <w:pStyle w:val="CMDOutput"/>
      </w:pPr>
      <w:r>
        <w:t>Crée un répertoire.</w:t>
      </w:r>
    </w:p>
    <w:p w:rsidR="00172ADC" w:rsidRPr="00533C41" w:rsidRDefault="00172ADC" w:rsidP="00533C41">
      <w:pPr>
        <w:pStyle w:val="CMDOutput"/>
      </w:pPr>
    </w:p>
    <w:p w:rsidR="00172ADC" w:rsidRPr="00533C41" w:rsidRDefault="00172ADC" w:rsidP="00533C41">
      <w:pPr>
        <w:pStyle w:val="CMDOutput"/>
      </w:pPr>
      <w:r>
        <w:t>MKDIR [drive:]path</w:t>
      </w:r>
    </w:p>
    <w:p w:rsidR="00172ADC" w:rsidRPr="00533C41" w:rsidRDefault="00172ADC" w:rsidP="00533C41">
      <w:pPr>
        <w:pStyle w:val="CMDOutput"/>
      </w:pPr>
      <w:r>
        <w:t>MD [drive:]path</w:t>
      </w:r>
    </w:p>
    <w:p w:rsidR="00172ADC" w:rsidRPr="00533C41" w:rsidRDefault="00172ADC" w:rsidP="00533C41">
      <w:pPr>
        <w:pStyle w:val="CMDOutput"/>
      </w:pPr>
    </w:p>
    <w:p w:rsidR="00172ADC" w:rsidRPr="00533C41" w:rsidRDefault="00172ADC" w:rsidP="00533C41">
      <w:pPr>
        <w:pStyle w:val="CMDOutput"/>
      </w:pPr>
      <w:r>
        <w:t>Si les extensions de commande sont activées, la commande MKDIR change comme suit :</w:t>
      </w:r>
    </w:p>
    <w:p w:rsidR="00172ADC" w:rsidRPr="00533C41" w:rsidRDefault="00172ADC" w:rsidP="00533C41">
      <w:pPr>
        <w:pStyle w:val="CMDOutput"/>
      </w:pPr>
    </w:p>
    <w:p w:rsidR="00172ADC" w:rsidRPr="00533C41" w:rsidRDefault="00172ADC" w:rsidP="00533C41">
      <w:pPr>
        <w:pStyle w:val="CMDOutput"/>
      </w:pPr>
      <w:r>
        <w:t>MKDIR crée tous les répertoires intermédiaires dans le chemin d'accès, si nécessaire.</w:t>
      </w:r>
    </w:p>
    <w:p w:rsidR="00172ADC" w:rsidRDefault="00172ADC" w:rsidP="00533C41">
      <w:pPr>
        <w:pStyle w:val="CMDOutput"/>
      </w:pPr>
      <w:r>
        <w:t>&lt;some output omitted&gt;</w:t>
      </w:r>
    </w:p>
    <w:p w:rsidR="00255195" w:rsidRDefault="00172ADC" w:rsidP="00172ADC">
      <w:pPr>
        <w:pStyle w:val="BodyTextL50"/>
      </w:pPr>
      <w:r>
        <w:t xml:space="preserve">Utilisez les informations fournies par la commande help concernant </w:t>
      </w:r>
      <w:r>
        <w:rPr>
          <w:b/>
        </w:rPr>
        <w:t>md</w:t>
      </w:r>
      <w:r>
        <w:t>.</w:t>
      </w:r>
    </w:p>
    <w:p w:rsidR="00255195" w:rsidRDefault="00255195" w:rsidP="00255195">
      <w:pPr>
        <w:pStyle w:val="4"/>
      </w:pPr>
      <w:r>
        <w:t>Question :</w:t>
      </w:r>
    </w:p>
    <w:p w:rsidR="00172ADC" w:rsidRDefault="00172ADC" w:rsidP="00255195">
      <w:pPr>
        <w:pStyle w:val="BodyTextL50"/>
        <w:keepNext/>
      </w:pPr>
      <w:r>
        <w:t xml:space="preserve">Comment créeriez-vous ces dossiers </w:t>
      </w:r>
      <w:r w:rsidRPr="0087483C">
        <w:rPr>
          <w:b/>
        </w:rPr>
        <w:t>C:\Users\ITEUser\a\b\c</w:t>
      </w:r>
      <w:r>
        <w:t xml:space="preserve"> si votre répertoire actuel était C:\Users\ITEUser ?</w:t>
      </w:r>
    </w:p>
    <w:p w:rsidR="00533C41" w:rsidRDefault="00533C41" w:rsidP="00533C41">
      <w:pPr>
        <w:pStyle w:val="AnswerLineL50"/>
      </w:pPr>
      <w:r>
        <w:t>Saisissez vos réponses ici</w:t>
      </w:r>
    </w:p>
    <w:p w:rsidR="00172ADC" w:rsidRDefault="00172ADC" w:rsidP="00255195">
      <w:pPr>
        <w:pStyle w:val="BodyTextL50"/>
        <w:keepNext/>
      </w:pPr>
      <w:r>
        <w:t>Quelle commande utiliseriez-vous pour vérifier la création des répertoires imbriqués ?</w:t>
      </w:r>
    </w:p>
    <w:p w:rsidR="00533C41" w:rsidRDefault="00533C41" w:rsidP="00533C41">
      <w:pPr>
        <w:pStyle w:val="AnswerLineL50"/>
      </w:pPr>
      <w:r>
        <w:t>Saisissez vos réponses ici</w:t>
      </w:r>
    </w:p>
    <w:p w:rsidR="00255195" w:rsidRDefault="00172ADC" w:rsidP="00172ADC">
      <w:pPr>
        <w:pStyle w:val="SubStepAlpha"/>
      </w:pPr>
      <w:r>
        <w:t>Effacez l'écran à l'aide de la ligne de commande.</w:t>
      </w:r>
    </w:p>
    <w:p w:rsidR="00255195" w:rsidRDefault="00255195" w:rsidP="00255195">
      <w:pPr>
        <w:pStyle w:val="4"/>
      </w:pPr>
      <w:r>
        <w:t>Question :</w:t>
      </w:r>
    </w:p>
    <w:p w:rsidR="00172ADC" w:rsidRDefault="00172ADC" w:rsidP="00255195">
      <w:pPr>
        <w:pStyle w:val="BodyTextL50"/>
        <w:keepNext/>
      </w:pPr>
      <w:r>
        <w:t>Quelle commande avez-vous utilisée ?</w:t>
      </w:r>
    </w:p>
    <w:p w:rsidR="00533C41" w:rsidRDefault="00533C41" w:rsidP="00533C41">
      <w:pPr>
        <w:pStyle w:val="AnswerLineL50"/>
      </w:pPr>
      <w:r>
        <w:t>Saisissez vos réponses ici</w:t>
      </w:r>
    </w:p>
    <w:p w:rsidR="00255195" w:rsidRDefault="00172ADC" w:rsidP="00172ADC">
      <w:pPr>
        <w:pStyle w:val="SubStepAlpha"/>
      </w:pPr>
      <w:r>
        <w:t xml:space="preserve">Appuyez sur la touche </w:t>
      </w:r>
      <w:r>
        <w:rPr>
          <w:b/>
        </w:rPr>
        <w:t>F7</w:t>
      </w:r>
      <w:r>
        <w:t xml:space="preserve"> du clavier pour afficher l'historique des commandes.</w:t>
      </w:r>
    </w:p>
    <w:p w:rsidR="00255195" w:rsidRDefault="00255195" w:rsidP="00255195">
      <w:pPr>
        <w:pStyle w:val="4"/>
      </w:pPr>
      <w:r>
        <w:t>Question :</w:t>
      </w:r>
    </w:p>
    <w:p w:rsidR="00172ADC" w:rsidRDefault="00172ADC" w:rsidP="00255195">
      <w:pPr>
        <w:pStyle w:val="BodyTextL50"/>
        <w:keepNext/>
      </w:pPr>
      <w:r>
        <w:t xml:space="preserve">Quelle est la dernière commande que vous avez utilisée ? Appuyez sur la touche </w:t>
      </w:r>
      <w:r>
        <w:rPr>
          <w:b/>
        </w:rPr>
        <w:t>Échap</w:t>
      </w:r>
      <w:r>
        <w:t xml:space="preserve"> du clavier pour quitter la boîte de dialogue.</w:t>
      </w:r>
    </w:p>
    <w:p w:rsidR="00533C41" w:rsidRDefault="00533C41" w:rsidP="00533C41">
      <w:pPr>
        <w:pStyle w:val="AnswerLineL50"/>
      </w:pPr>
      <w:r>
        <w:t>Saisissez vos réponses ici</w:t>
      </w:r>
    </w:p>
    <w:p w:rsidR="00255195" w:rsidRDefault="00172ADC" w:rsidP="00172ADC">
      <w:pPr>
        <w:pStyle w:val="SubStepAlpha"/>
      </w:pPr>
      <w:r>
        <w:t>Appuyez sur la flèche vers le haut pour afficher la dernière commande utilisée.</w:t>
      </w:r>
    </w:p>
    <w:p w:rsidR="00255195" w:rsidRDefault="00255195" w:rsidP="00255195">
      <w:pPr>
        <w:pStyle w:val="4"/>
      </w:pPr>
      <w:r>
        <w:t>Question :</w:t>
      </w:r>
    </w:p>
    <w:p w:rsidR="00172ADC" w:rsidRDefault="00172ADC" w:rsidP="00255195">
      <w:pPr>
        <w:pStyle w:val="BodyTextL50"/>
        <w:keepNext/>
      </w:pPr>
      <w:r>
        <w:t>Quelle est la dernière commande utilisée ?</w:t>
      </w:r>
    </w:p>
    <w:p w:rsidR="00533C41" w:rsidRDefault="00533C41" w:rsidP="00533C41">
      <w:pPr>
        <w:pStyle w:val="AnswerLineL50"/>
      </w:pPr>
      <w:r>
        <w:t>Saisissez vos réponses ici</w:t>
      </w:r>
    </w:p>
    <w:p w:rsidR="00172ADC" w:rsidRDefault="00172ADC" w:rsidP="00172ADC">
      <w:pPr>
        <w:pStyle w:val="SubStepAlpha"/>
      </w:pPr>
      <w:r>
        <w:t xml:space="preserve">Pour quitter l'invite de commandes, saisissez </w:t>
      </w:r>
      <w:r>
        <w:rPr>
          <w:b/>
        </w:rPr>
        <w:t>exit</w:t>
      </w:r>
      <w:r>
        <w:t xml:space="preserve"> à l'invite.</w:t>
      </w:r>
    </w:p>
    <w:p w:rsidR="00172ADC" w:rsidRPr="009A1CF4" w:rsidRDefault="00172ADC" w:rsidP="0059751A">
      <w:pPr>
        <w:pStyle w:val="ConfigWindow"/>
      </w:pPr>
      <w:r>
        <w:t>Fin du document</w:t>
      </w:r>
    </w:p>
    <w:sectPr w:rsidR="00172ADC" w:rsidRPr="009A1CF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FC" w:rsidRDefault="009A4EFC" w:rsidP="00710659">
      <w:pPr>
        <w:spacing w:after="0" w:line="240" w:lineRule="auto"/>
      </w:pPr>
      <w:r>
        <w:separator/>
      </w:r>
    </w:p>
    <w:p w:rsidR="009A4EFC" w:rsidRDefault="009A4EFC"/>
  </w:endnote>
  <w:endnote w:type="continuationSeparator" w:id="0">
    <w:p w:rsidR="009A4EFC" w:rsidRDefault="009A4EFC" w:rsidP="00710659">
      <w:pPr>
        <w:spacing w:after="0" w:line="240" w:lineRule="auto"/>
      </w:pPr>
      <w:r>
        <w:continuationSeparator/>
      </w:r>
    </w:p>
    <w:p w:rsidR="009A4EFC" w:rsidRDefault="009A4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213232">
      <w:t xml:space="preserve">– </w:t>
    </w:r>
    <w:r w:rsidR="00213232">
      <w:fldChar w:fldCharType="begin"/>
    </w:r>
    <w:r w:rsidR="00213232">
      <w:instrText xml:space="preserve"> DATE  \@ "yyyy"  \* MERGEFORMAT </w:instrText>
    </w:r>
    <w:r w:rsidR="00213232">
      <w:fldChar w:fldCharType="separate"/>
    </w:r>
    <w:r w:rsidR="002F3902">
      <w:rPr>
        <w:noProof/>
      </w:rPr>
      <w:t>2020</w:t>
    </w:r>
    <w:r w:rsidR="00213232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F390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F390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213232">
      <w:t xml:space="preserve">– </w:t>
    </w:r>
    <w:r w:rsidR="00213232">
      <w:fldChar w:fldCharType="begin"/>
    </w:r>
    <w:r w:rsidR="00213232">
      <w:instrText xml:space="preserve"> DATE  \@ "yyyy"  \* MERGEFORMAT </w:instrText>
    </w:r>
    <w:r w:rsidR="00213232">
      <w:fldChar w:fldCharType="separate"/>
    </w:r>
    <w:r w:rsidR="002F3902">
      <w:rPr>
        <w:noProof/>
      </w:rPr>
      <w:t>2020</w:t>
    </w:r>
    <w:r w:rsidR="00213232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F390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F390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FC" w:rsidRDefault="009A4EFC" w:rsidP="00710659">
      <w:pPr>
        <w:spacing w:after="0" w:line="240" w:lineRule="auto"/>
      </w:pPr>
      <w:r>
        <w:separator/>
      </w:r>
    </w:p>
    <w:p w:rsidR="009A4EFC" w:rsidRDefault="009A4EFC"/>
  </w:footnote>
  <w:footnote w:type="continuationSeparator" w:id="0">
    <w:p w:rsidR="009A4EFC" w:rsidRDefault="009A4EFC" w:rsidP="00710659">
      <w:pPr>
        <w:spacing w:after="0" w:line="240" w:lineRule="auto"/>
      </w:pPr>
      <w:r>
        <w:continuationSeparator/>
      </w:r>
    </w:p>
    <w:p w:rsidR="009A4EFC" w:rsidRDefault="009A4E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00F26" w:rsidP="008402F2">
    <w:pPr>
      <w:pStyle w:val="PageHead"/>
    </w:pPr>
    <w:r>
      <w:t>Travaux pratiques : Utilisation de l'interpréteur de commandes Windows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D22D13" w:rsidP="006C3FCF">
    <w:pPr>
      <w:ind w:left="-288"/>
    </w:pPr>
    <w:r w:rsidRPr="00800F26">
      <w:rPr>
        <w:noProof/>
        <w:lang w:val="en-US" w:eastAsia="zh-CN" w:bidi="th-TH"/>
      </w:rPr>
      <w:drawing>
        <wp:inline distT="0" distB="0" distL="0" distR="0">
          <wp:extent cx="2587625" cy="802005"/>
          <wp:effectExtent l="0" t="0" r="3175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C3166B"/>
    <w:multiLevelType w:val="multilevel"/>
    <w:tmpl w:val="7B781C6E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Étape %2 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D1147BFE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0E61586"/>
    <w:multiLevelType w:val="multilevel"/>
    <w:tmpl w:val="D3B67E64"/>
    <w:lvl w:ilvl="0">
      <w:start w:val="1"/>
      <w:numFmt w:val="decimal"/>
      <w:pStyle w:val="PartHead"/>
      <w:suff w:val="space"/>
      <w:lvlText w:val="Partie %1 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0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6A8"/>
    <w:rsid w:val="000B2344"/>
    <w:rsid w:val="000B7DE5"/>
    <w:rsid w:val="000C036C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DC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EF7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990"/>
    <w:rsid w:val="001B67D8"/>
    <w:rsid w:val="001B6F95"/>
    <w:rsid w:val="001C05A1"/>
    <w:rsid w:val="001C1D9E"/>
    <w:rsid w:val="001C5998"/>
    <w:rsid w:val="001C5A90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3232"/>
    <w:rsid w:val="00215665"/>
    <w:rsid w:val="002163BB"/>
    <w:rsid w:val="0021792C"/>
    <w:rsid w:val="00221225"/>
    <w:rsid w:val="002240AB"/>
    <w:rsid w:val="00225E37"/>
    <w:rsid w:val="00231DCA"/>
    <w:rsid w:val="00242E3A"/>
    <w:rsid w:val="00246492"/>
    <w:rsid w:val="002506CF"/>
    <w:rsid w:val="0025107F"/>
    <w:rsid w:val="00255195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3902"/>
    <w:rsid w:val="002F45FF"/>
    <w:rsid w:val="002F66D3"/>
    <w:rsid w:val="002F6D17"/>
    <w:rsid w:val="00302887"/>
    <w:rsid w:val="003056EB"/>
    <w:rsid w:val="003065E0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3C41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51A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5C3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1F41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CE0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F26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0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4EFC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5965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8DA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C9F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0C"/>
    <w:rsid w:val="00D139C8"/>
    <w:rsid w:val="00D17F81"/>
    <w:rsid w:val="00D22D13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7D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697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4C2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0378DC-3923-4CFA-9C19-2C6BA9E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751A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59751A"/>
    <w:pPr>
      <w:keepNext/>
      <w:keepLines/>
      <w:numPr>
        <w:numId w:val="13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2F3902"/>
    <w:pPr>
      <w:keepNext/>
      <w:numPr>
        <w:ilvl w:val="1"/>
        <w:numId w:val="13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F644C2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2F3902"/>
    <w:rPr>
      <w:rFonts w:eastAsia="Times New Roman"/>
      <w:b/>
      <w:bCs/>
      <w:sz w:val="26"/>
      <w:szCs w:val="26"/>
      <w:lang w:val="fr-FR" w:eastAsia="en-US" w:bidi="ar-SA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0C036C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F644C2"/>
    <w:pPr>
      <w:numPr>
        <w:ilvl w:val="2"/>
        <w:numId w:val="1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9751A"/>
    <w:pPr>
      <w:numPr>
        <w:ilvl w:val="4"/>
        <w:numId w:val="1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59751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533C4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0C6425"/>
    <w:rPr>
      <w:rFonts w:eastAsia="Times New Roman"/>
      <w:b/>
      <w:bCs/>
      <w:sz w:val="24"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af5"/>
    <w:next w:val="BodyTextL25"/>
    <w:qFormat/>
    <w:rsid w:val="00172ADC"/>
    <w:pPr>
      <w:keepNext/>
      <w:numPr>
        <w:numId w:val="10"/>
      </w:numPr>
      <w:spacing w:before="240"/>
      <w:ind w:left="0" w:firstLine="0"/>
      <w:contextualSpacing w:val="0"/>
      <w:outlineLvl w:val="0"/>
    </w:pPr>
    <w:rPr>
      <w:b/>
      <w:sz w:val="28"/>
    </w:rPr>
  </w:style>
  <w:style w:type="paragraph" w:styleId="af5">
    <w:name w:val="List Paragraph"/>
    <w:basedOn w:val="a"/>
    <w:uiPriority w:val="34"/>
    <w:qFormat/>
    <w:rsid w:val="0017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15471-3F41-4940-A128-5F5C0D0E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Work in the Windows Commands Shell</vt:lpstr>
    </vt:vector>
  </TitlesOfParts>
  <Company>China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Utilisation de l'interpréteur de commandes Windows</dc:title>
  <dc:subject/>
  <dc:creator>Administrator</dc:creator>
  <cp:keywords/>
  <dc:description>2015</dc:description>
  <cp:lastModifiedBy>User</cp:lastModifiedBy>
  <cp:revision>6</cp:revision>
  <cp:lastPrinted>2019-07-22T17:12:00Z</cp:lastPrinted>
  <dcterms:created xsi:type="dcterms:W3CDTF">2020-01-21T09:44:00Z</dcterms:created>
  <dcterms:modified xsi:type="dcterms:W3CDTF">2020-01-22T04:07:00Z</dcterms:modified>
</cp:coreProperties>
</file>