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Housing Values in Suburbs of Boston</w:t>
      </w:r>
    </w:p>
    <w:p>
      <w:pPr>
        <w:pStyle w:val="NoSpacing"/>
        <w:rPr>
          <w:b/>
          <w:b/>
          <w:bCs/>
          <w:color w:val="595959"/>
          <w:sz w:val="27"/>
          <w:szCs w:val="27"/>
        </w:rPr>
      </w:pPr>
      <w:r>
        <w:rPr>
          <w:b/>
          <w:bCs/>
          <w:color w:val="595959"/>
          <w:sz w:val="27"/>
          <w:szCs w:val="27"/>
        </w:rPr>
      </w:r>
    </w:p>
    <w:p>
      <w:pPr>
        <w:pStyle w:val="NoSpacing"/>
        <w:rPr>
          <w:b/>
          <w:b/>
          <w:bCs/>
          <w:color w:val="595959"/>
          <w:sz w:val="27"/>
          <w:szCs w:val="27"/>
        </w:rPr>
      </w:pPr>
      <w:r>
        <w:rPr>
          <w:b/>
          <w:bCs/>
          <w:color w:val="595959"/>
          <w:sz w:val="27"/>
          <w:szCs w:val="27"/>
        </w:rPr>
        <w:t>Description:</w:t>
        <w:tab/>
      </w:r>
      <w:r>
        <w:rPr>
          <w:sz w:val="20"/>
          <w:szCs w:val="20"/>
        </w:rPr>
        <w:t>The </w:t>
      </w:r>
      <w:r>
        <w:rPr>
          <w:rFonts w:cs="Courier New" w:ascii="Courier New" w:hAnsi="Courier New"/>
          <w:sz w:val="20"/>
          <w:szCs w:val="20"/>
        </w:rPr>
        <w:t>Boston</w:t>
      </w:r>
      <w:r>
        <w:rPr>
          <w:sz w:val="20"/>
          <w:szCs w:val="20"/>
        </w:rPr>
        <w:t> data frame has 14 columns, and refers to the information about different districts (or suburbs) of Boston, USA using data collected in 1970.</w:t>
      </w:r>
    </w:p>
    <w:p>
      <w:pPr>
        <w:pStyle w:val="NoSpacing"/>
        <w:rPr>
          <w:b/>
          <w:b/>
          <w:bCs/>
          <w:color w:val="595959"/>
          <w:sz w:val="27"/>
          <w:szCs w:val="27"/>
        </w:rPr>
      </w:pPr>
      <w:r>
        <w:rPr>
          <w:b/>
          <w:bCs/>
          <w:color w:val="595959"/>
          <w:sz w:val="27"/>
          <w:szCs w:val="27"/>
        </w:rPr>
      </w:r>
    </w:p>
    <w:p>
      <w:pPr>
        <w:pStyle w:val="NoSpacing"/>
        <w:rPr>
          <w:b/>
          <w:b/>
          <w:bCs/>
          <w:color w:val="595959"/>
          <w:sz w:val="27"/>
          <w:szCs w:val="27"/>
        </w:rPr>
      </w:pPr>
      <w:r>
        <w:rPr>
          <w:b/>
          <w:bCs/>
          <w:color w:val="595959"/>
          <w:sz w:val="27"/>
          <w:szCs w:val="27"/>
        </w:rPr>
        <w:t xml:space="preserve">Format: </w:t>
      </w:r>
      <w:r>
        <w:rPr>
          <w:sz w:val="20"/>
          <w:szCs w:val="20"/>
        </w:rPr>
        <w:t>This data frame contains the following columns:</w:t>
      </w:r>
    </w:p>
    <w:p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Spacing"/>
        <w:tabs>
          <w:tab w:val="left" w:pos="1418" w:leader="none"/>
          <w:tab w:val="left" w:pos="1560" w:leader="none"/>
        </w:tabs>
        <w:spacing w:lineRule="auto" w:line="276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crim</w:t>
      </w:r>
      <w:r>
        <w:rPr>
          <w:sz w:val="20"/>
          <w:szCs w:val="20"/>
        </w:rPr>
        <w:tab/>
        <w:t>per capita crime rate by suburb.</w:t>
      </w:r>
    </w:p>
    <w:p>
      <w:pPr>
        <w:pStyle w:val="NoSpacing"/>
        <w:tabs>
          <w:tab w:val="left" w:pos="1418" w:leader="none"/>
          <w:tab w:val="left" w:pos="1560" w:leader="none"/>
        </w:tabs>
        <w:spacing w:lineRule="auto" w:line="276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zn</w:t>
      </w:r>
      <w:r>
        <w:rPr>
          <w:sz w:val="20"/>
          <w:szCs w:val="20"/>
        </w:rPr>
        <w:tab/>
        <w:t>proportion of residential land zoned for lots over 25,000 sq.ft.</w:t>
      </w:r>
    </w:p>
    <w:p>
      <w:pPr>
        <w:pStyle w:val="NoSpacing"/>
        <w:tabs>
          <w:tab w:val="left" w:pos="1418" w:leader="none"/>
          <w:tab w:val="left" w:pos="1560" w:leader="none"/>
        </w:tabs>
        <w:spacing w:lineRule="auto" w:line="276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indus</w:t>
      </w:r>
      <w:r>
        <w:rPr>
          <w:sz w:val="20"/>
          <w:szCs w:val="20"/>
        </w:rPr>
        <w:tab/>
        <w:t>proportion of non-retail business acres per suburb.</w:t>
      </w:r>
    </w:p>
    <w:p>
      <w:pPr>
        <w:pStyle w:val="NoSpacing"/>
        <w:tabs>
          <w:tab w:val="left" w:pos="1418" w:leader="none"/>
          <w:tab w:val="left" w:pos="1560" w:leader="none"/>
        </w:tabs>
        <w:spacing w:lineRule="auto" w:line="276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chas</w:t>
      </w:r>
      <w:r>
        <w:rPr>
          <w:sz w:val="20"/>
          <w:szCs w:val="20"/>
        </w:rPr>
        <w:tab/>
        <w:t>Charles River dummy variable (= 1 if suburb bounds river; 0 otherwise).</w:t>
      </w:r>
    </w:p>
    <w:p>
      <w:pPr>
        <w:pStyle w:val="NoSpacing"/>
        <w:tabs>
          <w:tab w:val="left" w:pos="1418" w:leader="none"/>
          <w:tab w:val="left" w:pos="1560" w:leader="none"/>
        </w:tabs>
        <w:spacing w:lineRule="auto" w:line="276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nox</w:t>
      </w:r>
      <w:r>
        <w:rPr>
          <w:sz w:val="20"/>
          <w:szCs w:val="20"/>
        </w:rPr>
        <w:tab/>
        <w:t>nitrogen oxides concentration (parts per 10 million).</w:t>
      </w:r>
    </w:p>
    <w:p>
      <w:pPr>
        <w:pStyle w:val="NoSpacing"/>
        <w:tabs>
          <w:tab w:val="left" w:pos="1418" w:leader="none"/>
          <w:tab w:val="left" w:pos="1560" w:leader="none"/>
        </w:tabs>
        <w:spacing w:lineRule="auto" w:line="276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rm</w:t>
      </w:r>
      <w:r>
        <w:rPr>
          <w:sz w:val="20"/>
          <w:szCs w:val="20"/>
        </w:rPr>
        <w:tab/>
        <w:t>average number of rooms per dwelling.</w:t>
      </w:r>
    </w:p>
    <w:p>
      <w:pPr>
        <w:pStyle w:val="NoSpacing"/>
        <w:tabs>
          <w:tab w:val="left" w:pos="1418" w:leader="none"/>
          <w:tab w:val="left" w:pos="1560" w:leader="none"/>
        </w:tabs>
        <w:spacing w:lineRule="auto" w:line="276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age</w:t>
      </w:r>
      <w:r>
        <w:rPr>
          <w:sz w:val="20"/>
          <w:szCs w:val="20"/>
        </w:rPr>
        <w:tab/>
        <w:t>proportion of owner-occupied units in the suburb built prior to 1940.</w:t>
      </w:r>
    </w:p>
    <w:p>
      <w:pPr>
        <w:pStyle w:val="NoSpacing"/>
        <w:tabs>
          <w:tab w:val="left" w:pos="1418" w:leader="none"/>
          <w:tab w:val="left" w:pos="1560" w:leader="none"/>
        </w:tabs>
        <w:spacing w:lineRule="auto" w:line="276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dis</w:t>
      </w:r>
      <w:r>
        <w:rPr>
          <w:sz w:val="20"/>
          <w:szCs w:val="20"/>
        </w:rPr>
        <w:tab/>
        <w:t>weighted mean of distances to five Boston employment centres.</w:t>
      </w:r>
    </w:p>
    <w:p>
      <w:pPr>
        <w:pStyle w:val="NoSpacing"/>
        <w:tabs>
          <w:tab w:val="left" w:pos="1418" w:leader="none"/>
          <w:tab w:val="left" w:pos="1560" w:leader="none"/>
        </w:tabs>
        <w:spacing w:lineRule="auto" w:line="276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rad</w:t>
      </w:r>
      <w:r>
        <w:rPr>
          <w:sz w:val="20"/>
          <w:szCs w:val="20"/>
        </w:rPr>
        <w:tab/>
        <w:t>index of accessibility to radial highways.</w:t>
      </w:r>
    </w:p>
    <w:p>
      <w:pPr>
        <w:pStyle w:val="NoSpacing"/>
        <w:tabs>
          <w:tab w:val="left" w:pos="1418" w:leader="none"/>
          <w:tab w:val="left" w:pos="1560" w:leader="none"/>
        </w:tabs>
        <w:spacing w:lineRule="auto" w:line="276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tax</w:t>
      </w:r>
      <w:r>
        <w:rPr>
          <w:sz w:val="20"/>
          <w:szCs w:val="20"/>
        </w:rPr>
        <w:tab/>
        <w:t>full-value property-tax rate per $10,000.</w:t>
      </w:r>
    </w:p>
    <w:p>
      <w:pPr>
        <w:pStyle w:val="NoSpacing"/>
        <w:tabs>
          <w:tab w:val="left" w:pos="1418" w:leader="none"/>
          <w:tab w:val="left" w:pos="1560" w:leader="none"/>
        </w:tabs>
        <w:spacing w:lineRule="auto" w:line="276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ptratio</w:t>
      </w:r>
      <w:r>
        <w:rPr>
          <w:sz w:val="20"/>
          <w:szCs w:val="20"/>
        </w:rPr>
        <w:tab/>
        <w:t>pupil-teacher ratio by suburb.</w:t>
      </w:r>
    </w:p>
    <w:p>
      <w:pPr>
        <w:pStyle w:val="NoSpacing"/>
        <w:tabs>
          <w:tab w:val="left" w:pos="1418" w:leader="none"/>
          <w:tab w:val="left" w:pos="1560" w:leader="none"/>
        </w:tabs>
        <w:spacing w:lineRule="auto" w:line="276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black</w:t>
      </w:r>
      <w:r>
        <w:rPr>
          <w:sz w:val="20"/>
          <w:szCs w:val="20"/>
        </w:rPr>
        <w:tab/>
        <w:t xml:space="preserve">uses formula </w:t>
      </w:r>
      <w:r>
        <w:rPr>
          <w:i/>
          <w:iCs/>
          <w:sz w:val="20"/>
          <w:szCs w:val="20"/>
        </w:rPr>
        <w:t>1000(Bk - 0.63)^2</w:t>
      </w:r>
      <w:r>
        <w:rPr>
          <w:sz w:val="20"/>
          <w:szCs w:val="20"/>
        </w:rPr>
        <w:t> where </w:t>
      </w:r>
      <w:r>
        <w:rPr>
          <w:i/>
          <w:iCs/>
          <w:sz w:val="20"/>
          <w:szCs w:val="20"/>
        </w:rPr>
        <w:t>Bk</w:t>
      </w:r>
      <w:r>
        <w:rPr>
          <w:sz w:val="20"/>
          <w:szCs w:val="20"/>
        </w:rPr>
        <w:t> is the proportion of blacks by suburb.</w:t>
      </w:r>
    </w:p>
    <w:p>
      <w:pPr>
        <w:pStyle w:val="NoSpacing"/>
        <w:tabs>
          <w:tab w:val="left" w:pos="1418" w:leader="none"/>
          <w:tab w:val="left" w:pos="1560" w:leader="none"/>
        </w:tabs>
        <w:spacing w:lineRule="auto" w:line="276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lstat</w:t>
      </w:r>
      <w:r>
        <w:rPr>
          <w:sz w:val="20"/>
          <w:szCs w:val="20"/>
        </w:rPr>
        <w:tab/>
        <w:t>lower status of the population (percent).</w:t>
      </w:r>
    </w:p>
    <w:p>
      <w:pPr>
        <w:pStyle w:val="NoSpacing"/>
        <w:tabs>
          <w:tab w:val="left" w:pos="1418" w:leader="none"/>
          <w:tab w:val="left" w:pos="1560" w:leader="none"/>
        </w:tabs>
        <w:spacing w:lineRule="auto" w:line="276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medv</w:t>
      </w:r>
      <w:r>
        <w:rPr>
          <w:sz w:val="20"/>
          <w:szCs w:val="20"/>
        </w:rPr>
        <w:tab/>
        <w:t>median value of owner-occupied homes in $1000s.</w:t>
      </w:r>
    </w:p>
    <w:p>
      <w:pPr>
        <w:pStyle w:val="NoSpacing"/>
        <w:rPr>
          <w:b/>
          <w:b/>
          <w:bCs/>
          <w:color w:val="595959"/>
          <w:sz w:val="27"/>
          <w:szCs w:val="27"/>
        </w:rPr>
      </w:pPr>
      <w:r>
        <w:rPr>
          <w:b/>
          <w:bCs/>
          <w:color w:val="595959"/>
          <w:sz w:val="27"/>
          <w:szCs w:val="27"/>
        </w:rPr>
      </w:r>
    </w:p>
    <w:p>
      <w:pPr>
        <w:pStyle w:val="NoSpacing"/>
        <w:rPr>
          <w:b/>
          <w:b/>
          <w:bCs/>
          <w:color w:val="595959"/>
          <w:sz w:val="27"/>
          <w:szCs w:val="27"/>
        </w:rPr>
      </w:pPr>
      <w:r>
        <w:rPr>
          <w:b/>
          <w:bCs/>
          <w:color w:val="595959"/>
          <w:sz w:val="27"/>
          <w:szCs w:val="27"/>
        </w:rPr>
        <w:t>Source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Harrison, D. and Rubinfeld, D.L. (1978) Hedonic prices and the demand for clean air. </w:t>
      </w:r>
      <w:r>
        <w:rPr>
          <w:i/>
          <w:iCs/>
          <w:sz w:val="20"/>
          <w:szCs w:val="20"/>
        </w:rPr>
        <w:t>J. Environ. Economics and Management</w:t>
      </w:r>
      <w:r>
        <w:rPr>
          <w:sz w:val="20"/>
          <w:szCs w:val="20"/>
        </w:rPr>
        <w:t> </w:t>
      </w:r>
      <w:r>
        <w:rPr>
          <w:b/>
          <w:bCs/>
          <w:sz w:val="20"/>
          <w:szCs w:val="20"/>
        </w:rPr>
        <w:t>5</w:t>
      </w:r>
      <w:r>
        <w:rPr>
          <w:sz w:val="20"/>
          <w:szCs w:val="20"/>
        </w:rPr>
        <w:t>, 81–102.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Belsley D.A., Kuh, E. and Welsch, R.E. (1980) </w:t>
      </w:r>
      <w:r>
        <w:rPr>
          <w:i/>
          <w:iCs/>
          <w:sz w:val="20"/>
          <w:szCs w:val="20"/>
        </w:rPr>
        <w:t>Regression Diagnostics. Identifying Influential Data and Sources of Collinearity.</w:t>
      </w:r>
      <w:r>
        <w:rPr>
          <w:sz w:val="20"/>
          <w:szCs w:val="20"/>
        </w:rPr>
        <w:t> New York: Wiley.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TASK: Predict </w:t>
      </w:r>
      <w:bookmarkStart w:id="0" w:name="_GoBack"/>
      <w:r>
        <w:rPr>
          <w:b/>
          <w:bCs/>
        </w:rPr>
        <w:t>medv</w:t>
      </w:r>
      <w:r>
        <w:rPr/>
        <w:t xml:space="preserve"> </w:t>
      </w:r>
      <w:bookmarkEnd w:id="0"/>
      <w:r>
        <w:rPr/>
        <w:t>using the other variables as predictors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48"/>
          <w:szCs w:val="4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026db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GB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9967a4"/>
    <w:pPr>
      <w:spacing w:beforeAutospacing="1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67a4"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9967a4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967a4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qFormat/>
    <w:rsid w:val="009967a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9967a4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967a4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b026db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9967a4"/>
    <w:pPr>
      <w:spacing w:beforeAutospacing="1" w:afterAutospacing="1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967a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9967a4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GB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LibreOffice/5.1.6.2$Linux_X86_64 LibreOffice_project/10m0$Build-2</Application>
  <Pages>1</Pages>
  <Words>216</Words>
  <Characters>1184</Characters>
  <CharactersWithSpaces>1378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2019-07-07T22:15:00Z</dcterms:created>
  <dc:creator>Lewis, Philip</dc:creator>
  <dc:description/>
  <dc:language>en-US</dc:language>
  <cp:lastModifiedBy/>
  <dcterms:modified xsi:type="dcterms:W3CDTF">2019-07-23T19:53:27Z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