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18"/>
        </w:rPr>
        <w:t>NEXORA INDUSTRIES</w:t>
      </w:r>
    </w:p>
    <w:p>
      <w:pPr>
        <w:pStyle w:val="Title"/>
      </w:pPr>
      <w:r>
        <w:t>Supplier Compliance Documents</w:t>
      </w:r>
    </w:p>
    <w:p>
      <w:r>
        <w:rPr>
          <w:color w:val="505050"/>
          <w:sz w:val="17"/>
        </w:rPr>
        <w:t>Document ID: NX-PUR-008 | Version: 1.2 | Effective date: 1 April 2026 | Status: Current</w:t>
      </w:r>
    </w:p>
    <w:p>
      <w:r>
        <w:rPr>
          <w:color w:val="505050"/>
          <w:sz w:val="17"/>
        </w:rPr>
        <w:t>Owner: Head of Procurement Operations | Classification: Internal</w:t>
      </w:r>
    </w:p>
    <w:p>
      <w:r>
        <w:rPr>
          <w:color w:val="505050"/>
          <w:sz w:val="17"/>
        </w:rPr>
        <w:t>Nexora Industries is a fictional company. This synthetic document was created for a portfolio demonstration and does not describe a real organisation.</w:t>
      </w:r>
    </w:p>
    <w:p>
      <w:pPr>
        <w:pStyle w:val="Heading1"/>
      </w:pPr>
      <w:r>
        <w:t>1. Purpose</w:t>
      </w:r>
    </w:p>
    <w:p>
      <w:r>
        <w:rPr>
          <w:b w:val="0"/>
        </w:rPr>
        <w:t>This procedure ensures that active direct material suppliers keep their compliance documents valid and up to date.</w:t>
      </w:r>
    </w:p>
    <w:p>
      <w:pPr>
        <w:pStyle w:val="Heading1"/>
      </w:pPr>
      <w:r>
        <w:t>2. Required documents</w:t>
      </w:r>
    </w:p>
    <w:p>
      <w:r>
        <w:rPr>
          <w:b w:val="0"/>
        </w:rPr>
        <w:t>Nexora tracks 15 compliance documents for each active direct material supplier:</w:t>
      </w:r>
    </w:p>
    <w:p>
      <w:pPr>
        <w:pStyle w:val="ListNumber"/>
      </w:pPr>
      <w:r>
        <w:rPr>
          <w:b w:val="0"/>
        </w:rPr>
        <w:t>ISO 9001 certificate</w:t>
      </w:r>
    </w:p>
    <w:p>
      <w:pPr>
        <w:pStyle w:val="ListNumber"/>
      </w:pPr>
      <w:r>
        <w:rPr>
          <w:b w:val="0"/>
        </w:rPr>
        <w:t>IATF 16949 certificate (automotive production parts)</w:t>
      </w:r>
    </w:p>
    <w:p>
      <w:pPr>
        <w:pStyle w:val="ListNumber"/>
      </w:pPr>
      <w:r>
        <w:rPr>
          <w:b w:val="0"/>
        </w:rPr>
        <w:t>ISO 14001 certificate (when held)</w:t>
      </w:r>
    </w:p>
    <w:p>
      <w:pPr>
        <w:pStyle w:val="ListNumber"/>
      </w:pPr>
      <w:r>
        <w:rPr>
          <w:b w:val="0"/>
        </w:rPr>
        <w:t>General liability insurance certificate</w:t>
      </w:r>
    </w:p>
    <w:p>
      <w:pPr>
        <w:pStyle w:val="ListNumber"/>
      </w:pPr>
      <w:r>
        <w:rPr>
          <w:b w:val="0"/>
        </w:rPr>
        <w:t>Signed Supplier Code of Conduct acknowledgement</w:t>
      </w:r>
    </w:p>
    <w:p>
      <w:pPr>
        <w:pStyle w:val="ListNumber"/>
      </w:pPr>
      <w:r>
        <w:rPr>
          <w:b w:val="0"/>
        </w:rPr>
        <w:t>Responsible minerals reporting (CMRT, and EMRT for parts containing cobalt)</w:t>
      </w:r>
    </w:p>
    <w:p>
      <w:pPr>
        <w:pStyle w:val="ListNumber"/>
      </w:pPr>
      <w:r>
        <w:rPr>
          <w:b w:val="0"/>
        </w:rPr>
        <w:t>REACH declaration</w:t>
      </w:r>
    </w:p>
    <w:p>
      <w:pPr>
        <w:pStyle w:val="ListNumber"/>
      </w:pPr>
      <w:r>
        <w:rPr>
          <w:b w:val="0"/>
        </w:rPr>
        <w:t>RoHS declaration</w:t>
      </w:r>
    </w:p>
    <w:p>
      <w:pPr>
        <w:pStyle w:val="ListNumber"/>
      </w:pPr>
      <w:r>
        <w:rPr>
          <w:b w:val="0"/>
        </w:rPr>
        <w:t>Quality assurance agreement</w:t>
      </w:r>
    </w:p>
    <w:p>
      <w:pPr>
        <w:pStyle w:val="ListNumber"/>
      </w:pPr>
      <w:r>
        <w:rPr>
          <w:b w:val="0"/>
        </w:rPr>
        <w:t>Logistics agreement</w:t>
      </w:r>
    </w:p>
    <w:p>
      <w:pPr>
        <w:pStyle w:val="ListNumber"/>
      </w:pPr>
      <w:r>
        <w:rPr>
          <w:b w:val="0"/>
        </w:rPr>
        <w:t>Non-disclosure agreement</w:t>
      </w:r>
    </w:p>
    <w:p>
      <w:pPr>
        <w:pStyle w:val="ListNumber"/>
      </w:pPr>
      <w:r>
        <w:rPr>
          <w:b w:val="0"/>
        </w:rPr>
        <w:t>Latest annual financial statements</w:t>
      </w:r>
    </w:p>
    <w:p>
      <w:pPr>
        <w:pStyle w:val="ListNumber"/>
      </w:pPr>
      <w:r>
        <w:rPr>
          <w:b w:val="0"/>
        </w:rPr>
        <w:t>Business continuity plan</w:t>
      </w:r>
    </w:p>
    <w:p>
      <w:pPr>
        <w:pStyle w:val="ListNumber"/>
      </w:pPr>
      <w:r>
        <w:rPr>
          <w:b w:val="0"/>
        </w:rPr>
        <w:t>Information security questionnaire</w:t>
      </w:r>
    </w:p>
    <w:p>
      <w:pPr>
        <w:pStyle w:val="ListNumber"/>
      </w:pPr>
      <w:r>
        <w:rPr>
          <w:b w:val="0"/>
        </w:rPr>
        <w:t>Bank details confirmation letter</w:t>
      </w:r>
    </w:p>
    <w:p>
      <w:r>
        <w:rPr>
          <w:b w:val="0"/>
        </w:rPr>
        <w:t>When a document does not apply, for example IATF 16949 for a supplier that does not deliver automotive parts, it is marked "not applicable" and excluded from the compliance rate.</w:t>
      </w:r>
    </w:p>
    <w:p>
      <w:pPr>
        <w:pStyle w:val="Heading1"/>
      </w:pPr>
      <w:r>
        <w:t>3. Expiry alerts</w:t>
      </w:r>
    </w:p>
    <w:p>
      <w:r>
        <w:rPr>
          <w:b w:val="0"/>
        </w:rPr>
        <w:t>The compliance tool sends automatic reminders to the supplier and to the responsible buyer 90, 60 and 30 days before a document expires.</w:t>
      </w:r>
    </w:p>
    <w:p>
      <w:pPr>
        <w:pStyle w:val="Heading1"/>
      </w:pPr>
      <w:r>
        <w:t>4. Expired mandatory documents</w:t>
      </w:r>
    </w:p>
    <w:p>
      <w:r>
        <w:rPr>
          <w:b w:val="0"/>
        </w:rPr>
        <w:t>Three documents are mandatory: the ISO 9001 certificate, the insurance certificate and the Code of Conduct acknowledgement. When a mandatory document expires, the supplier's status becomes "conditional". If the document is not renewed within 30 days after its expiry, new purchase orders are blocked, while existing orders continue. Only the CPO can grant a temporary waiver, for a maximum of 90 days.</w:t>
      </w:r>
    </w:p>
    <w:p>
      <w:pPr>
        <w:pStyle w:val="Heading1"/>
      </w:pPr>
      <w:r>
        <w:t>5. Compliance rate</w:t>
      </w:r>
    </w:p>
    <w:p>
      <w:r>
        <w:rPr>
          <w:b w:val="0"/>
        </w:rPr>
        <w:t>The document compliance rate is the number of valid documents divided by the number of applicable required documents, calculated per supplier and overall. The target is at least 98%. It is reported every month, both by number of suppliers and by the share of spend covered.</w:t>
      </w:r>
    </w:p>
    <w:p>
      <w:pPr>
        <w:pStyle w:val="Heading1"/>
      </w:pPr>
      <w:r>
        <w:t>6. Responsibilities</w:t>
      </w:r>
    </w:p>
    <w:p>
      <w:r>
        <w:rPr>
          <w:b w:val="0"/>
        </w:rPr>
        <w:t>Buyers follow up with their suppliers to obtain missing or expiring documents. Procurement Operations validates the documents and maintains the compliance tool, and Supplier Quality validates the quality certificates.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Nexora Industries | NX-PUR-008 v1.2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Nexora Industries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Supplier Compliance Documents</dc:title>
  <dc:subject/>
  <dc:creator>Nexora Industries</dc:creator>
  <cp:keywords/>
  <dc:description>generated by python-docx</dc:description>
  <cp:lastModifiedBy>Nexora Industries</cp:lastModifiedBy>
  <cp:revision>1</cp:revision>
  <dcterms:created xsi:type="dcterms:W3CDTF">2026-10-01T09:00:00Z</dcterms:created>
  <dcterms:modified xsi:type="dcterms:W3CDTF">2026-10-01T09:00:00Z</dcterms:modified>
  <cp:category/>
</cp:coreProperties>
</file>