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THIERRY AMIOT</w:t>
      </w:r>
    </w:p>
    <w:p>
      <w:pPr>
        <w:jc w:val="center"/>
      </w:pPr>
      <w:r>
        <w:rPr>
          <w:color w:val="404040"/>
          <w:sz w:val="22"/>
        </w:rPr>
        <w:t>Experto en Tecnología de Pagos | Especialista en 3DS y Prevención de Fraude</w:t>
      </w:r>
    </w:p>
    <w:p>
      <w:pPr>
        <w:jc w:val="center"/>
      </w:pPr>
      <w:r>
        <w:rPr>
          <w:sz w:val="20"/>
        </w:rPr>
        <w:t>Londres, Reino Unido | +44 7856 781158 | thierry1981@protonmail.com | linkedin.com/in/thierry-amiot-b92a7437</w:t>
      </w:r>
    </w:p>
    <w:p/>
    <w:p>
      <w:pPr>
        <w:pBdr>
          <w:bottom w:val="single" w:sz="12" w:space="1" w:color="000000"/>
        </w:pBdr>
      </w:pPr>
      <w:r>
        <w:rPr>
          <w:b/>
          <w:color w:val="003366"/>
          <w:sz w:val="24"/>
        </w:rPr>
        <w:t>RESUMEN PROFESIONAL</w:t>
      </w:r>
    </w:p>
    <w:p>
      <w:pPr>
        <w:spacing w:after="240"/>
      </w:pPr>
      <w:r>
        <w:t>Experto en tecnología de pagos con más de 13 años de experiencia en el diseño e implementación de soluciones complejas de pago con tarjeta a nivel internacional en Europa. Trayectoria consolidada en onboarding de clientes, implementación de 3DS, integración de adquirentes y gestión de relaciones estratégicas con instituciones financieras Tier 1.</w:t>
        <w:br/>
        <w:br/>
        <w:t>Combina un profundo conocimiento técnico en sistemas de pago (ISO 8583, EMV, PCI DSS) con fuerte liderazgo de proyectos y habilidades de comunicación multilingüe (inglés, francés, español, portugués). Recientemente completó una investigación de Máster sobre la adopción de blockchain en pagos digitales.</w:t>
      </w:r>
    </w:p>
    <w:p>
      <w:pPr>
        <w:pBdr>
          <w:bottom w:val="single" w:sz="12" w:space="1" w:color="000000"/>
        </w:pBdr>
      </w:pPr>
      <w:r>
        <w:rPr>
          <w:b/>
          <w:color w:val="003366"/>
          <w:sz w:val="24"/>
        </w:rPr>
        <w:t>COMPETENCIAS CLAVE</w:t>
      </w:r>
    </w:p>
    <w:p>
      <w:pPr>
        <w:pStyle w:val="ListBullet"/>
        <w:spacing w:after="120"/>
      </w:pPr>
      <w:r>
        <w:rPr>
          <w:b/>
        </w:rPr>
        <w:t xml:space="preserve">Sistemas y Normas de Pago: </w:t>
      </w:r>
      <w:r>
        <w:t>ISO 8583, EMV, NFC, PCI DSS, Visa Base I/II, Tokenización, Apple Pay</w:t>
      </w:r>
    </w:p>
    <w:p>
      <w:pPr>
        <w:pStyle w:val="ListBullet"/>
        <w:spacing w:after="120"/>
      </w:pPr>
      <w:r>
        <w:rPr>
          <w:b/>
        </w:rPr>
        <w:t xml:space="preserve">3DS y Prevención de Fraude: </w:t>
      </w:r>
      <w:r>
        <w:t>Implementación de 3DS 2.0, soluciones ACS, gestión de riesgos, protocolos avanzados antifraude</w:t>
      </w:r>
    </w:p>
    <w:p>
      <w:pPr>
        <w:pStyle w:val="ListBullet"/>
        <w:spacing w:after="120"/>
      </w:pPr>
      <w:r>
        <w:rPr>
          <w:b/>
        </w:rPr>
        <w:t xml:space="preserve">Gestión de Proyectos y Stakeholders: </w:t>
      </w:r>
      <w:r>
        <w:t>Onboarding de clientes, coordinación transversal, metodologías Agile, liderazgo de equipos</w:t>
      </w:r>
    </w:p>
    <w:p>
      <w:pPr>
        <w:pStyle w:val="ListBullet"/>
        <w:spacing w:after="120"/>
      </w:pPr>
      <w:r>
        <w:rPr>
          <w:b/>
        </w:rPr>
        <w:t xml:space="preserve">Habilidades Técnicas: </w:t>
      </w:r>
      <w:r>
        <w:t>Python (pipelines de datos), HTML/CSS/JavaScript, SQL, GitHub Actions, Generación de sitios estáticos</w:t>
      </w:r>
    </w:p>
    <w:p>
      <w:pPr>
        <w:pStyle w:val="ListBullet"/>
        <w:spacing w:after="120"/>
      </w:pPr>
      <w:r>
        <w:rPr>
          <w:b/>
        </w:rPr>
        <w:t xml:space="preserve">Regulación y Cumplimiento: </w:t>
      </w:r>
      <w:r>
        <w:t>PSD2, GDPR, Reglamento de Tasas de Intercambio, estándares PCI</w:t>
      </w:r>
    </w:p>
    <w:p>
      <w:pPr>
        <w:pStyle w:val="ListBullet"/>
        <w:spacing w:after="120"/>
      </w:pPr>
      <w:r>
        <w:rPr>
          <w:b/>
        </w:rPr>
        <w:t xml:space="preserve">Idiomas: </w:t>
      </w:r>
      <w:r>
        <w:t>Francés y Portugués (nativos), Inglés y Español (fluidez profesional)</w:t>
      </w:r>
    </w:p>
    <w:p/>
    <w:p>
      <w:pPr>
        <w:pBdr>
          <w:bottom w:val="single" w:sz="12" w:space="1" w:color="000000"/>
        </w:pBdr>
      </w:pPr>
      <w:r>
        <w:rPr>
          <w:b/>
          <w:color w:val="003366"/>
          <w:sz w:val="24"/>
        </w:rPr>
        <w:t>EXPERIENCIA PROFESIONAL</w:t>
      </w:r>
    </w:p>
    <w:p>
      <w:pPr>
        <w:spacing w:after="120"/>
      </w:pPr>
      <w:r>
        <w:rPr>
          <w:b/>
          <w:sz w:val="22"/>
        </w:rPr>
        <w:t>Gerente de Éxito del Cliente (CSM)</w:t>
      </w:r>
      <w:r>
        <w:br/>
        <w:t>Outseer (RSA Security), Londres — Noviembre 2021 – Actualidad</w:t>
      </w:r>
    </w:p>
    <w:p>
      <w:pPr>
        <w:pStyle w:val="ListBullet"/>
        <w:spacing w:after="80"/>
      </w:pPr>
      <w:r>
        <w:t>Gestión de relaciones estratégicas con clientes Tier 1 en EMEA, aportando orientación técnica en prevención de fraude 3DS y soluciones Access Control Server (ACS)</w:t>
      </w:r>
    </w:p>
    <w:p>
      <w:pPr>
        <w:pStyle w:val="ListBullet"/>
        <w:spacing w:after="80"/>
      </w:pPr>
      <w:r>
        <w:t>Liderazgo de integraciones API complejas e implementaciones 3DS 2.0 para grandes emisores de pagos en EMEA</w:t>
      </w:r>
    </w:p>
    <w:p>
      <w:pPr>
        <w:pStyle w:val="ListBullet"/>
        <w:spacing w:after="80"/>
      </w:pPr>
      <w:r>
        <w:t>Coordinación de equipos transversales (seguridad, cumplimiento, desarrollo, IT) en proyectos avanzados de prevención de fraude</w:t>
      </w:r>
    </w:p>
    <w:p>
      <w:pPr>
        <w:pStyle w:val="ListBullet"/>
        <w:spacing w:after="80"/>
      </w:pPr>
      <w:r>
        <w:t>Capacitación de clientes, redacción de documentación técnica y mantenimiento de altos niveles de satisfacción mediante encuestas trimestrales</w:t>
      </w:r>
    </w:p>
    <w:p/>
    <w:p>
      <w:pPr>
        <w:spacing w:after="120"/>
      </w:pPr>
      <w:r>
        <w:rPr>
          <w:b/>
          <w:sz w:val="22"/>
        </w:rPr>
        <w:t>Gerente de Proyecto</w:t>
      </w:r>
      <w:r>
        <w:br/>
        <w:t>Diners Club / Discover Financial Services, Londres — Mayo 2017 – Noviembre 2021</w:t>
      </w:r>
    </w:p>
    <w:p>
      <w:pPr>
        <w:pStyle w:val="ListBullet"/>
        <w:spacing w:after="80"/>
      </w:pPr>
      <w:r>
        <w:t>Liderazgo de la integración operativa de adquirentes Tier 1 en múltiples mercados europeos. Gestión de relaciones estratégicas con los principales esquemas de pago</w:t>
      </w:r>
    </w:p>
    <w:p>
      <w:pPr>
        <w:pStyle w:val="ListBullet"/>
        <w:spacing w:after="80"/>
      </w:pPr>
      <w:r>
        <w:t>[Comunicado NASDAQ] Liderazgo de la asociación estratégica Crédit Mutuel Arkéa &amp; Discover Global Network (2019)</w:t>
      </w:r>
    </w:p>
    <w:p>
      <w:pPr>
        <w:pStyle w:val="ListBullet"/>
        <w:spacing w:after="80"/>
      </w:pPr>
      <w:r>
        <w:t>[Cobertura Business Wire] Activación de la aceptación de tarjetas Discover para comerciantes de La Banque Postale (2019)</w:t>
      </w:r>
    </w:p>
    <w:p>
      <w:pPr>
        <w:pStyle w:val="ListBullet"/>
        <w:spacing w:after="80"/>
      </w:pPr>
      <w:r>
        <w:t>Liderazgo de la integración operativa de 4 adquirentes Tier 1 (3 en Francia, 1 en España) con implementación exitosa de 3DS 2.0</w:t>
      </w:r>
    </w:p>
    <w:p>
      <w:pPr>
        <w:pStyle w:val="ListBullet"/>
        <w:spacing w:after="80"/>
      </w:pPr>
      <w:r>
        <w:t>Gestión de programas de Calidad de Aceptación, resolución de incidentes transaccionales y garantía de cumplimiento regulatorio</w:t>
      </w:r>
    </w:p>
    <w:p/>
    <w:p>
      <w:pPr>
        <w:spacing w:after="120"/>
      </w:pPr>
      <w:r>
        <w:rPr>
          <w:b/>
          <w:sz w:val="22"/>
        </w:rPr>
        <w:t>Technical Account Manager – Business Support Operations</w:t>
      </w:r>
      <w:r>
        <w:br/>
        <w:t>Visa Inc., Londres — Agosto 2013 – Abril 2017</w:t>
      </w:r>
    </w:p>
    <w:p>
      <w:pPr>
        <w:pStyle w:val="ListBullet"/>
        <w:spacing w:after="80"/>
      </w:pPr>
      <w:r>
        <w:t>Soporte técnico de alto nivel para grandes instituciones financieras. Experto de referencia en Tokenización (VTS), Billeteras Digitales y servicios Payment Stop</w:t>
      </w:r>
    </w:p>
    <w:p/>
    <w:p>
      <w:pPr>
        <w:pBdr>
          <w:bottom w:val="single" w:sz="12" w:space="1" w:color="000000"/>
        </w:pBdr>
      </w:pPr>
      <w:r>
        <w:rPr>
          <w:b/>
          <w:color w:val="003366"/>
          <w:sz w:val="24"/>
        </w:rPr>
        <w:t>FORMACIÓN</w:t>
      </w:r>
    </w:p>
    <w:p>
      <w:pPr>
        <w:spacing w:after="160"/>
      </w:pPr>
      <w:r>
        <w:rPr>
          <w:b/>
        </w:rPr>
        <w:t>Máster en Gestión Internacional</w:t>
      </w:r>
      <w:r>
        <w:br/>
        <w:t>Birkbeck, Universidad de Londres (2016–2018)</w:t>
        <w:br/>
      </w:r>
      <w:r>
        <w:t>Tesis: « Blockchain: Difusión de la Innovación en Pagos Digitales »</w:t>
      </w:r>
    </w:p>
    <w:p>
      <w:pPr>
        <w:spacing w:after="160"/>
      </w:pPr>
      <w:r>
        <w:rPr>
          <w:b/>
        </w:rPr>
        <w:t>Licenciatura en Gestión</w:t>
      </w:r>
      <w:r>
        <w:br/>
        <w:t>Instituto Politécnico de Tomar, Portugal (2007–2010)</w:t>
      </w:r>
    </w:p>
    <w:p>
      <w:pPr>
        <w:spacing w:after="160"/>
      </w:pPr>
      <w:r>
        <w:rPr>
          <w:b/>
        </w:rPr>
        <w:t>Licenciatura en Lenguas y Literatura</w:t>
      </w:r>
      <w:r>
        <w:br/>
        <w:t>Universidad de Lisboa, Portugal (2005–2007)</w:t>
      </w:r>
    </w:p>
    <w:p>
      <w:r>
        <w:rPr>
          <w:b/>
        </w:rPr>
        <w:t>Intercambio ERASMUS</w:t>
      </w:r>
      <w:r>
        <w:br/>
        <w:t>Mechelen University College, Bélgica (2008–2009)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