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THIERRY AMIOT</w:t>
      </w:r>
    </w:p>
    <w:p>
      <w:pPr>
        <w:jc w:val="center"/>
      </w:pPr>
      <w:r>
        <w:rPr>
          <w:color w:val="404040"/>
          <w:sz w:val="22"/>
        </w:rPr>
        <w:t>Especialista em Tecnologias de Pagamento | Especialista em 3DS e Prevenção de Fraude</w:t>
      </w:r>
    </w:p>
    <w:p>
      <w:pPr>
        <w:jc w:val="center"/>
      </w:pPr>
      <w:r>
        <w:rPr>
          <w:sz w:val="20"/>
        </w:rPr>
        <w:t>Londres, Reino Unido | +44 7856 781158 | thierry1981@protonmail.com | linkedin.com/in/thierry-amiot-b92a7437</w:t>
      </w:r>
    </w:p>
    <w:p/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RESUMO PROFISSIONAL</w:t>
      </w:r>
    </w:p>
    <w:p>
      <w:pPr>
        <w:spacing w:after="240"/>
      </w:pPr>
      <w:r>
        <w:t>Especialista em tecnologias de pagamento com mais de 13 anos de experiência no desenvolvimento e implementação de soluções complexas de pagamento com cartão a nível internacional na Europa. Percurso comprovado em integração de clientes, implementação de 3DS, integração de adquirentes e gestão de relações estratégicas com instituições financeiras de primeiro nível.</w:t>
        <w:br/>
        <w:br/>
        <w:t>Combina uma sólida expertise técnica em sistemas de pagamento (ISO 8583, EMV, PCI DSS) com forte liderança de projectos e competências de comunicação multilingue (francês, inglês, espanhol, português). Recentemente concluiu uma investigação de Mestrado sobre a adopção da blockchain nos pagamentos digitais.</w:t>
      </w:r>
    </w:p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COMPETÊNCIAS PRINCIPAIS</w:t>
      </w:r>
    </w:p>
    <w:p>
      <w:pPr>
        <w:pStyle w:val="ListBullet"/>
        <w:spacing w:after="120"/>
      </w:pPr>
      <w:r>
        <w:rPr>
          <w:b/>
        </w:rPr>
        <w:t xml:space="preserve">Sistemas e Normas de Pagamento: </w:t>
      </w:r>
      <w:r>
        <w:t>ISO 8583, EMV, NFC, PCI DSS, Visa Base I/II, Tokenização, Apple Pay</w:t>
      </w:r>
    </w:p>
    <w:p>
      <w:pPr>
        <w:pStyle w:val="ListBullet"/>
        <w:spacing w:after="120"/>
      </w:pPr>
      <w:r>
        <w:rPr>
          <w:b/>
        </w:rPr>
        <w:t xml:space="preserve">3DS e Prevenção de Fraude: </w:t>
      </w:r>
      <w:r>
        <w:t>Implementação de 3DS 2.0, soluções ACS, gestão de riscos, protocolos avançados de prevenção de fraude</w:t>
      </w:r>
    </w:p>
    <w:p>
      <w:pPr>
        <w:pStyle w:val="ListBullet"/>
        <w:spacing w:after="120"/>
      </w:pPr>
      <w:r>
        <w:rPr>
          <w:b/>
        </w:rPr>
        <w:t xml:space="preserve">Gestão de Projectos e Partes Interessadas: </w:t>
      </w:r>
      <w:r>
        <w:t>Integração de clientes, coordenação transversal, metodologias Agile, liderança de equipas</w:t>
      </w:r>
    </w:p>
    <w:p>
      <w:pPr>
        <w:pStyle w:val="ListBullet"/>
        <w:spacing w:after="120"/>
      </w:pPr>
      <w:r>
        <w:rPr>
          <w:b/>
        </w:rPr>
        <w:t xml:space="preserve">Competências Técnicas: </w:t>
      </w:r>
      <w:r>
        <w:t>Python (pipelines de dados), HTML/CSS/JavaScript, SQL, GitHub Actions, Geração de sites estáticos</w:t>
      </w:r>
    </w:p>
    <w:p>
      <w:pPr>
        <w:pStyle w:val="ListBullet"/>
        <w:spacing w:after="120"/>
      </w:pPr>
      <w:r>
        <w:rPr>
          <w:b/>
        </w:rPr>
        <w:t xml:space="preserve">Regulamentação e Conformidade: </w:t>
      </w:r>
      <w:r>
        <w:t>PSD2, GDPR, Regulamento das Taxas de Intercâmbio, normas PCI</w:t>
      </w:r>
    </w:p>
    <w:p>
      <w:pPr>
        <w:pStyle w:val="ListBullet"/>
        <w:spacing w:after="120"/>
      </w:pPr>
      <w:r>
        <w:rPr>
          <w:b/>
        </w:rPr>
        <w:t xml:space="preserve">Línguas: </w:t>
      </w:r>
      <w:r>
        <w:t>Francês e Português (maternas), Inglês e Espanhol (fluência profissional)</w:t>
      </w:r>
    </w:p>
    <w:p/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EXPERIÊNCIA PROFISSIONAL</w:t>
      </w:r>
    </w:p>
    <w:p>
      <w:pPr>
        <w:spacing w:after="120"/>
      </w:pPr>
      <w:r>
        <w:rPr>
          <w:b/>
          <w:sz w:val="22"/>
        </w:rPr>
        <w:t>Gestor de Sucesso do Cliente (CSM)</w:t>
      </w:r>
      <w:r>
        <w:br/>
        <w:t>Outseer (RSA Security), Londres — Novembro 2021 – Presente</w:t>
      </w:r>
    </w:p>
    <w:p>
      <w:pPr>
        <w:pStyle w:val="ListBullet"/>
        <w:spacing w:after="80"/>
      </w:pPr>
      <w:r>
        <w:t>Gestão de relações estratégicas com clientes Tier 1 em EMEA, fornecendo orientação técnica em prevenção de fraude 3DS e soluções Access Control Server (ACS)</w:t>
      </w:r>
    </w:p>
    <w:p>
      <w:pPr>
        <w:pStyle w:val="ListBullet"/>
        <w:spacing w:after="80"/>
      </w:pPr>
      <w:r>
        <w:t>Liderança de integrações API complexas e implementações 3DS 2.0 para grandes emissores de pagamento em EMEA</w:t>
      </w:r>
    </w:p>
    <w:p>
      <w:pPr>
        <w:pStyle w:val="ListBullet"/>
        <w:spacing w:after="80"/>
      </w:pPr>
      <w:r>
        <w:t>Coordenação de equipas transversais (segurança, conformidade, desenvolvimento, IT) em projectos avançados de prevenção de fraude</w:t>
      </w:r>
    </w:p>
    <w:p>
      <w:pPr>
        <w:pStyle w:val="ListBullet"/>
        <w:spacing w:after="80"/>
      </w:pPr>
      <w:r>
        <w:t>Formação de clientes, redacção de documentação técnica e manutenção de elevados níveis de satisfação através de inquéritos trimestrais</w:t>
      </w:r>
    </w:p>
    <w:p/>
    <w:p>
      <w:pPr>
        <w:spacing w:after="120"/>
      </w:pPr>
      <w:r>
        <w:rPr>
          <w:b/>
          <w:sz w:val="22"/>
        </w:rPr>
        <w:t>Gestor de Projecto</w:t>
      </w:r>
      <w:r>
        <w:br/>
        <w:t>Diners Club / Discover Financial Services, Londres — Maio 2017 – Novembro 2021</w:t>
      </w:r>
    </w:p>
    <w:p>
      <w:pPr>
        <w:pStyle w:val="ListBullet"/>
        <w:spacing w:after="80"/>
      </w:pPr>
      <w:r>
        <w:t>Liderança da integração operacional de adquirentes Tier 1 em múltiplos mercados europeus. Gestão de relações estratégicas com os principais esquemas de pagamento</w:t>
      </w:r>
    </w:p>
    <w:p>
      <w:pPr>
        <w:pStyle w:val="ListBullet"/>
        <w:spacing w:after="80"/>
      </w:pPr>
      <w:r>
        <w:t>[Comunicado NASDAQ] Liderança da parceria estratégica Crédit Mutuel Arkéa &amp; Discover Global Network (2019)</w:t>
      </w:r>
    </w:p>
    <w:p>
      <w:pPr>
        <w:pStyle w:val="ListBullet"/>
        <w:spacing w:after="80"/>
      </w:pPr>
      <w:r>
        <w:t>[Cobertura Business Wire] Activação da aceitação de cartões Discover para comerciantes da La Banque Postale (2019)</w:t>
      </w:r>
    </w:p>
    <w:p>
      <w:pPr>
        <w:pStyle w:val="ListBullet"/>
        <w:spacing w:after="80"/>
      </w:pPr>
      <w:r>
        <w:t>Liderança da integração operacional de 4 adquirentes Tier 1 (3 em França, 1 em Espanha) com implementação bem-sucedida de 3DS 2.0</w:t>
      </w:r>
    </w:p>
    <w:p>
      <w:pPr>
        <w:pStyle w:val="ListBullet"/>
        <w:spacing w:after="80"/>
      </w:pPr>
      <w:r>
        <w:t>Gestão de programas de Qualidade de Aceitação, resolução de incidentes transaccionais e garantia de conformidade regulatória</w:t>
      </w:r>
    </w:p>
    <w:p/>
    <w:p>
      <w:pPr>
        <w:spacing w:after="120"/>
      </w:pPr>
      <w:r>
        <w:rPr>
          <w:b/>
          <w:sz w:val="22"/>
        </w:rPr>
        <w:t>Technical Account Manager – Business Support Operations</w:t>
      </w:r>
      <w:r>
        <w:br/>
        <w:t>Visa Inc., Londres — Agosto 2013 – Abril 2017</w:t>
      </w:r>
    </w:p>
    <w:p>
      <w:pPr>
        <w:pStyle w:val="ListBullet"/>
        <w:spacing w:after="80"/>
      </w:pPr>
      <w:r>
        <w:t>Suporte técnico de elevado nível para grandes instituições financeiras. Especialista de referência para Tokenização (VTS), Carteiras Digitais e serviços Payment Stop</w:t>
      </w:r>
    </w:p>
    <w:p/>
    <w:p>
      <w:pPr>
        <w:pBdr>
          <w:bottom w:val="single" w:sz="12" w:space="1" w:color="000000"/>
        </w:pBdr>
      </w:pPr>
      <w:r>
        <w:rPr>
          <w:b/>
          <w:color w:val="003366"/>
          <w:sz w:val="24"/>
        </w:rPr>
        <w:t>FORMAÇÃO</w:t>
      </w:r>
    </w:p>
    <w:p>
      <w:pPr>
        <w:spacing w:after="160"/>
      </w:pPr>
      <w:r>
        <w:rPr>
          <w:b/>
        </w:rPr>
        <w:t>Mestrado em Gestão Internacional</w:t>
      </w:r>
      <w:r>
        <w:br/>
        <w:t>Birkbeck, Universidade de Londres (2016–2018)</w:t>
        <w:br/>
      </w:r>
      <w:r>
        <w:t>Dissertação: « Blockchain: Difusão de Inovação em Pagamentos Digitais »</w:t>
      </w:r>
    </w:p>
    <w:p>
      <w:pPr>
        <w:spacing w:after="160"/>
      </w:pPr>
      <w:r>
        <w:rPr>
          <w:b/>
        </w:rPr>
        <w:t>Licenciatura em Gestão</w:t>
      </w:r>
      <w:r>
        <w:br/>
        <w:t>Instituto Politécnico de Tomar, Portugal (2007–2010)</w:t>
      </w:r>
    </w:p>
    <w:p>
      <w:pPr>
        <w:spacing w:after="160"/>
      </w:pPr>
      <w:r>
        <w:rPr>
          <w:b/>
        </w:rPr>
        <w:t>Licenciatura em Línguas e Literatura</w:t>
      </w:r>
      <w:r>
        <w:br/>
        <w:t>Universidade de Lisboa, Portugal (2005–2007)</w:t>
      </w:r>
    </w:p>
    <w:p>
      <w:r>
        <w:rPr>
          <w:b/>
        </w:rPr>
        <w:t>Intercâmbio ERASMUS</w:t>
      </w:r>
      <w:r>
        <w:br/>
        <w:t>Mechelen University College, Bélgica (2008–2009)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