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366"/>
          <w:sz w:val="48"/>
        </w:rPr>
        <w:t>THIERRY AMIOT</w:t>
      </w:r>
    </w:p>
    <w:p>
      <w:pPr>
        <w:jc w:val="center"/>
      </w:pPr>
      <w:r>
        <w:rPr>
          <w:color w:val="404040"/>
          <w:sz w:val="22"/>
        </w:rPr>
        <w:t>Payment Technology Expert | 3DS Specialist &amp; Fraud Prevention</w:t>
      </w:r>
    </w:p>
    <w:p>
      <w:pPr>
        <w:jc w:val="center"/>
      </w:pPr>
      <w:r>
        <w:rPr>
          <w:sz w:val="20"/>
        </w:rPr>
        <w:t>London, United Kingdom | +44 7856 781158 | thierry1981@protonmail.com | linkedin.com/in/thierry-amiot-b92a7437</w:t>
      </w:r>
    </w:p>
    <w:p/>
    <w:p>
      <w:pPr>
        <w:pBdr>
          <w:bottom w:val="single" w:sz="12" w:space="1" w:color="000000"/>
        </w:pBdr>
      </w:pPr>
      <w:r>
        <w:rPr>
          <w:b/>
          <w:color w:val="003366"/>
          <w:sz w:val="24"/>
        </w:rPr>
        <w:t>PROFESSIONAL SUMMARY</w:t>
      </w:r>
    </w:p>
    <w:p>
      <w:pPr>
        <w:spacing w:after="240"/>
      </w:pPr>
      <w:r>
        <w:t>Payment technology expert with 13+ years of experience designing and implementing complex card payment solutions at the international level across Europe. Proven track record in client onboarding, 3DS implementation, acquirer integration, and managing strategic relationships with Tier 1 financial institutions.</w:t>
        <w:br/>
        <w:br/>
        <w:t>Combines deep technical expertise in payment systems (ISO 8583, EMV, PCI DSS) with strong project leadership and multilingual communication skills (French, English, Spanish, Portuguese). Recently completed Master's research on blockchain adoption in digital payments.</w:t>
      </w:r>
    </w:p>
    <w:p>
      <w:pPr>
        <w:pBdr>
          <w:bottom w:val="single" w:sz="12" w:space="1" w:color="000000"/>
        </w:pBdr>
      </w:pPr>
      <w:r>
        <w:rPr>
          <w:b/>
          <w:color w:val="003366"/>
          <w:sz w:val="24"/>
        </w:rPr>
        <w:t>KEY COMPETENCIES</w:t>
      </w:r>
    </w:p>
    <w:p>
      <w:pPr>
        <w:pStyle w:val="ListBullet"/>
        <w:spacing w:after="120"/>
      </w:pPr>
      <w:r>
        <w:rPr>
          <w:b/>
        </w:rPr>
        <w:t xml:space="preserve">Payment Systems &amp; Standards: </w:t>
      </w:r>
      <w:r>
        <w:t>ISO 8583, EMV, NFC, PCI DSS, Visa Base I/II, Tokenization, Apple Pay</w:t>
      </w:r>
    </w:p>
    <w:p>
      <w:pPr>
        <w:pStyle w:val="ListBullet"/>
        <w:spacing w:after="120"/>
      </w:pPr>
      <w:r>
        <w:rPr>
          <w:b/>
        </w:rPr>
        <w:t xml:space="preserve">3DS &amp; Fraud Prevention: </w:t>
      </w:r>
      <w:r>
        <w:t>3DS 2.0 implementation, ACS solutions, risk management, advanced anti-fraud protocols</w:t>
      </w:r>
    </w:p>
    <w:p>
      <w:pPr>
        <w:pStyle w:val="ListBullet"/>
        <w:spacing w:after="120"/>
      </w:pPr>
      <w:r>
        <w:rPr>
          <w:b/>
        </w:rPr>
        <w:t xml:space="preserve">Project &amp; Stakeholder Management: </w:t>
      </w:r>
      <w:r>
        <w:t>Client onboarding, cross-functional coordination, Agile methodologies, team leadership</w:t>
      </w:r>
    </w:p>
    <w:p>
      <w:pPr>
        <w:pStyle w:val="ListBullet"/>
        <w:spacing w:after="120"/>
      </w:pPr>
      <w:r>
        <w:rPr>
          <w:b/>
        </w:rPr>
        <w:t xml:space="preserve">Technical Skills: </w:t>
      </w:r>
      <w:r>
        <w:t>Python (data pipelines), HTML/CSS/JavaScript, SQL, GitHub Actions, Static site generation</w:t>
      </w:r>
    </w:p>
    <w:p>
      <w:pPr>
        <w:pStyle w:val="ListBullet"/>
        <w:spacing w:after="120"/>
      </w:pPr>
      <w:r>
        <w:rPr>
          <w:b/>
        </w:rPr>
        <w:t xml:space="preserve">Regulation &amp; Compliance: </w:t>
      </w:r>
      <w:r>
        <w:t>PSD2, GDPR, Interchange Fee Regulation, PCI standards</w:t>
      </w:r>
    </w:p>
    <w:p>
      <w:pPr>
        <w:pStyle w:val="ListBullet"/>
        <w:spacing w:after="120"/>
      </w:pPr>
      <w:r>
        <w:rPr>
          <w:b/>
        </w:rPr>
        <w:t xml:space="preserve">Languages: </w:t>
      </w:r>
      <w:r>
        <w:t>French and Portuguese (native), English and Spanish (professional fluency)</w:t>
      </w:r>
    </w:p>
    <w:p/>
    <w:p>
      <w:pPr>
        <w:pBdr>
          <w:bottom w:val="single" w:sz="12" w:space="1" w:color="000000"/>
        </w:pBdr>
      </w:pPr>
      <w:r>
        <w:rPr>
          <w:b/>
          <w:color w:val="003366"/>
          <w:sz w:val="24"/>
        </w:rPr>
        <w:t>PROFESSIONAL EXPERIENCE</w:t>
      </w:r>
    </w:p>
    <w:p>
      <w:pPr>
        <w:spacing w:after="120"/>
      </w:pPr>
      <w:r>
        <w:rPr>
          <w:b/>
          <w:sz w:val="22"/>
        </w:rPr>
        <w:t>Customer Success Manager (CSM)</w:t>
      </w:r>
      <w:r>
        <w:br/>
        <w:t>Outseer (RSA Security), London — November 2021 – Present</w:t>
      </w:r>
    </w:p>
    <w:p>
      <w:pPr>
        <w:pStyle w:val="ListBullet"/>
        <w:spacing w:after="80"/>
      </w:pPr>
      <w:r>
        <w:t>Manage strategic relationships with Tier 1 clients across EMEA, providing technical guidance on 3DS fraud prevention and Access Control Server (ACS) solutions</w:t>
      </w:r>
    </w:p>
    <w:p>
      <w:pPr>
        <w:pStyle w:val="ListBullet"/>
        <w:spacing w:after="80"/>
      </w:pPr>
      <w:r>
        <w:t>Lead complex API integrations and 3DS 2.0 implementations for major payment issuers across EMEA</w:t>
      </w:r>
    </w:p>
    <w:p>
      <w:pPr>
        <w:pStyle w:val="ListBullet"/>
        <w:spacing w:after="80"/>
      </w:pPr>
      <w:r>
        <w:t>Coordinate cross-functional teams (security, compliance, development, IT) on advanced fraud prevention projects</w:t>
      </w:r>
    </w:p>
    <w:p>
      <w:pPr>
        <w:pStyle w:val="ListBullet"/>
        <w:spacing w:after="80"/>
      </w:pPr>
      <w:r>
        <w:t>Conduct customer training, produce technical documentation, and maintain high satisfaction metrics through quarterly surveys</w:t>
      </w:r>
    </w:p>
    <w:p/>
    <w:p>
      <w:pPr>
        <w:spacing w:after="120"/>
      </w:pPr>
      <w:r>
        <w:rPr>
          <w:b/>
          <w:sz w:val="22"/>
        </w:rPr>
        <w:t>Project Manager</w:t>
      </w:r>
      <w:r>
        <w:br/>
        <w:t>Diners Club / Discover Financial Services, London — May 2017 – November 2021</w:t>
      </w:r>
    </w:p>
    <w:p>
      <w:pPr>
        <w:pStyle w:val="ListBullet"/>
        <w:spacing w:after="80"/>
      </w:pPr>
      <w:r>
        <w:t>Led operational integration of Tier 1 acquirers across multiple European markets. Managed strategic relationships with leading payment schemes</w:t>
      </w:r>
    </w:p>
    <w:p>
      <w:pPr>
        <w:pStyle w:val="ListBullet"/>
        <w:spacing w:after="80"/>
      </w:pPr>
      <w:r>
        <w:t>[NASDAQ Press Release] Led strategic partnership with Crédit Mutuel Arkéa &amp; Discover Global Network (2019)</w:t>
      </w:r>
    </w:p>
    <w:p>
      <w:pPr>
        <w:pStyle w:val="ListBullet"/>
        <w:spacing w:after="80"/>
      </w:pPr>
      <w:r>
        <w:t>[Business Wire Coverage] Enabled Discover card acceptance for La Banque Postale merchants (2019)</w:t>
      </w:r>
    </w:p>
    <w:p>
      <w:pPr>
        <w:pStyle w:val="ListBullet"/>
        <w:spacing w:after="80"/>
      </w:pPr>
      <w:r>
        <w:t>Spearheaded operational integration of 4 Tier 1 acquirers (3 in France, 1 in Spain) with successful 3DS 2.0 rollout</w:t>
      </w:r>
    </w:p>
    <w:p>
      <w:pPr>
        <w:pStyle w:val="ListBullet"/>
        <w:spacing w:after="80"/>
      </w:pPr>
      <w:r>
        <w:t>Managed Acceptance Quality programs, resolved transaction incidents, and ensured regulatory compliance</w:t>
      </w:r>
    </w:p>
    <w:p/>
    <w:p>
      <w:pPr>
        <w:spacing w:after="120"/>
      </w:pPr>
      <w:r>
        <w:rPr>
          <w:b/>
          <w:sz w:val="22"/>
        </w:rPr>
        <w:t>Technical Account Manager – Business Support Operations</w:t>
      </w:r>
      <w:r>
        <w:br/>
        <w:t>Visa Inc., London — August 2013 – April 2017</w:t>
      </w:r>
    </w:p>
    <w:p>
      <w:pPr>
        <w:pStyle w:val="ListBullet"/>
        <w:spacing w:after="80"/>
      </w:pPr>
      <w:r>
        <w:t>Provided high-level technical support to major financial institutions. Subject matter expert for Tokenization (VTS), Digital Wallets, and Payment Stop services</w:t>
      </w:r>
    </w:p>
    <w:p/>
    <w:p>
      <w:pPr>
        <w:pBdr>
          <w:bottom w:val="single" w:sz="12" w:space="1" w:color="000000"/>
        </w:pBdr>
      </w:pPr>
      <w:r>
        <w:rPr>
          <w:b/>
          <w:color w:val="003366"/>
          <w:sz w:val="24"/>
        </w:rPr>
        <w:t>EDUCATION</w:t>
      </w:r>
    </w:p>
    <w:p>
      <w:pPr>
        <w:spacing w:after="160"/>
      </w:pPr>
      <w:r>
        <w:rPr>
          <w:b/>
        </w:rPr>
        <w:t>Master's in International Management</w:t>
      </w:r>
      <w:r>
        <w:br/>
        <w:t>Birkbeck, University of London (2016–2018)</w:t>
        <w:br/>
      </w:r>
      <w:r>
        <w:t>Thesis: « Blockchain: Innovation Diffusion in Digital Payments »</w:t>
      </w:r>
    </w:p>
    <w:p>
      <w:pPr>
        <w:spacing w:after="160"/>
      </w:pPr>
      <w:r>
        <w:rPr>
          <w:b/>
        </w:rPr>
        <w:t>Bachelor's in Management</w:t>
      </w:r>
      <w:r>
        <w:br/>
        <w:t>Polytechnic Institute of Tomar, Portugal (2007–2010)</w:t>
      </w:r>
    </w:p>
    <w:p>
      <w:pPr>
        <w:spacing w:after="160"/>
      </w:pPr>
      <w:r>
        <w:rPr>
          <w:b/>
        </w:rPr>
        <w:t>Bachelor's in Languages and Literature</w:t>
      </w:r>
      <w:r>
        <w:br/>
        <w:t>University of Lisbon, Portugal (2005–2007)</w:t>
      </w:r>
    </w:p>
    <w:p>
      <w:r>
        <w:rPr>
          <w:b/>
        </w:rPr>
        <w:t>ERASMUS Exchange</w:t>
      </w:r>
      <w:r>
        <w:br/>
        <w:t>Mechelen University College, Belgium (2008–2009)</w:t>
      </w:r>
    </w:p>
    <w:sectPr w:rsidR="00FC693F" w:rsidRPr="0006063C" w:rsidSect="00034616">
      <w:pgSz w:w="12240" w:h="15840"/>
      <w:pgMar w:top="720" w:right="1080" w:bottom="72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