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THIERRY AMIOT</w:t>
      </w:r>
    </w:p>
    <w:p>
      <w:pPr>
        <w:jc w:val="center"/>
      </w:pPr>
      <w:r>
        <w:rPr>
          <w:color w:val="404040"/>
          <w:sz w:val="22"/>
        </w:rPr>
        <w:t>Expert en Technologies de Paiement | Spécialiste 3DS &amp; Prévention de la Fraude</w:t>
      </w:r>
    </w:p>
    <w:p>
      <w:pPr>
        <w:jc w:val="center"/>
      </w:pPr>
      <w:r>
        <w:rPr>
          <w:sz w:val="20"/>
        </w:rPr>
        <w:t>Londres, Royaume-Uni | +44 7856 781158 | thierry1981@protonmail.com | linkedin.com/in/thierry-amiot-b92a7437</w:t>
      </w:r>
    </w:p>
    <w:p/>
    <w:p>
      <w:pPr>
        <w:pBdr>
          <w:bottom w:val="single" w:sz="12" w:space="1" w:color="000000"/>
        </w:pBdr>
      </w:pPr>
      <w:r>
        <w:rPr>
          <w:b/>
          <w:color w:val="003366"/>
          <w:sz w:val="24"/>
        </w:rPr>
        <w:t>RÉSUMÉ PROFESSIONNEL</w:t>
      </w:r>
    </w:p>
    <w:p>
      <w:pPr>
        <w:spacing w:after="240"/>
      </w:pPr>
      <w:r>
        <w:t>Expert en technologies de paiement avec plus de 13 ans d'expérience dans la conception et la mise en œuvre de solutions complexes de paiement par carte au niveau international en Europe. Solide parcours dans l'intégration de clients, la mise en place de 3DS, l'intégration d'acquéreurs et la gestion de relations stratégiques avec des institutions financières de premier plan.</w:t>
        <w:br/>
        <w:br/>
        <w:t>Allie une expertise technique approfondie des systèmes de paiement (ISO 8583, EMV, PCI DSS) à de solides compétences en leadership de projets et en communication multilingue (français, anglais, espagnol, portugais). A récemment terminé une recherche de Master sur l'adoption de la blockchain dans les paiements numériques.</w:t>
      </w:r>
    </w:p>
    <w:p>
      <w:pPr>
        <w:pBdr>
          <w:bottom w:val="single" w:sz="12" w:space="1" w:color="000000"/>
        </w:pBdr>
      </w:pPr>
      <w:r>
        <w:rPr>
          <w:b/>
          <w:color w:val="003366"/>
          <w:sz w:val="24"/>
        </w:rPr>
        <w:t>COMPÉTENCES CLÉS</w:t>
      </w:r>
    </w:p>
    <w:p>
      <w:pPr>
        <w:pStyle w:val="ListBullet"/>
        <w:spacing w:after="120"/>
      </w:pPr>
      <w:r>
        <w:rPr>
          <w:b/>
        </w:rPr>
        <w:t xml:space="preserve">Systèmes et Normes de Paiement: </w:t>
      </w:r>
      <w:r>
        <w:t>ISO 8583, EMV, NFC, PCI DSS, Visa Base I/II, Tokenisation, Apple Pay</w:t>
      </w:r>
    </w:p>
    <w:p>
      <w:pPr>
        <w:pStyle w:val="ListBullet"/>
        <w:spacing w:after="120"/>
      </w:pPr>
      <w:r>
        <w:rPr>
          <w:b/>
        </w:rPr>
        <w:t xml:space="preserve">3DS &amp; Prévention de la Fraude: </w:t>
      </w:r>
      <w:r>
        <w:t>Mise en œuvre de 3DS 2.0, solutions ACS, gestion des risques, protocoles avancés de lutte contre la fraude</w:t>
      </w:r>
    </w:p>
    <w:p>
      <w:pPr>
        <w:pStyle w:val="ListBullet"/>
        <w:spacing w:after="120"/>
      </w:pPr>
      <w:r>
        <w:rPr>
          <w:b/>
        </w:rPr>
        <w:t xml:space="preserve">Gestion de Projets &amp; Parties Prenantes: </w:t>
      </w:r>
      <w:r>
        <w:t>Intégration de clients, coordination transversale, méthodologies Agile, animation d'équipes</w:t>
      </w:r>
    </w:p>
    <w:p>
      <w:pPr>
        <w:pStyle w:val="ListBullet"/>
        <w:spacing w:after="120"/>
      </w:pPr>
      <w:r>
        <w:rPr>
          <w:b/>
        </w:rPr>
        <w:t xml:space="preserve">Compétences Techniques: </w:t>
      </w:r>
      <w:r>
        <w:t>Python (pipelines de données), HTML/CSS/JavaScript, SQL, GitHub Actions, Génération de sites statiques</w:t>
      </w:r>
    </w:p>
    <w:p>
      <w:pPr>
        <w:pStyle w:val="ListBullet"/>
        <w:spacing w:after="120"/>
      </w:pPr>
      <w:r>
        <w:rPr>
          <w:b/>
        </w:rPr>
        <w:t xml:space="preserve">Réglementation &amp; Conformité: </w:t>
      </w:r>
      <w:r>
        <w:t>PSD2, GDPR, Règlement sur les frais d'interchange, normes PCI</w:t>
      </w:r>
    </w:p>
    <w:p>
      <w:pPr>
        <w:pStyle w:val="ListBullet"/>
        <w:spacing w:after="120"/>
      </w:pPr>
      <w:r>
        <w:rPr>
          <w:b/>
        </w:rPr>
        <w:t xml:space="preserve">Langues: </w:t>
      </w:r>
      <w:r>
        <w:t>Français et Portugais (langues maternelles), Anglais et Espagnol (niveau professionnel)</w:t>
      </w:r>
    </w:p>
    <w:p/>
    <w:p>
      <w:pPr>
        <w:pBdr>
          <w:bottom w:val="single" w:sz="12" w:space="1" w:color="000000"/>
        </w:pBdr>
      </w:pPr>
      <w:r>
        <w:rPr>
          <w:b/>
          <w:color w:val="003366"/>
          <w:sz w:val="24"/>
        </w:rPr>
        <w:t>EXPÉRIENCE PROFESSIONNELLE</w:t>
      </w:r>
    </w:p>
    <w:p>
      <w:pPr>
        <w:spacing w:after="120"/>
      </w:pPr>
      <w:r>
        <w:rPr>
          <w:b/>
          <w:sz w:val="22"/>
        </w:rPr>
        <w:t>Responsable du Succès Client (CSM)</w:t>
      </w:r>
      <w:r>
        <w:br/>
        <w:t>Outseer (RSA Security), Londres — Novembre 2021 – Aujourd'hui</w:t>
      </w:r>
    </w:p>
    <w:p>
      <w:pPr>
        <w:pStyle w:val="ListBullet"/>
        <w:spacing w:after="80"/>
      </w:pPr>
      <w:r>
        <w:t>Gestion de relations stratégiques avec des clients Tier 1 en EMEA, en apportant un accompagnement technique sur la prévention de la fraude 3DS et les solutions Access Control Server (ACS)</w:t>
      </w:r>
    </w:p>
    <w:p>
      <w:pPr>
        <w:pStyle w:val="ListBullet"/>
        <w:spacing w:after="80"/>
      </w:pPr>
      <w:r>
        <w:t>Pilotage d'intégrations API complexes et d'implémentations 3DS 2.0 pour de grands émetteurs de paiement en EMEA</w:t>
      </w:r>
    </w:p>
    <w:p>
      <w:pPr>
        <w:pStyle w:val="ListBullet"/>
        <w:spacing w:after="80"/>
      </w:pPr>
      <w:r>
        <w:t>Coordination d'équipes transversales (sécurité, conformité, développement, IT) sur des projets avancés de prévention de fraude</w:t>
      </w:r>
    </w:p>
    <w:p>
      <w:pPr>
        <w:pStyle w:val="ListBullet"/>
        <w:spacing w:after="80"/>
      </w:pPr>
      <w:r>
        <w:t>Formation des clients, rédaction de documentation technique et maintien d'un haut niveau de satisfaction via des enquêtes trimestrielles</w:t>
      </w:r>
    </w:p>
    <w:p/>
    <w:p>
      <w:pPr>
        <w:spacing w:after="120"/>
      </w:pPr>
      <w:r>
        <w:rPr>
          <w:b/>
          <w:sz w:val="22"/>
        </w:rPr>
        <w:t>Chef de Projet</w:t>
      </w:r>
      <w:r>
        <w:br/>
        <w:t>Diners Club / Discover Financial Services, Londres — Mai 2017 – Novembre 2021</w:t>
      </w:r>
    </w:p>
    <w:p>
      <w:pPr>
        <w:pStyle w:val="ListBullet"/>
        <w:spacing w:after="80"/>
      </w:pPr>
      <w:r>
        <w:t>Pilotage de l'intégration opérationnelle d'acquéreurs Tier 1 sur plusieurs marchés européens. Gestion de relations stratégiques avec les principaux schémas de paiement</w:t>
      </w:r>
    </w:p>
    <w:p>
      <w:pPr>
        <w:pStyle w:val="ListBullet"/>
        <w:spacing w:after="80"/>
      </w:pPr>
      <w:r>
        <w:t>[Communiqué NASDAQ] Pilotage du partenariat stratégique Crédit Mutuel Arkéa &amp; Discover Global Network (2019)</w:t>
      </w:r>
    </w:p>
    <w:p>
      <w:pPr>
        <w:pStyle w:val="ListBullet"/>
        <w:spacing w:after="80"/>
      </w:pPr>
      <w:r>
        <w:t>[Couverture Business Wire] Activation de l'acceptation des cartes Discover pour les commerçants de La Banque Postale (2019)</w:t>
      </w:r>
    </w:p>
    <w:p>
      <w:pPr>
        <w:pStyle w:val="ListBullet"/>
        <w:spacing w:after="80"/>
      </w:pPr>
      <w:r>
        <w:t>Pilotage de l'intégration opérationnelle de 4 acquéreurs Tier 1 (3 en France, 1 en Espagne) avec mise en œuvre réussie de 3DS 2.0</w:t>
      </w:r>
    </w:p>
    <w:p>
      <w:pPr>
        <w:pStyle w:val="ListBullet"/>
        <w:spacing w:after="80"/>
      </w:pPr>
      <w:r>
        <w:t>Gestion des programmes de Qualité d'Acceptation, résolution d'incidents transactionnels et garantie de la conformité réglementaire</w:t>
      </w:r>
    </w:p>
    <w:p/>
    <w:p>
      <w:pPr>
        <w:spacing w:after="120"/>
      </w:pPr>
      <w:r>
        <w:rPr>
          <w:b/>
          <w:sz w:val="22"/>
        </w:rPr>
        <w:t>Technical Account Manager – Business Support Operations</w:t>
      </w:r>
      <w:r>
        <w:br/>
        <w:t>Visa Inc., Londres — Août 2013 – Avril 2017</w:t>
      </w:r>
    </w:p>
    <w:p>
      <w:pPr>
        <w:pStyle w:val="ListBullet"/>
        <w:spacing w:after="80"/>
      </w:pPr>
      <w:r>
        <w:t>Support technique de haut niveau auprès d'institutions financières majeures. Expert référent pour la Tokenisation (VTS), les Portefeuilles Numériques et les services Payment Stop</w:t>
      </w:r>
    </w:p>
    <w:p/>
    <w:p>
      <w:pPr>
        <w:pBdr>
          <w:bottom w:val="single" w:sz="12" w:space="1" w:color="000000"/>
        </w:pBdr>
      </w:pPr>
      <w:r>
        <w:rPr>
          <w:b/>
          <w:color w:val="003366"/>
          <w:sz w:val="24"/>
        </w:rPr>
        <w:t>FORMATION</w:t>
      </w:r>
    </w:p>
    <w:p>
      <w:pPr>
        <w:spacing w:after="160"/>
      </w:pPr>
      <w:r>
        <w:rPr>
          <w:b/>
        </w:rPr>
        <w:t>Master en Management International</w:t>
      </w:r>
      <w:r>
        <w:br/>
        <w:t>Birkbeck, Université de Londres (2016–2018)</w:t>
        <w:br/>
      </w:r>
      <w:r>
        <w:t>Mémoire : « Blockchain : Diffusion de l'Innovation dans le Paiement Numérique »</w:t>
      </w:r>
    </w:p>
    <w:p>
      <w:pPr>
        <w:spacing w:after="160"/>
      </w:pPr>
      <w:r>
        <w:rPr>
          <w:b/>
        </w:rPr>
        <w:t>Licence en Management</w:t>
      </w:r>
      <w:r>
        <w:br/>
        <w:t>Institut Polytechnique de Tomar, Portugal (2007–2010)</w:t>
      </w:r>
    </w:p>
    <w:p>
      <w:pPr>
        <w:spacing w:after="160"/>
      </w:pPr>
      <w:r>
        <w:rPr>
          <w:b/>
        </w:rPr>
        <w:t>Licence en Langues et Littérature</w:t>
      </w:r>
      <w:r>
        <w:br/>
        <w:t>Université de Lisbonne, Portugal (2005–2007)</w:t>
      </w:r>
    </w:p>
    <w:p>
      <w:r>
        <w:rPr>
          <w:b/>
        </w:rPr>
        <w:t>Échange ERASMUS</w:t>
      </w:r>
      <w:r>
        <w:br/>
        <w:t>Mechelen University College, Belgique (2008–2009)</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