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2808" w14:textId="26784680" w:rsidR="00130B82" w:rsidRDefault="00BF7981">
      <w:pPr>
        <w:rPr>
          <w:lang w:val="en-US"/>
        </w:rPr>
      </w:pPr>
      <w:r>
        <w:rPr>
          <w:lang w:val="en-US"/>
        </w:rPr>
        <w:t>Let’s</w:t>
      </w:r>
      <w:r w:rsidR="0019797A">
        <w:rPr>
          <w:lang w:val="en-US"/>
        </w:rPr>
        <w:t xml:space="preserve"> use an individual person as an example for the pension liability. I think that works well for the ultimate analysis that I want to do with this model. An individual participant starts paying premiums into the pension pot as of age 25. To make things easy just use 40 years for payments into the pension system. We need to assume a salary, annual increases and a couple of jumps because of promotions during the life. </w:t>
      </w:r>
      <w:r w:rsidR="00E12B27">
        <w:rPr>
          <w:lang w:val="en-US"/>
        </w:rPr>
        <w:t xml:space="preserve">We can work with a fixed pension contribution of 20% of total salary. </w:t>
      </w:r>
      <w:r w:rsidR="0019797A">
        <w:rPr>
          <w:lang w:val="en-US"/>
        </w:rPr>
        <w:t>Then at age 65 pensions are paid out of the savings while at the same time the savings remain invested. The allocations are determined per age cohort. 25-34, 35-44,45-54, 55-64, 65-74, 75-84, 85-94 and finally 95-104. The allocation is as we used</w:t>
      </w:r>
      <w:r w:rsidR="00E12B27">
        <w:rPr>
          <w:lang w:val="en-US"/>
        </w:rPr>
        <w:t xml:space="preserve"> before an allocation to the return portfolio and to the liability hedging portfolio, which is a portfolio that has the same duration as the pension obligations for the person in the age cohort (so the allocation to LHP is xx percent at 60, but the duration is then matched to that persons pensions payments that start at 65. If you are 75, the duration is shorter, because you are older). </w:t>
      </w:r>
    </w:p>
    <w:p w14:paraId="75A1029B" w14:textId="77777777" w:rsidR="005A6C27" w:rsidRDefault="005A6C27">
      <w:pPr>
        <w:rPr>
          <w:lang w:val="en-US"/>
        </w:rPr>
      </w:pPr>
    </w:p>
    <w:p w14:paraId="0D90F0F2" w14:textId="78934F34" w:rsidR="005A6C27" w:rsidRDefault="005A6C27">
      <w:pPr>
        <w:rPr>
          <w:lang w:val="en-US"/>
        </w:rPr>
      </w:pPr>
      <w:proofErr w:type="gramStart"/>
      <w:r>
        <w:rPr>
          <w:lang w:val="en-US"/>
        </w:rPr>
        <w:t>So</w:t>
      </w:r>
      <w:proofErr w:type="gramEnd"/>
      <w:r>
        <w:rPr>
          <w:lang w:val="en-US"/>
        </w:rPr>
        <w:t xml:space="preserve"> we need to be able to set as inputs: the age cohorts and the allocations in return and liability hedging per age cohort. We need to calculate the duration of the pension liabilities for each cohort in the analysis and calculate the return for that based on how the yield curve changes and the passing of time. For that we need a life expectancy as an input, but for later use also a normal distribution of the life expectancy to increase uncertainty about the length of the pension payouts. </w:t>
      </w:r>
      <w:proofErr w:type="gramStart"/>
      <w:r>
        <w:rPr>
          <w:lang w:val="en-US"/>
        </w:rPr>
        <w:t>Also</w:t>
      </w:r>
      <w:proofErr w:type="gramEnd"/>
      <w:r>
        <w:rPr>
          <w:lang w:val="en-US"/>
        </w:rPr>
        <w:t xml:space="preserve"> a variable that has pension premium as a percentage of total income. Start with 20%.</w:t>
      </w:r>
    </w:p>
    <w:p w14:paraId="65129805" w14:textId="77777777" w:rsidR="005A6C27" w:rsidRDefault="005A6C27">
      <w:pPr>
        <w:rPr>
          <w:lang w:val="en-US"/>
        </w:rPr>
      </w:pPr>
    </w:p>
    <w:p w14:paraId="51BFBB5A" w14:textId="4AAA947F" w:rsidR="005A6C27" w:rsidRPr="005A6C27" w:rsidRDefault="005A6C27" w:rsidP="005A6C27">
      <w:pPr>
        <w:rPr>
          <w:rFonts w:ascii="Helvetica Neue" w:eastAsia="Times New Roman" w:hAnsi="Helvetica Neue" w:cs="Times New Roman"/>
          <w:color w:val="000000"/>
          <w:kern w:val="0"/>
          <w:lang w:eastAsia="en-GB"/>
          <w14:ligatures w14:val="none"/>
        </w:rPr>
      </w:pPr>
      <w:r>
        <w:rPr>
          <w:lang w:val="en-US"/>
        </w:rPr>
        <w:t xml:space="preserve">Then after retirement </w:t>
      </w:r>
      <w:r w:rsidRPr="005A6C27">
        <w:rPr>
          <w:rFonts w:ascii="Helvetica Neue" w:eastAsia="Times New Roman" w:hAnsi="Helvetica Neue" w:cs="Times New Roman"/>
          <w:color w:val="000000"/>
          <w:kern w:val="0"/>
          <w:lang w:eastAsia="en-GB"/>
          <w14:ligatures w14:val="none"/>
        </w:rPr>
        <w:t>your pension payout is determined by </w:t>
      </w:r>
      <w:r w:rsidRPr="005A6C27">
        <w:rPr>
          <w:rFonts w:ascii="Helvetica Neue" w:eastAsia="Times New Roman" w:hAnsi="Helvetica Neue" w:cs="Times New Roman"/>
          <w:b/>
          <w:bCs/>
          <w:color w:val="000000"/>
          <w:kern w:val="0"/>
          <w:lang w:eastAsia="en-GB"/>
          <w14:ligatures w14:val="none"/>
        </w:rPr>
        <w:t>converting the total capital in your individual pension pot into a lifetime retirement income</w:t>
      </w:r>
      <w:r w:rsidRPr="005A6C27">
        <w:rPr>
          <w:rFonts w:ascii="Helvetica Neue" w:eastAsia="Times New Roman" w:hAnsi="Helvetica Neue" w:cs="Times New Roman"/>
          <w:color w:val="000000"/>
          <w:kern w:val="0"/>
          <w:lang w:eastAsia="en-GB"/>
          <w14:ligatures w14:val="none"/>
        </w:rPr>
        <w:t> </w:t>
      </w:r>
      <w:proofErr w:type="gramStart"/>
      <w:r w:rsidRPr="005A6C27">
        <w:rPr>
          <w:rFonts w:ascii="Helvetica Neue" w:eastAsia="Times New Roman" w:hAnsi="Helvetica Neue" w:cs="Times New Roman"/>
          <w:color w:val="000000"/>
          <w:kern w:val="0"/>
          <w:lang w:eastAsia="en-GB"/>
          <w14:ligatures w14:val="none"/>
        </w:rPr>
        <w:t>at the moment</w:t>
      </w:r>
      <w:proofErr w:type="gramEnd"/>
      <w:r w:rsidRPr="005A6C27">
        <w:rPr>
          <w:rFonts w:ascii="Helvetica Neue" w:eastAsia="Times New Roman" w:hAnsi="Helvetica Neue" w:cs="Times New Roman"/>
          <w:color w:val="000000"/>
          <w:kern w:val="0"/>
          <w:lang w:eastAsia="en-GB"/>
          <w14:ligatures w14:val="none"/>
        </w:rPr>
        <w:t xml:space="preserve"> you retire.</w:t>
      </w:r>
      <w:r w:rsidRPr="005A6C27">
        <w:rPr>
          <w:rFonts w:ascii="Helvetica Neue" w:eastAsia="Times New Roman" w:hAnsi="Helvetica Neue" w:cs="Times New Roman"/>
          <w:color w:val="000000"/>
          <w:kern w:val="0"/>
          <w:lang w:eastAsia="en-GB"/>
          <w14:ligatures w14:val="none"/>
        </w:rPr>
        <w:t xml:space="preserve"> </w:t>
      </w:r>
    </w:p>
    <w:p w14:paraId="4B84684E" w14:textId="77777777" w:rsidR="005A6C27" w:rsidRDefault="005A6C27" w:rsidP="005A6C27">
      <w:pPr>
        <w:rPr>
          <w:rFonts w:ascii="Helvetica Neue" w:eastAsia="Times New Roman" w:hAnsi="Helvetica Neue" w:cs="Times New Roman"/>
          <w:color w:val="000000"/>
          <w:kern w:val="0"/>
          <w:lang w:eastAsia="en-GB"/>
          <w14:ligatures w14:val="none"/>
        </w:rPr>
      </w:pPr>
    </w:p>
    <w:p w14:paraId="21BB6027" w14:textId="7E834B96" w:rsidR="005A6C27" w:rsidRDefault="005A6C27" w:rsidP="005A6C27">
      <w:pPr>
        <w:rPr>
          <w:rFonts w:ascii="Helvetica Neue" w:eastAsia="Times New Roman" w:hAnsi="Helvetica Neue" w:cs="Times New Roman"/>
          <w:color w:val="000000"/>
          <w:kern w:val="0"/>
          <w:lang w:eastAsia="en-GB"/>
          <w14:ligatures w14:val="none"/>
        </w:rPr>
      </w:pPr>
      <w:r w:rsidRPr="005A6C27">
        <w:rPr>
          <w:rFonts w:ascii="Helvetica Neue" w:eastAsia="Times New Roman" w:hAnsi="Helvetica Neue" w:cs="Times New Roman"/>
          <w:color w:val="000000"/>
          <w:kern w:val="0"/>
          <w:lang w:eastAsia="en-GB"/>
          <w14:ligatures w14:val="none"/>
        </w:rPr>
        <w:t>Because there are no longer fixed, guaranteed promises, the exact amount you receive is calculated using three dynamic variables.</w:t>
      </w:r>
      <w:r w:rsidRPr="005A6C27">
        <w:rPr>
          <w:rFonts w:ascii="Helvetica Neue" w:eastAsia="Times New Roman" w:hAnsi="Helvetica Neue" w:cs="Times New Roman"/>
          <w:color w:val="000000"/>
          <w:kern w:val="0"/>
          <w:lang w:eastAsia="en-GB"/>
          <w14:ligatures w14:val="none"/>
        </w:rPr>
        <w:t xml:space="preserve"> </w:t>
      </w:r>
    </w:p>
    <w:p w14:paraId="764E34B8" w14:textId="77777777" w:rsidR="005A6C27" w:rsidRPr="005A6C27" w:rsidRDefault="005A6C27" w:rsidP="005A6C27">
      <w:pPr>
        <w:rPr>
          <w:lang w:eastAsia="en-GB"/>
        </w:rPr>
      </w:pPr>
    </w:p>
    <w:p w14:paraId="2C648CB0" w14:textId="1AF06798" w:rsidR="005A6C27" w:rsidRDefault="005A6C27" w:rsidP="005A6C27">
      <w:pPr>
        <w:rPr>
          <w:lang w:eastAsia="en-GB"/>
        </w:rPr>
      </w:pPr>
      <w:r w:rsidRPr="005A6C27">
        <w:rPr>
          <w:lang w:eastAsia="en-GB"/>
        </w:rPr>
        <w:t>The 3 Key Factors Determining Your Payout</w:t>
      </w:r>
      <w:r>
        <w:rPr>
          <w:lang w:eastAsia="en-GB"/>
        </w:rPr>
        <w:t>:</w:t>
      </w:r>
    </w:p>
    <w:p w14:paraId="37827FE0" w14:textId="77777777" w:rsidR="005A6C27" w:rsidRPr="005A6C27" w:rsidRDefault="005A6C27" w:rsidP="005A6C27">
      <w:pPr>
        <w:rPr>
          <w:lang w:eastAsia="en-GB"/>
        </w:rPr>
      </w:pPr>
    </w:p>
    <w:p w14:paraId="28761195" w14:textId="77777777" w:rsidR="005A6C27" w:rsidRPr="005A6C27" w:rsidRDefault="005A6C27" w:rsidP="005A6C27">
      <w:pPr>
        <w:rPr>
          <w:lang w:eastAsia="en-GB"/>
        </w:rPr>
      </w:pPr>
      <w:r w:rsidRPr="005A6C27">
        <w:rPr>
          <w:lang w:eastAsia="en-GB"/>
        </w:rPr>
        <w:t>When you reach retirement age, your monthly payout is calculated by the pension provider using a conversion rate based on:</w:t>
      </w:r>
    </w:p>
    <w:p w14:paraId="548D4C35" w14:textId="62C1E6EE" w:rsidR="005A6C27" w:rsidRPr="005A6C27" w:rsidRDefault="005A6C27" w:rsidP="00BF7981">
      <w:pPr>
        <w:pStyle w:val="ListParagraph"/>
        <w:numPr>
          <w:ilvl w:val="0"/>
          <w:numId w:val="5"/>
        </w:numPr>
        <w:rPr>
          <w:lang w:eastAsia="en-GB"/>
        </w:rPr>
      </w:pPr>
      <w:r w:rsidRPr="005A6C27">
        <w:rPr>
          <w:lang w:eastAsia="en-GB"/>
        </w:rPr>
        <w:t>Your Total Pension Capital: The exact value of your personal pension pot at the retirement date, which reflects all your lifetime contributions plus investment returns.</w:t>
      </w:r>
    </w:p>
    <w:p w14:paraId="4BB1673E" w14:textId="43B5281C" w:rsidR="005A6C27" w:rsidRPr="005A6C27" w:rsidRDefault="005A6C27" w:rsidP="00BF7981">
      <w:pPr>
        <w:pStyle w:val="ListParagraph"/>
        <w:numPr>
          <w:ilvl w:val="0"/>
          <w:numId w:val="5"/>
        </w:numPr>
        <w:rPr>
          <w:lang w:eastAsia="en-GB"/>
        </w:rPr>
      </w:pPr>
      <w:r w:rsidRPr="005A6C27">
        <w:rPr>
          <w:lang w:eastAsia="en-GB"/>
        </w:rPr>
        <w:t>Actuarial Interest Rates: The prevailing interest rates at the exact time of your retirement. Higher interest rates convert your capital into a higher starting payout; lower rates yield a lower starting payout.</w:t>
      </w:r>
    </w:p>
    <w:p w14:paraId="6FD29521" w14:textId="05EA805C" w:rsidR="005A6C27" w:rsidRPr="005A6C27" w:rsidRDefault="005A6C27" w:rsidP="00BF7981">
      <w:pPr>
        <w:pStyle w:val="ListParagraph"/>
        <w:numPr>
          <w:ilvl w:val="0"/>
          <w:numId w:val="5"/>
        </w:numPr>
        <w:rPr>
          <w:lang w:eastAsia="en-GB"/>
        </w:rPr>
      </w:pPr>
      <w:r w:rsidRPr="005A6C27">
        <w:rPr>
          <w:lang w:eastAsia="en-GB"/>
        </w:rPr>
        <w:t>Life Expectancy: Statistical projections of how long your age cohort is expected to live. Because the fund must ensure you receive payouts for life, your pot is spread across your projected remaining years. </w:t>
      </w:r>
    </w:p>
    <w:p w14:paraId="76165579" w14:textId="77777777" w:rsidR="00BF7981" w:rsidRDefault="00BF7981" w:rsidP="005A6C27">
      <w:pPr>
        <w:rPr>
          <w:lang w:eastAsia="en-GB"/>
        </w:rPr>
      </w:pPr>
    </w:p>
    <w:p w14:paraId="088F9F8E" w14:textId="14F780D6" w:rsidR="005A6C27" w:rsidRPr="005A6C27" w:rsidRDefault="005A6C27" w:rsidP="005A6C27">
      <w:pPr>
        <w:rPr>
          <w:lang w:eastAsia="en-GB"/>
        </w:rPr>
      </w:pPr>
      <w:r w:rsidRPr="005A6C27">
        <w:rPr>
          <w:lang w:eastAsia="en-GB"/>
        </w:rPr>
        <w:t>How the Payout Behaves After Retirement</w:t>
      </w:r>
    </w:p>
    <w:p w14:paraId="7F05FA18" w14:textId="77777777" w:rsidR="00BF7981" w:rsidRDefault="005A6C27" w:rsidP="005A6C27">
      <w:pPr>
        <w:rPr>
          <w:lang w:eastAsia="en-GB"/>
        </w:rPr>
      </w:pPr>
      <w:r w:rsidRPr="005A6C27">
        <w:rPr>
          <w:lang w:eastAsia="en-GB"/>
        </w:rPr>
        <w:t>Once your starting pension payout is calculated, it does not remain fixed. It undergoes a mandatory review and adjustment every year:</w:t>
      </w:r>
    </w:p>
    <w:p w14:paraId="08E8AFFB" w14:textId="4BBF2547" w:rsidR="005A6C27" w:rsidRPr="005A6C27" w:rsidRDefault="00BF7981" w:rsidP="005A6C27">
      <w:pPr>
        <w:rPr>
          <w:lang w:eastAsia="en-GB"/>
        </w:rPr>
      </w:pPr>
      <w:r w:rsidRPr="005A6C27">
        <w:rPr>
          <w:lang w:eastAsia="en-GB"/>
        </w:rPr>
        <w:t xml:space="preserve"> </w:t>
      </w:r>
    </w:p>
    <w:p w14:paraId="61B3D5CC" w14:textId="77777777" w:rsidR="005A6C27" w:rsidRPr="005A6C27" w:rsidRDefault="005A6C27" w:rsidP="005A6C27">
      <w:pPr>
        <w:rPr>
          <w:lang w:eastAsia="en-GB"/>
        </w:rPr>
      </w:pPr>
      <w:r w:rsidRPr="005A6C27">
        <w:rPr>
          <w:lang w:eastAsia="en-GB"/>
        </w:rPr>
        <w:lastRenderedPageBreak/>
        <w:t>1. Continued Lifecycle Investing</w:t>
      </w:r>
    </w:p>
    <w:p w14:paraId="4B1DD3FE" w14:textId="710D7F66" w:rsidR="005A6C27" w:rsidRPr="005A6C27" w:rsidRDefault="005A6C27" w:rsidP="005A6C27">
      <w:pPr>
        <w:rPr>
          <w:lang w:eastAsia="en-GB"/>
        </w:rPr>
      </w:pPr>
      <w:r w:rsidRPr="005A6C27">
        <w:rPr>
          <w:lang w:eastAsia="en-GB"/>
        </w:rPr>
        <w:t>Even though you have retired, the pension fund does not stop investing your money. Your remaining capital continues to be invested—albeit in a low-risk, highly stable portfolio—so that it continues to generate returns</w:t>
      </w:r>
      <w:r w:rsidR="00BF7981" w:rsidRPr="005A6C27">
        <w:rPr>
          <w:lang w:eastAsia="en-GB"/>
        </w:rPr>
        <w:t xml:space="preserve"> </w:t>
      </w:r>
    </w:p>
    <w:p w14:paraId="525A8BCB" w14:textId="77777777" w:rsidR="005A6C27" w:rsidRPr="005A6C27" w:rsidRDefault="005A6C27" w:rsidP="005A6C27">
      <w:pPr>
        <w:rPr>
          <w:lang w:eastAsia="en-GB"/>
        </w:rPr>
      </w:pPr>
      <w:r w:rsidRPr="005A6C27">
        <w:rPr>
          <w:lang w:eastAsia="en-GB"/>
        </w:rPr>
        <w:t>2. Annual Payout Adjustments</w:t>
      </w:r>
    </w:p>
    <w:p w14:paraId="76B1C063" w14:textId="05A829C6" w:rsidR="005A6C27" w:rsidRPr="005A6C27" w:rsidRDefault="005A6C27" w:rsidP="005A6C27">
      <w:pPr>
        <w:rPr>
          <w:lang w:eastAsia="en-GB"/>
        </w:rPr>
      </w:pPr>
      <w:r w:rsidRPr="005A6C27">
        <w:rPr>
          <w:lang w:eastAsia="en-GB"/>
        </w:rPr>
        <w:t>Every year, the pension provider compares the investment results against their expectations:</w:t>
      </w:r>
      <w:r w:rsidR="00BF7981" w:rsidRPr="005A6C27">
        <w:rPr>
          <w:lang w:eastAsia="en-GB"/>
        </w:rPr>
        <w:t xml:space="preserve"> </w:t>
      </w:r>
    </w:p>
    <w:p w14:paraId="1C2E8769" w14:textId="77777777" w:rsidR="005A6C27" w:rsidRPr="005A6C27" w:rsidRDefault="005A6C27" w:rsidP="005A6C27">
      <w:pPr>
        <w:rPr>
          <w:lang w:eastAsia="en-GB"/>
        </w:rPr>
      </w:pPr>
      <w:r w:rsidRPr="005A6C27">
        <w:rPr>
          <w:lang w:eastAsia="en-GB"/>
        </w:rPr>
        <w:t>Economic windfalls: If investments yield higher returns than expected, your monthly pension payout will increase for the next year.</w:t>
      </w:r>
    </w:p>
    <w:p w14:paraId="400D7AC5" w14:textId="28F91C9A" w:rsidR="005A6C27" w:rsidRPr="005A6C27" w:rsidRDefault="005A6C27" w:rsidP="005A6C27">
      <w:pPr>
        <w:rPr>
          <w:lang w:eastAsia="en-GB"/>
        </w:rPr>
      </w:pPr>
      <w:r w:rsidRPr="005A6C27">
        <w:rPr>
          <w:lang w:eastAsia="en-GB"/>
        </w:rPr>
        <w:t>Economic setbacks: If investments perform poorly, your monthly payout can decrease.</w:t>
      </w:r>
      <w:r w:rsidR="00BF7981" w:rsidRPr="005A6C27">
        <w:rPr>
          <w:lang w:eastAsia="en-GB"/>
        </w:rPr>
        <w:t xml:space="preserve"> </w:t>
      </w:r>
    </w:p>
    <w:p w14:paraId="602BB72C" w14:textId="77777777" w:rsidR="005A6C27" w:rsidRPr="005A6C27" w:rsidRDefault="005A6C27" w:rsidP="005A6C27">
      <w:pPr>
        <w:rPr>
          <w:lang w:eastAsia="en-GB"/>
        </w:rPr>
      </w:pPr>
      <w:r w:rsidRPr="005A6C27">
        <w:rPr>
          <w:lang w:eastAsia="en-GB"/>
        </w:rPr>
        <w:t>3. Volatility Mitigation (Smoothing)</w:t>
      </w:r>
    </w:p>
    <w:p w14:paraId="081F0A80" w14:textId="39CFC948" w:rsidR="005A6C27" w:rsidRPr="005A6C27" w:rsidRDefault="005A6C27" w:rsidP="005A6C27">
      <w:pPr>
        <w:rPr>
          <w:lang w:eastAsia="en-GB"/>
        </w:rPr>
      </w:pPr>
      <w:r w:rsidRPr="005A6C27">
        <w:rPr>
          <w:lang w:eastAsia="en-GB"/>
        </w:rPr>
        <w:t>To prevent retired participants from facing sudden, dramatic drops in their monthly income, the new system includes distinct safety mechanisms:</w:t>
      </w:r>
    </w:p>
    <w:p w14:paraId="29E2791D" w14:textId="77777777" w:rsidR="005A6C27" w:rsidRPr="005A6C27" w:rsidRDefault="005A6C27" w:rsidP="005A6C27">
      <w:pPr>
        <w:rPr>
          <w:lang w:eastAsia="en-GB"/>
        </w:rPr>
      </w:pPr>
      <w:r w:rsidRPr="005A6C27">
        <w:rPr>
          <w:lang w:eastAsia="en-GB"/>
        </w:rPr>
        <w:t>The Solidarity Reserve: This collective buffer is used by the pension fund to absorb or mitigate heavy investment losses, protecting retirees from the worst of market drops.</w:t>
      </w:r>
    </w:p>
    <w:p w14:paraId="704D123E" w14:textId="65B1E185" w:rsidR="005A6C27" w:rsidRPr="005A6C27" w:rsidRDefault="005A6C27" w:rsidP="005A6C27">
      <w:pPr>
        <w:rPr>
          <w:lang w:eastAsia="en-GB"/>
        </w:rPr>
      </w:pPr>
      <w:r w:rsidRPr="005A6C27">
        <w:rPr>
          <w:lang w:eastAsia="en-GB"/>
        </w:rPr>
        <w:t>Risk Spreading: Any financial windfalls or setbacks are not applied all at once. Instead, they are spread out over a fixed period of years (e.g., 3 to 5 years), ensuring that your monthly income remains as stable as possible.</w:t>
      </w:r>
      <w:r w:rsidR="00BF7981" w:rsidRPr="005A6C27">
        <w:rPr>
          <w:lang w:eastAsia="en-GB"/>
        </w:rPr>
        <w:t xml:space="preserve"> </w:t>
      </w:r>
    </w:p>
    <w:p w14:paraId="0828E1BB" w14:textId="77777777" w:rsidR="00BF7981" w:rsidRDefault="00BF7981" w:rsidP="005A6C27">
      <w:pPr>
        <w:rPr>
          <w:lang w:eastAsia="en-GB"/>
        </w:rPr>
      </w:pPr>
    </w:p>
    <w:p w14:paraId="3F89B215" w14:textId="2D03DC58" w:rsidR="005A6C27" w:rsidRPr="005A6C27" w:rsidRDefault="005A6C27" w:rsidP="005A6C27">
      <w:pPr>
        <w:rPr>
          <w:lang w:eastAsia="en-GB"/>
        </w:rPr>
      </w:pPr>
      <w:r w:rsidRPr="005A6C27">
        <w:rPr>
          <w:lang w:eastAsia="en-GB"/>
        </w:rPr>
        <w:t>Conversion &amp; Options at the Retirement Date</w:t>
      </w:r>
    </w:p>
    <w:p w14:paraId="2081A74C" w14:textId="5DA9CECD" w:rsidR="005A6C27" w:rsidRPr="005A6C27" w:rsidRDefault="005A6C27" w:rsidP="005A6C27">
      <w:pPr>
        <w:rPr>
          <w:lang w:eastAsia="en-GB"/>
        </w:rPr>
      </w:pPr>
      <w:r w:rsidRPr="005A6C27">
        <w:rPr>
          <w:lang w:eastAsia="en-GB"/>
        </w:rPr>
        <w:t>When you transition from the accumulation phase to the payout phase, you will have several important choices to customize your payout:</w:t>
      </w:r>
    </w:p>
    <w:p w14:paraId="28FBD605" w14:textId="77777777" w:rsidR="005A6C27" w:rsidRPr="005A6C27" w:rsidRDefault="005A6C27" w:rsidP="005A6C27">
      <w:pPr>
        <w:rPr>
          <w:lang w:eastAsia="en-GB"/>
        </w:rPr>
      </w:pPr>
      <w:r w:rsidRPr="005A6C27">
        <w:rPr>
          <w:lang w:eastAsia="en-GB"/>
        </w:rPr>
        <w:t>High/Low Pension: You can opt to receive a higher payout in the first few years of your retirement (e.g., to travel or pay off a mortgage) and a lower payout later in life, or vice versa.</w:t>
      </w:r>
    </w:p>
    <w:p w14:paraId="604E3543" w14:textId="77777777" w:rsidR="005A6C27" w:rsidRPr="005A6C27" w:rsidRDefault="005A6C27" w:rsidP="005A6C27">
      <w:pPr>
        <w:rPr>
          <w:lang w:eastAsia="en-GB"/>
        </w:rPr>
      </w:pPr>
      <w:r w:rsidRPr="005A6C27">
        <w:rPr>
          <w:lang w:eastAsia="en-GB"/>
        </w:rPr>
        <w:t>Lump Sum Payment: Subject to the final passing of specific legislation, participants may choose to withdraw up to 10% of their total accumulated pension capital as a single lump sum on their retirement date to use freely.</w:t>
      </w:r>
    </w:p>
    <w:p w14:paraId="632E4FFA" w14:textId="77777777" w:rsidR="00BF7981" w:rsidRDefault="005A6C27" w:rsidP="005A6C27">
      <w:pPr>
        <w:rPr>
          <w:lang w:eastAsia="en-GB"/>
        </w:rPr>
      </w:pPr>
      <w:r w:rsidRPr="005A6C27">
        <w:rPr>
          <w:lang w:eastAsia="en-GB"/>
        </w:rPr>
        <w:t>Partner's Pension Exchange: You can choose to convert a portion of your retirement capital to increase the survivor's benefit for your partner, or vice versa, depending on your personal needs.</w:t>
      </w:r>
    </w:p>
    <w:p w14:paraId="793DAB0C" w14:textId="77777777" w:rsidR="00BF7981" w:rsidRDefault="00BF7981" w:rsidP="005A6C27">
      <w:pPr>
        <w:rPr>
          <w:lang w:eastAsia="en-GB"/>
        </w:rPr>
      </w:pPr>
    </w:p>
    <w:p w14:paraId="335E3511" w14:textId="2C3565CA" w:rsidR="005A6C27" w:rsidRPr="005A6C27" w:rsidRDefault="00BF7981" w:rsidP="005A6C27">
      <w:pPr>
        <w:rPr>
          <w:lang w:eastAsia="en-GB"/>
        </w:rPr>
      </w:pPr>
      <w:r>
        <w:rPr>
          <w:lang w:eastAsia="en-GB"/>
        </w:rPr>
        <w:t>We need to allow for these last options as well, at least to have a placeholder in the files to make these choices. We can work on the later. First let’s get these liabilities in the model correctly. Do you need any more information ? Or can we move ahead and implement this in the model ?</w:t>
      </w:r>
      <w:r w:rsidRPr="005A6C27">
        <w:rPr>
          <w:lang w:eastAsia="en-GB"/>
        </w:rPr>
        <w:t xml:space="preserve"> </w:t>
      </w:r>
    </w:p>
    <w:p w14:paraId="737DF61A" w14:textId="40268BF7" w:rsidR="005A6C27" w:rsidRPr="005A6C27" w:rsidRDefault="005A6C27" w:rsidP="005A6C27">
      <w:pPr>
        <w:rPr>
          <w:lang w:val="en-US"/>
        </w:rPr>
      </w:pPr>
    </w:p>
    <w:sectPr w:rsidR="005A6C27" w:rsidRPr="005A6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4F7"/>
    <w:multiLevelType w:val="multilevel"/>
    <w:tmpl w:val="321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4198"/>
    <w:multiLevelType w:val="multilevel"/>
    <w:tmpl w:val="64B6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B6A78"/>
    <w:multiLevelType w:val="hybridMultilevel"/>
    <w:tmpl w:val="2592CD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9F434A"/>
    <w:multiLevelType w:val="multilevel"/>
    <w:tmpl w:val="4D6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B7CD7"/>
    <w:multiLevelType w:val="multilevel"/>
    <w:tmpl w:val="511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857820">
    <w:abstractNumId w:val="0"/>
  </w:num>
  <w:num w:numId="2" w16cid:durableId="468016336">
    <w:abstractNumId w:val="1"/>
  </w:num>
  <w:num w:numId="3" w16cid:durableId="210112578">
    <w:abstractNumId w:val="4"/>
  </w:num>
  <w:num w:numId="4" w16cid:durableId="1702626041">
    <w:abstractNumId w:val="3"/>
  </w:num>
  <w:num w:numId="5" w16cid:durableId="1637951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97A"/>
    <w:rsid w:val="00130B82"/>
    <w:rsid w:val="0019797A"/>
    <w:rsid w:val="005A6C27"/>
    <w:rsid w:val="00A6628A"/>
    <w:rsid w:val="00AA2732"/>
    <w:rsid w:val="00B9715F"/>
    <w:rsid w:val="00BF7981"/>
    <w:rsid w:val="00C013B1"/>
    <w:rsid w:val="00E12B27"/>
    <w:rsid w:val="00E34334"/>
    <w:rsid w:val="00F21613"/>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5A6D"/>
  <w15:chartTrackingRefBased/>
  <w15:docId w15:val="{939824AE-3D6A-3C40-A219-74FB8655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9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9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9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9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97A"/>
    <w:rPr>
      <w:rFonts w:eastAsiaTheme="majorEastAsia" w:cstheme="majorBidi"/>
      <w:color w:val="272727" w:themeColor="text1" w:themeTint="D8"/>
    </w:rPr>
  </w:style>
  <w:style w:type="paragraph" w:styleId="Title">
    <w:name w:val="Title"/>
    <w:basedOn w:val="Normal"/>
    <w:next w:val="Normal"/>
    <w:link w:val="TitleChar"/>
    <w:uiPriority w:val="10"/>
    <w:qFormat/>
    <w:rsid w:val="001979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9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9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797A"/>
    <w:rPr>
      <w:i/>
      <w:iCs/>
      <w:color w:val="404040" w:themeColor="text1" w:themeTint="BF"/>
    </w:rPr>
  </w:style>
  <w:style w:type="paragraph" w:styleId="ListParagraph">
    <w:name w:val="List Paragraph"/>
    <w:basedOn w:val="Normal"/>
    <w:uiPriority w:val="34"/>
    <w:qFormat/>
    <w:rsid w:val="0019797A"/>
    <w:pPr>
      <w:ind w:left="720"/>
      <w:contextualSpacing/>
    </w:pPr>
  </w:style>
  <w:style w:type="character" w:styleId="IntenseEmphasis">
    <w:name w:val="Intense Emphasis"/>
    <w:basedOn w:val="DefaultParagraphFont"/>
    <w:uiPriority w:val="21"/>
    <w:qFormat/>
    <w:rsid w:val="0019797A"/>
    <w:rPr>
      <w:i/>
      <w:iCs/>
      <w:color w:val="0F4761" w:themeColor="accent1" w:themeShade="BF"/>
    </w:rPr>
  </w:style>
  <w:style w:type="paragraph" w:styleId="IntenseQuote">
    <w:name w:val="Intense Quote"/>
    <w:basedOn w:val="Normal"/>
    <w:next w:val="Normal"/>
    <w:link w:val="IntenseQuoteChar"/>
    <w:uiPriority w:val="30"/>
    <w:qFormat/>
    <w:rsid w:val="00197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97A"/>
    <w:rPr>
      <w:i/>
      <w:iCs/>
      <w:color w:val="0F4761" w:themeColor="accent1" w:themeShade="BF"/>
    </w:rPr>
  </w:style>
  <w:style w:type="character" w:styleId="IntenseReference">
    <w:name w:val="Intense Reference"/>
    <w:basedOn w:val="DefaultParagraphFont"/>
    <w:uiPriority w:val="32"/>
    <w:qFormat/>
    <w:rsid w:val="0019797A"/>
    <w:rPr>
      <w:b/>
      <w:bCs/>
      <w:smallCaps/>
      <w:color w:val="0F4761" w:themeColor="accent1" w:themeShade="BF"/>
      <w:spacing w:val="5"/>
    </w:rPr>
  </w:style>
  <w:style w:type="character" w:customStyle="1" w:styleId="apple-converted-space">
    <w:name w:val="apple-converted-space"/>
    <w:basedOn w:val="DefaultParagraphFont"/>
    <w:rsid w:val="005A6C27"/>
  </w:style>
  <w:style w:type="character" w:styleId="Strong">
    <w:name w:val="Strong"/>
    <w:basedOn w:val="DefaultParagraphFont"/>
    <w:uiPriority w:val="22"/>
    <w:qFormat/>
    <w:rsid w:val="005A6C27"/>
    <w:rPr>
      <w:b/>
      <w:bCs/>
    </w:rPr>
  </w:style>
  <w:style w:type="character" w:styleId="Hyperlink">
    <w:name w:val="Hyperlink"/>
    <w:basedOn w:val="DefaultParagraphFont"/>
    <w:uiPriority w:val="99"/>
    <w:unhideWhenUsed/>
    <w:rsid w:val="005A6C27"/>
    <w:rPr>
      <w:color w:val="0000FF"/>
      <w:u w:val="single"/>
    </w:rPr>
  </w:style>
  <w:style w:type="paragraph" w:customStyle="1" w:styleId="z1qcye">
    <w:name w:val="z1qcye"/>
    <w:basedOn w:val="Normal"/>
    <w:rsid w:val="005A6C2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5A6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793</Words>
  <Characters>4418</Characters>
  <Application>Microsoft Office Word</Application>
  <DocSecurity>0</DocSecurity>
  <Lines>176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Thijs Aaten</dc:creator>
  <cp:keywords/>
  <dc:description/>
  <cp:lastModifiedBy>Thijs Aaten</cp:lastModifiedBy>
  <cp:revision>1</cp:revision>
  <dcterms:created xsi:type="dcterms:W3CDTF">2026-05-04T03:38:00Z</dcterms:created>
  <dcterms:modified xsi:type="dcterms:W3CDTF">2026-05-04T06:19:00Z</dcterms:modified>
</cp:coreProperties>
</file>