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in Enterprise</w:t>
      </w:r>
    </w:p>
    <w:p>
      <w:r>
        <w:t>AI is transforming how businesses operate, from automating tasks to enabling complex decision-making.</w:t>
      </w:r>
    </w:p>
    <w:p>
      <w:pPr>
        <w:pStyle w:val="Heading2"/>
      </w:pPr>
      <w:r>
        <w:t>Key AI Technologies</w:t>
      </w:r>
    </w:p>
    <w:p>
      <w:r>
        <w:t>Machine Learning: Algorithms that learn patterns from data to make predictions.</w:t>
      </w:r>
    </w:p>
    <w:p>
      <w:r>
        <w:t>NLP: Enables computers to understand and generate human language.</w:t>
      </w:r>
    </w:p>
    <w:p>
      <w:r>
        <w:t>Computer Vision: Allows machines to interpret visual information.</w:t>
      </w:r>
    </w:p>
    <w:p>
      <w:pPr>
        <w:pStyle w:val="Heading2"/>
      </w:pPr>
      <w:r>
        <w:t>RAG Systems</w:t>
      </w:r>
    </w:p>
    <w:p>
      <w:r>
        <w:t>RAG combines LLMs with enterprise knowledge bases for accurate, contextual responses.</w:t>
      </w:r>
    </w:p>
    <w:p>
      <w:r>
        <w:t>Benefits: reduced hallucination, real-time knowledge updates, source attribution.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