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8"/>
        </w:rPr>
        <w:t>J.A.R.V.I.S Test Document</w:t>
      </w:r>
    </w:p>
    <w:p/>
    <w:p>
      <w:pPr>
        <w:pStyle w:val="Heading1"/>
      </w:pPr>
      <w:r>
        <w:rPr>
          <w:color w:val="005599"/>
        </w:rPr>
        <w:t>System Initialization</w:t>
      </w:r>
    </w:p>
    <w:p>
      <w:pPr>
        <w:spacing w:line="276" w:lineRule="auto" w:after="160"/>
      </w:pPr>
      <w:r>
        <w:t>All remote PC automation tools have been initialized successfully.</w:t>
      </w:r>
    </w:p>
    <w:p>
      <w:pPr>
        <w:pStyle w:val="Heading1"/>
      </w:pPr>
      <w:r>
        <w:rPr>
          <w:color w:val="005599"/>
        </w:rPr>
        <w:t>Hardware Node Status</w:t>
      </w:r>
    </w:p>
    <w:p>
      <w:pPr>
        <w:spacing w:line="276" w:lineRule="auto" w:after="160"/>
      </w:pPr>
      <w:r>
        <w:t>ESP32 Wake-on-LAN listener ready for incoming magic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