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A94" w:rsidRDefault="00E2593D">
      <w:pPr>
        <w:spacing w:after="0"/>
        <w:ind w:left="3417" w:hanging="10"/>
      </w:pPr>
      <w:r>
        <w:rPr>
          <w:rFonts w:cs="Calibri"/>
          <w:b/>
          <w:sz w:val="24"/>
        </w:rPr>
        <w:t xml:space="preserve">Project Design Phase-I </w:t>
      </w:r>
    </w:p>
    <w:p w:rsidR="00F17A94" w:rsidRDefault="00E2593D">
      <w:pPr>
        <w:spacing w:after="0"/>
        <w:ind w:left="3092" w:hanging="10"/>
      </w:pPr>
      <w:r>
        <w:rPr>
          <w:rFonts w:cs="Calibri"/>
          <w:b/>
          <w:sz w:val="24"/>
        </w:rPr>
        <w:t xml:space="preserve">Proposed Solution Template </w:t>
      </w:r>
    </w:p>
    <w:p w:rsidR="00F17A94" w:rsidRDefault="00E2593D">
      <w:pPr>
        <w:spacing w:after="0"/>
        <w:ind w:left="2057"/>
        <w:jc w:val="center"/>
      </w:pPr>
      <w:r>
        <w:rPr>
          <w:rFonts w:cs="Calibri"/>
          <w:b/>
        </w:rPr>
        <w:t xml:space="preserve"> </w:t>
      </w:r>
    </w:p>
    <w:tbl>
      <w:tblPr>
        <w:tblStyle w:val="TableGrid"/>
        <w:tblW w:w="9019" w:type="dxa"/>
        <w:tblInd w:w="5" w:type="dxa"/>
        <w:tblCellMar>
          <w:top w:w="45" w:type="dxa"/>
          <w:left w:w="105" w:type="dxa"/>
          <w:bottom w:w="0" w:type="dxa"/>
          <w:right w:w="68" w:type="dxa"/>
        </w:tblCellMar>
        <w:tblLook w:val="04A0" w:firstRow="1" w:lastRow="0" w:firstColumn="1" w:lastColumn="0" w:noHBand="0" w:noVBand="1"/>
      </w:tblPr>
      <w:tblGrid>
        <w:gridCol w:w="4512"/>
        <w:gridCol w:w="4507"/>
      </w:tblGrid>
      <w:tr w:rsidR="00F17A94">
        <w:trPr>
          <w:trHeight w:val="275"/>
        </w:trPr>
        <w:tc>
          <w:tcPr>
            <w:tcW w:w="451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pPr>
            <w:r>
              <w:t xml:space="preserve">08 May 2023 </w:t>
            </w:r>
          </w:p>
        </w:tc>
      </w:tr>
      <w:tr w:rsidR="00F17A94">
        <w:trPr>
          <w:trHeight w:val="280"/>
        </w:trPr>
        <w:tc>
          <w:tcPr>
            <w:tcW w:w="451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pPr>
            <w:r>
              <w:t xml:space="preserve">NM2023TMID20397 </w:t>
            </w:r>
          </w:p>
        </w:tc>
      </w:tr>
      <w:tr w:rsidR="00F17A94">
        <w:trPr>
          <w:trHeight w:val="545"/>
        </w:trPr>
        <w:tc>
          <w:tcPr>
            <w:tcW w:w="451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pPr>
            <w:r>
              <w:t xml:space="preserve">Estimation and prediction of hospitalization and medical care cost </w:t>
            </w:r>
          </w:p>
        </w:tc>
      </w:tr>
    </w:tbl>
    <w:p w:rsidR="00F17A94" w:rsidRDefault="00E2593D">
      <w:r>
        <w:rPr>
          <w:rFonts w:cs="Calibri"/>
          <w:b/>
        </w:rPr>
        <w:t xml:space="preserve"> </w:t>
      </w:r>
    </w:p>
    <w:p w:rsidR="00F17A94" w:rsidRDefault="00E2593D">
      <w:r>
        <w:rPr>
          <w:rFonts w:cs="Calibri"/>
          <w:b/>
        </w:rPr>
        <w:t xml:space="preserve">Proposed Solution Template: </w:t>
      </w:r>
    </w:p>
    <w:p w:rsidR="00F17A94" w:rsidRDefault="00E2593D">
      <w:pPr>
        <w:spacing w:after="0"/>
      </w:pPr>
      <w:r>
        <w:rPr>
          <w:rFonts w:cs="Calibri"/>
        </w:rPr>
        <w:t xml:space="preserve">Project team shall fill the following information in proposed solution template. </w:t>
      </w:r>
    </w:p>
    <w:tbl>
      <w:tblPr>
        <w:tblStyle w:val="TableGrid"/>
        <w:tblW w:w="9069" w:type="dxa"/>
        <w:tblInd w:w="5" w:type="dxa"/>
        <w:tblCellMar>
          <w:top w:w="42" w:type="dxa"/>
          <w:left w:w="105" w:type="dxa"/>
          <w:bottom w:w="0" w:type="dxa"/>
          <w:right w:w="95" w:type="dxa"/>
        </w:tblCellMar>
        <w:tblLook w:val="04A0" w:firstRow="1" w:lastRow="0" w:firstColumn="1" w:lastColumn="0" w:noHBand="0" w:noVBand="1"/>
      </w:tblPr>
      <w:tblGrid>
        <w:gridCol w:w="901"/>
        <w:gridCol w:w="3662"/>
        <w:gridCol w:w="4506"/>
      </w:tblGrid>
      <w:tr w:rsidR="00F17A94">
        <w:trPr>
          <w:trHeight w:val="570"/>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b/>
              </w:rPr>
              <w:t xml:space="preserve">S.No.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pPr>
            <w:r>
              <w:rPr>
                <w:b/>
              </w:rPr>
              <w:t xml:space="preserve">Description </w:t>
            </w:r>
          </w:p>
        </w:tc>
      </w:tr>
      <w:tr w:rsidR="00F17A94">
        <w:trPr>
          <w:trHeight w:val="8872"/>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1" w:line="240" w:lineRule="auto"/>
            </w:pPr>
            <w:r>
              <w:t xml:space="preserve">The problem statement is to develop a model for estimating and predicting the cost of hospitalization and medical care for patients. This model could be useful for healthcare providers, insurance companies, and patients themselves. </w:t>
            </w:r>
          </w:p>
          <w:p w:rsidR="00F17A94" w:rsidRDefault="00E2593D">
            <w:pPr>
              <w:spacing w:after="0"/>
            </w:pPr>
            <w:r>
              <w:t xml:space="preserve"> </w:t>
            </w:r>
          </w:p>
          <w:p w:rsidR="00F17A94" w:rsidRDefault="00E2593D">
            <w:pPr>
              <w:spacing w:after="1" w:line="240" w:lineRule="auto"/>
            </w:pPr>
            <w:r>
              <w:t>The model should take</w:t>
            </w:r>
            <w:r>
              <w:t xml:space="preserve"> into account various factors that can affect the cost of hospitalization and medical care, such as the type and severity of the medical condition, the length of hospital stay, the type of treatments and procedures required, the age and overall health of t</w:t>
            </w:r>
            <w:r>
              <w:t xml:space="preserve">he patient, and other relevant demographic and clinical information. </w:t>
            </w:r>
          </w:p>
          <w:p w:rsidR="00F17A94" w:rsidRDefault="00E2593D">
            <w:pPr>
              <w:spacing w:after="0"/>
            </w:pPr>
            <w:r>
              <w:t xml:space="preserve"> </w:t>
            </w:r>
          </w:p>
          <w:p w:rsidR="00F17A94" w:rsidRDefault="00E2593D">
            <w:pPr>
              <w:spacing w:after="2" w:line="240" w:lineRule="auto"/>
            </w:pPr>
            <w:r>
              <w:t>The goal of the model is to provide accurate estimates and predictions of the expected cost of hospitalization and medical care, which can help patients and healthcare providers make i</w:t>
            </w:r>
            <w:r>
              <w:t xml:space="preserve">nformed decisions about treatment options and financial planning. This can also help insurance companies better understand the risks associated with different medical conditions and develop more accurate pricing models. </w:t>
            </w:r>
          </w:p>
          <w:p w:rsidR="00F17A94" w:rsidRDefault="00E2593D">
            <w:pPr>
              <w:spacing w:after="0"/>
            </w:pPr>
            <w:r>
              <w:t xml:space="preserve"> </w:t>
            </w:r>
          </w:p>
          <w:p w:rsidR="00F17A94" w:rsidRDefault="00E2593D">
            <w:pPr>
              <w:spacing w:after="0"/>
            </w:pPr>
            <w:r>
              <w:t xml:space="preserve">Overall, developing a robust and </w:t>
            </w:r>
            <w:r>
              <w:t xml:space="preserve">accurate model for estimating and predicting the cost of hospitalization and medical care has the potential to improve healthcare outcomes and reduce financial burdens for patients and healthcare providers alike. </w:t>
            </w:r>
          </w:p>
        </w:tc>
      </w:tr>
      <w:tr w:rsidR="00F17A94">
        <w:trPr>
          <w:trHeight w:val="1620"/>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291"/>
            </w:pPr>
            <w:r>
              <w:lastRenderedPageBreak/>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pPr>
            <w:r>
              <w:t>One possible solution for estimating and predicting hospitalization and medical care costs is to use machine learning algorithms that can analyze large amounts of data and identify patterns and correlations between different va</w:t>
            </w:r>
            <w:r>
              <w:t xml:space="preserve">riables. </w:t>
            </w:r>
          </w:p>
        </w:tc>
      </w:tr>
    </w:tbl>
    <w:p w:rsidR="00F17A94" w:rsidRDefault="00F17A94">
      <w:pPr>
        <w:spacing w:after="0"/>
        <w:ind w:left="-1441" w:right="8458"/>
      </w:pPr>
    </w:p>
    <w:tbl>
      <w:tblPr>
        <w:tblStyle w:val="TableGrid"/>
        <w:tblW w:w="9069" w:type="dxa"/>
        <w:tblInd w:w="5" w:type="dxa"/>
        <w:tblCellMar>
          <w:top w:w="50" w:type="dxa"/>
          <w:left w:w="105" w:type="dxa"/>
          <w:bottom w:w="0" w:type="dxa"/>
          <w:right w:w="65" w:type="dxa"/>
        </w:tblCellMar>
        <w:tblLook w:val="04A0" w:firstRow="1" w:lastRow="0" w:firstColumn="1" w:lastColumn="0" w:noHBand="0" w:noVBand="1"/>
      </w:tblPr>
      <w:tblGrid>
        <w:gridCol w:w="900"/>
        <w:gridCol w:w="3662"/>
        <w:gridCol w:w="4507"/>
      </w:tblGrid>
      <w:tr w:rsidR="00F17A94">
        <w:trPr>
          <w:trHeight w:val="13979"/>
        </w:trPr>
        <w:tc>
          <w:tcPr>
            <w:tcW w:w="901" w:type="dxa"/>
            <w:tcBorders>
              <w:top w:val="single" w:sz="4" w:space="0" w:color="000000"/>
              <w:left w:val="single" w:sz="4" w:space="0" w:color="000000"/>
              <w:bottom w:val="single" w:sz="4" w:space="0" w:color="000000"/>
              <w:right w:val="single" w:sz="4" w:space="0" w:color="000000"/>
            </w:tcBorders>
          </w:tcPr>
          <w:p w:rsidR="00F17A94" w:rsidRDefault="00F17A94"/>
        </w:tc>
        <w:tc>
          <w:tcPr>
            <w:tcW w:w="3662" w:type="dxa"/>
            <w:tcBorders>
              <w:top w:val="single" w:sz="4" w:space="0" w:color="000000"/>
              <w:left w:val="single" w:sz="4" w:space="0" w:color="000000"/>
              <w:bottom w:val="single" w:sz="4" w:space="0" w:color="000000"/>
              <w:right w:val="single" w:sz="4" w:space="0" w:color="000000"/>
            </w:tcBorders>
          </w:tcPr>
          <w:p w:rsidR="00F17A94" w:rsidRDefault="00F17A94"/>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pPr>
            <w:r>
              <w:t xml:space="preserve"> </w:t>
            </w:r>
          </w:p>
          <w:p w:rsidR="00F17A94" w:rsidRDefault="00E2593D">
            <w:pPr>
              <w:spacing w:after="5" w:line="237" w:lineRule="auto"/>
            </w:pPr>
            <w:r>
              <w:t xml:space="preserve">To develop such a model, the following steps could be taken: </w:t>
            </w:r>
          </w:p>
          <w:p w:rsidR="00F17A94" w:rsidRDefault="00E2593D">
            <w:pPr>
              <w:spacing w:after="0"/>
            </w:pPr>
            <w:r>
              <w:t xml:space="preserve"> </w:t>
            </w:r>
          </w:p>
          <w:p w:rsidR="00F17A94" w:rsidRDefault="00E2593D">
            <w:pPr>
              <w:spacing w:after="0" w:line="240" w:lineRule="auto"/>
            </w:pPr>
            <w:r>
              <w:t xml:space="preserve">Collect and preprocess data: Collecting data from various sources, including electronic health records, medical claims data, and demographic information, and preprocessing it to ensure consistency and completeness. </w:t>
            </w:r>
          </w:p>
          <w:p w:rsidR="00F17A94" w:rsidRDefault="00E2593D">
            <w:pPr>
              <w:spacing w:after="0"/>
            </w:pPr>
            <w:r>
              <w:t xml:space="preserve"> </w:t>
            </w:r>
          </w:p>
          <w:p w:rsidR="00F17A94" w:rsidRDefault="00E2593D">
            <w:pPr>
              <w:spacing w:after="2" w:line="240" w:lineRule="auto"/>
            </w:pPr>
            <w:r>
              <w:t>Feature engineering: Identifying relev</w:t>
            </w:r>
            <w:r>
              <w:t>ant features and creating new features that capture the underlying relationships between different variables. This may include features such as the patient's age, gender, medical history, medications, and other relevant clinical and demographic information</w:t>
            </w:r>
            <w:r>
              <w:t xml:space="preserve">. </w:t>
            </w:r>
          </w:p>
          <w:p w:rsidR="00F17A94" w:rsidRDefault="00E2593D">
            <w:pPr>
              <w:spacing w:after="0"/>
            </w:pPr>
            <w:r>
              <w:t xml:space="preserve"> </w:t>
            </w:r>
          </w:p>
          <w:p w:rsidR="00F17A94" w:rsidRDefault="00E2593D">
            <w:pPr>
              <w:spacing w:after="2" w:line="240" w:lineRule="auto"/>
            </w:pPr>
            <w:r>
              <w:t xml:space="preserve">Model selection: Selecting appropriate machine learning models based on the nature of the problem and the available data. This may include regression models, decision trees, random forests, neural networks, or other suitable models. </w:t>
            </w:r>
          </w:p>
          <w:p w:rsidR="00F17A94" w:rsidRDefault="00E2593D">
            <w:pPr>
              <w:spacing w:after="0"/>
            </w:pPr>
            <w:r>
              <w:t xml:space="preserve"> </w:t>
            </w:r>
          </w:p>
          <w:p w:rsidR="00F17A94" w:rsidRDefault="00E2593D">
            <w:pPr>
              <w:spacing w:after="2" w:line="240" w:lineRule="auto"/>
              <w:ind w:right="44"/>
            </w:pPr>
            <w:r>
              <w:t>Model training and validation: Training the selected models on the data and evaluating their performance using appropriate metrics such as accuracy, precision, recall, and F1score. The models can be validated using various techniques such as cross-validati</w:t>
            </w:r>
            <w:r>
              <w:t xml:space="preserve">on or holdout validation. </w:t>
            </w:r>
          </w:p>
          <w:p w:rsidR="00F17A94" w:rsidRDefault="00E2593D">
            <w:pPr>
              <w:spacing w:after="0"/>
            </w:pPr>
            <w:r>
              <w:t xml:space="preserve"> </w:t>
            </w:r>
          </w:p>
          <w:p w:rsidR="00F17A94" w:rsidRDefault="00E2593D">
            <w:pPr>
              <w:spacing w:after="0" w:line="241" w:lineRule="auto"/>
            </w:pPr>
            <w:r>
              <w:t xml:space="preserve">Hyperparameter tuning: Optimizing the hyperparameters of the selected models to improve their performance. </w:t>
            </w:r>
          </w:p>
          <w:p w:rsidR="00F17A94" w:rsidRDefault="00E2593D">
            <w:pPr>
              <w:spacing w:after="0"/>
            </w:pPr>
            <w:r>
              <w:t xml:space="preserve"> </w:t>
            </w:r>
          </w:p>
          <w:p w:rsidR="00F17A94" w:rsidRDefault="00E2593D">
            <w:pPr>
              <w:spacing w:after="1" w:line="240" w:lineRule="auto"/>
              <w:ind w:right="22"/>
            </w:pPr>
            <w:r>
              <w:t xml:space="preserve">Deployment and monitoring: Deploying the final model in a production environment and continuously monitoring its performance to ensure that it remains accurate and reliable over time. </w:t>
            </w:r>
          </w:p>
          <w:p w:rsidR="00F17A94" w:rsidRDefault="00E2593D">
            <w:pPr>
              <w:spacing w:after="0"/>
            </w:pPr>
            <w:r>
              <w:t xml:space="preserve"> </w:t>
            </w:r>
          </w:p>
          <w:p w:rsidR="00F17A94" w:rsidRDefault="00E2593D">
            <w:pPr>
              <w:spacing w:after="0"/>
              <w:ind w:right="9"/>
            </w:pPr>
            <w:r>
              <w:t>The output of the model would be an estimate of the expected hospital</w:t>
            </w:r>
            <w:r>
              <w:t xml:space="preserve">ization and medical care costs for a given patient, based on their clinical and demographic information. This information can be used by healthcare providers, insurance companies, and patients themselves to make informed decisions about treatment options, </w:t>
            </w:r>
            <w:r>
              <w:t xml:space="preserve">financial planning, and risk management. </w:t>
            </w:r>
          </w:p>
        </w:tc>
      </w:tr>
    </w:tbl>
    <w:p w:rsidR="00F17A94" w:rsidRDefault="00F17A94">
      <w:pPr>
        <w:spacing w:after="0"/>
        <w:ind w:left="-1441" w:right="8458"/>
      </w:pPr>
    </w:p>
    <w:tbl>
      <w:tblPr>
        <w:tblStyle w:val="TableGrid"/>
        <w:tblW w:w="9069" w:type="dxa"/>
        <w:tblInd w:w="5" w:type="dxa"/>
        <w:tblCellMar>
          <w:top w:w="42" w:type="dxa"/>
          <w:left w:w="105" w:type="dxa"/>
          <w:bottom w:w="0" w:type="dxa"/>
          <w:right w:w="72" w:type="dxa"/>
        </w:tblCellMar>
        <w:tblLook w:val="04A0" w:firstRow="1" w:lastRow="0" w:firstColumn="1" w:lastColumn="0" w:noHBand="0" w:noVBand="1"/>
      </w:tblPr>
      <w:tblGrid>
        <w:gridCol w:w="901"/>
        <w:gridCol w:w="3662"/>
        <w:gridCol w:w="4506"/>
      </w:tblGrid>
      <w:tr w:rsidR="00F17A94">
        <w:trPr>
          <w:trHeight w:val="10488"/>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291"/>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line="240" w:lineRule="auto"/>
            </w:pPr>
            <w:r>
              <w:t xml:space="preserve">The estimation and prediction of hospitalization and medical care costs using machine learning techniques is a relatively novel and unique approach that can provide several advantages over traditional methods. </w:t>
            </w:r>
          </w:p>
          <w:p w:rsidR="00F17A94" w:rsidRDefault="00E2593D">
            <w:pPr>
              <w:spacing w:after="0"/>
            </w:pPr>
            <w:r>
              <w:t xml:space="preserve"> </w:t>
            </w:r>
          </w:p>
          <w:p w:rsidR="00F17A94" w:rsidRDefault="00E2593D">
            <w:pPr>
              <w:spacing w:after="2" w:line="240" w:lineRule="auto"/>
              <w:ind w:right="29"/>
            </w:pPr>
            <w:r>
              <w:t>Firstly, machine learning algorithms can an</w:t>
            </w:r>
            <w:r>
              <w:t xml:space="preserve">alyze large amounts of data and identify complex patterns and relationships between different variables that may not be easily apparent to humans. This can improve the accuracy of cost estimates and predictions and reduce the risk of errors or biases. </w:t>
            </w:r>
          </w:p>
          <w:p w:rsidR="00F17A94" w:rsidRDefault="00E2593D">
            <w:pPr>
              <w:spacing w:after="0"/>
            </w:pPr>
            <w:r>
              <w:t xml:space="preserve"> </w:t>
            </w:r>
          </w:p>
          <w:p w:rsidR="00F17A94" w:rsidRDefault="00E2593D">
            <w:pPr>
              <w:spacing w:after="1" w:line="240" w:lineRule="auto"/>
            </w:pPr>
            <w:r>
              <w:t>S</w:t>
            </w:r>
            <w:r>
              <w:t>econdly, machine learning models can be customized to specific patient populations or medical conditions, which can provide more tailored and personalized estimates and predictions. This can help patients and healthcare providers make more informed decisio</w:t>
            </w:r>
            <w:r>
              <w:t xml:space="preserve">ns about treatment options and financial planning. </w:t>
            </w:r>
          </w:p>
          <w:p w:rsidR="00F17A94" w:rsidRDefault="00E2593D">
            <w:pPr>
              <w:spacing w:after="0"/>
            </w:pPr>
            <w:r>
              <w:t xml:space="preserve"> </w:t>
            </w:r>
          </w:p>
          <w:p w:rsidR="00F17A94" w:rsidRDefault="00E2593D">
            <w:pPr>
              <w:spacing w:after="2" w:line="240" w:lineRule="auto"/>
            </w:pPr>
            <w:r>
              <w:t>Thirdly, machine learning models can be updated and refined over time as new data becomes available, which can help to improve their accuracy and reliability. This can help insurance companies better un</w:t>
            </w:r>
            <w:r>
              <w:t xml:space="preserve">derstand the risks associated with different medical conditions and develop more accurate pricing models. </w:t>
            </w:r>
          </w:p>
          <w:p w:rsidR="00F17A94" w:rsidRDefault="00E2593D">
            <w:pPr>
              <w:spacing w:after="0"/>
            </w:pPr>
            <w:r>
              <w:t xml:space="preserve"> </w:t>
            </w:r>
          </w:p>
          <w:p w:rsidR="00F17A94" w:rsidRDefault="00E2593D">
            <w:pPr>
              <w:spacing w:after="0"/>
            </w:pPr>
            <w:r>
              <w:t>Overall, the use of machine learning for estimating and predicting hospitalization and medical care costs has the potential to improve healthcare o</w:t>
            </w:r>
            <w:r>
              <w:t xml:space="preserve">utcomes and reduce financial burdens for patients and healthcare providers alike, making it a novel and unique approach to this important problem. </w:t>
            </w:r>
          </w:p>
        </w:tc>
      </w:tr>
      <w:tr w:rsidR="00F17A94">
        <w:trPr>
          <w:trHeight w:val="4041"/>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291"/>
            </w:pPr>
            <w:r>
              <w:lastRenderedPageBreak/>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3" w:line="239" w:lineRule="auto"/>
            </w:pPr>
            <w:r>
              <w:t xml:space="preserve">The estimation and prediction of hospitalization and medical care costs using machine learning techniques can have a significant social impact and improve customer satisfaction in several ways. </w:t>
            </w:r>
          </w:p>
          <w:p w:rsidR="00F17A94" w:rsidRDefault="00E2593D">
            <w:pPr>
              <w:spacing w:after="0"/>
            </w:pPr>
            <w:r>
              <w:t xml:space="preserve"> </w:t>
            </w:r>
          </w:p>
          <w:p w:rsidR="00F17A94" w:rsidRDefault="00E2593D">
            <w:pPr>
              <w:spacing w:after="0"/>
              <w:ind w:right="28"/>
            </w:pPr>
            <w:r>
              <w:t>Firstly, accurate cost estimates and predictions can help p</w:t>
            </w:r>
            <w:r>
              <w:t>atients and healthcare providers make more informed decisions about treatment options and financial planning. Patients can better understand the financial implications of their medical condition and choose treatment options that are more affordable and sus</w:t>
            </w:r>
            <w:r>
              <w:t xml:space="preserve">tainable. This can reduce the financial burden on patients and their families </w:t>
            </w:r>
          </w:p>
        </w:tc>
      </w:tr>
    </w:tbl>
    <w:p w:rsidR="00F17A94" w:rsidRDefault="00F17A94">
      <w:pPr>
        <w:spacing w:after="0"/>
        <w:ind w:left="-1441" w:right="8458"/>
      </w:pPr>
    </w:p>
    <w:tbl>
      <w:tblPr>
        <w:tblStyle w:val="TableGrid"/>
        <w:tblW w:w="9069" w:type="dxa"/>
        <w:tblInd w:w="5" w:type="dxa"/>
        <w:tblCellMar>
          <w:top w:w="42" w:type="dxa"/>
          <w:left w:w="105" w:type="dxa"/>
          <w:bottom w:w="0" w:type="dxa"/>
          <w:right w:w="65" w:type="dxa"/>
        </w:tblCellMar>
        <w:tblLook w:val="04A0" w:firstRow="1" w:lastRow="0" w:firstColumn="1" w:lastColumn="0" w:noHBand="0" w:noVBand="1"/>
      </w:tblPr>
      <w:tblGrid>
        <w:gridCol w:w="901"/>
        <w:gridCol w:w="3662"/>
        <w:gridCol w:w="4506"/>
      </w:tblGrid>
      <w:tr w:rsidR="00F17A94">
        <w:trPr>
          <w:trHeight w:val="4846"/>
        </w:trPr>
        <w:tc>
          <w:tcPr>
            <w:tcW w:w="901" w:type="dxa"/>
            <w:tcBorders>
              <w:top w:val="single" w:sz="4" w:space="0" w:color="000000"/>
              <w:left w:val="single" w:sz="4" w:space="0" w:color="000000"/>
              <w:bottom w:val="single" w:sz="4" w:space="0" w:color="000000"/>
              <w:right w:val="single" w:sz="4" w:space="0" w:color="000000"/>
            </w:tcBorders>
          </w:tcPr>
          <w:p w:rsidR="00F17A94" w:rsidRDefault="00F17A94"/>
        </w:tc>
        <w:tc>
          <w:tcPr>
            <w:tcW w:w="3662" w:type="dxa"/>
            <w:tcBorders>
              <w:top w:val="single" w:sz="4" w:space="0" w:color="000000"/>
              <w:left w:val="single" w:sz="4" w:space="0" w:color="000000"/>
              <w:bottom w:val="single" w:sz="4" w:space="0" w:color="000000"/>
              <w:right w:val="single" w:sz="4" w:space="0" w:color="000000"/>
            </w:tcBorders>
          </w:tcPr>
          <w:p w:rsidR="00F17A94" w:rsidRDefault="00F17A94"/>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line="241" w:lineRule="auto"/>
            </w:pPr>
            <w:r>
              <w:t xml:space="preserve">and improve their overall satisfaction with the healthcare system. </w:t>
            </w:r>
          </w:p>
          <w:p w:rsidR="00F17A94" w:rsidRDefault="00E2593D">
            <w:pPr>
              <w:spacing w:after="0"/>
            </w:pPr>
            <w:r>
              <w:t xml:space="preserve"> </w:t>
            </w:r>
          </w:p>
          <w:p w:rsidR="00F17A94" w:rsidRDefault="00E2593D">
            <w:pPr>
              <w:spacing w:after="2" w:line="240" w:lineRule="auto"/>
              <w:ind w:right="5"/>
            </w:pPr>
            <w:r>
              <w:t xml:space="preserve">Secondly, insurance companies can use accurate cost estimates and predictions to develop more accurate pricing models and reduce the risk of underpricing or overpricing. This can lead to more affordable insurance premiums for customers and improved access </w:t>
            </w:r>
            <w:r>
              <w:t xml:space="preserve">to healthcare services. </w:t>
            </w:r>
          </w:p>
          <w:p w:rsidR="00F17A94" w:rsidRDefault="00E2593D">
            <w:pPr>
              <w:spacing w:after="0"/>
            </w:pPr>
            <w:r>
              <w:t xml:space="preserve"> </w:t>
            </w:r>
          </w:p>
          <w:p w:rsidR="00F17A94" w:rsidRDefault="00E2593D">
            <w:pPr>
              <w:spacing w:after="0"/>
            </w:pPr>
            <w:r>
              <w:t>Thirdly, accurate cost estimates and predictions can help healthcare providers better manage their resources and reduce unnecessary costs. Providers can identify areas where costs can be reduced without compromising the quality o</w:t>
            </w:r>
            <w:r>
              <w:t xml:space="preserve">f care, which can lead to more efficient and effective healthcare delivery. </w:t>
            </w:r>
          </w:p>
        </w:tc>
      </w:tr>
      <w:tr w:rsidR="00F17A94">
        <w:trPr>
          <w:trHeight w:val="9683"/>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291"/>
            </w:pPr>
            <w:r>
              <w:lastRenderedPageBreak/>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2" w:line="240" w:lineRule="auto"/>
            </w:pPr>
            <w:r>
              <w:t xml:space="preserve">A potential business model for offering estimation and prediction of hospitalization and medical care cost using machine learning could involve the following components: </w:t>
            </w:r>
          </w:p>
          <w:p w:rsidR="00F17A94" w:rsidRDefault="00E2593D">
            <w:pPr>
              <w:spacing w:after="0"/>
            </w:pPr>
            <w:r>
              <w:t xml:space="preserve"> </w:t>
            </w:r>
          </w:p>
          <w:p w:rsidR="00F17A94" w:rsidRDefault="00E2593D">
            <w:pPr>
              <w:spacing w:after="1" w:line="240" w:lineRule="auto"/>
            </w:pPr>
            <w:r>
              <w:t>Data acquisition and preprocessing: The first step would involve acquiring and prep</w:t>
            </w:r>
            <w:r>
              <w:t>rocessing data from various sources, including electronic health records, medical claims data, and demographic information. This would require partnerships with healthcare providers, insurance companies, and other relevant stakeholders to gain access to th</w:t>
            </w:r>
            <w:r>
              <w:t xml:space="preserve">e required data. </w:t>
            </w:r>
          </w:p>
          <w:p w:rsidR="00F17A94" w:rsidRDefault="00E2593D">
            <w:pPr>
              <w:spacing w:after="0"/>
            </w:pPr>
            <w:r>
              <w:t xml:space="preserve"> </w:t>
            </w:r>
          </w:p>
          <w:p w:rsidR="00F17A94" w:rsidRDefault="00E2593D">
            <w:pPr>
              <w:spacing w:after="1" w:line="240" w:lineRule="auto"/>
            </w:pPr>
            <w:r>
              <w:t>Feature engineering and model development: Once the data has been acquired and preprocessed, the next step would involve feature engineering and developing machine learning models to estimate and predict hospitalization and medical care</w:t>
            </w:r>
            <w:r>
              <w:t xml:space="preserve"> costs. This would require a team of data scientists and machine learning experts with expertise in healthcare analytics. </w:t>
            </w:r>
          </w:p>
          <w:p w:rsidR="00F17A94" w:rsidRDefault="00E2593D">
            <w:pPr>
              <w:spacing w:after="0"/>
            </w:pPr>
            <w:r>
              <w:t xml:space="preserve"> </w:t>
            </w:r>
          </w:p>
          <w:p w:rsidR="00F17A94" w:rsidRDefault="00E2593D">
            <w:pPr>
              <w:spacing w:after="2" w:line="240" w:lineRule="auto"/>
              <w:ind w:right="43"/>
            </w:pPr>
            <w:r>
              <w:t>API development and integration: The next step would involve developing APIs to integrate the machine learning models into existing</w:t>
            </w:r>
            <w:r>
              <w:t xml:space="preserve"> healthcare platforms and workflows. This would enable healthcare providers and insurance companies to access cost estimates and predictions in real-time and integrate them into their decision-making processes. </w:t>
            </w:r>
          </w:p>
          <w:p w:rsidR="00F17A94" w:rsidRDefault="00E2593D">
            <w:pPr>
              <w:spacing w:after="0"/>
            </w:pPr>
            <w:r>
              <w:t xml:space="preserve"> </w:t>
            </w:r>
          </w:p>
          <w:p w:rsidR="00F17A94" w:rsidRDefault="00E2593D">
            <w:pPr>
              <w:spacing w:after="0"/>
            </w:pPr>
            <w:r>
              <w:t>Revenue generation: Revenue could be gener</w:t>
            </w:r>
            <w:r>
              <w:t xml:space="preserve">ated by charging healthcare providers and </w:t>
            </w:r>
          </w:p>
        </w:tc>
      </w:tr>
    </w:tbl>
    <w:p w:rsidR="00F17A94" w:rsidRDefault="00F17A94">
      <w:pPr>
        <w:spacing w:after="0"/>
        <w:ind w:left="-1441" w:right="8458"/>
      </w:pPr>
    </w:p>
    <w:tbl>
      <w:tblPr>
        <w:tblStyle w:val="TableGrid"/>
        <w:tblW w:w="9069" w:type="dxa"/>
        <w:tblInd w:w="5" w:type="dxa"/>
        <w:tblCellMar>
          <w:top w:w="42" w:type="dxa"/>
          <w:left w:w="105" w:type="dxa"/>
          <w:bottom w:w="0" w:type="dxa"/>
          <w:right w:w="66" w:type="dxa"/>
        </w:tblCellMar>
        <w:tblLook w:val="04A0" w:firstRow="1" w:lastRow="0" w:firstColumn="1" w:lastColumn="0" w:noHBand="0" w:noVBand="1"/>
      </w:tblPr>
      <w:tblGrid>
        <w:gridCol w:w="901"/>
        <w:gridCol w:w="3662"/>
        <w:gridCol w:w="4506"/>
      </w:tblGrid>
      <w:tr w:rsidR="00F17A94">
        <w:trPr>
          <w:trHeight w:val="4846"/>
        </w:trPr>
        <w:tc>
          <w:tcPr>
            <w:tcW w:w="901" w:type="dxa"/>
            <w:tcBorders>
              <w:top w:val="single" w:sz="4" w:space="0" w:color="000000"/>
              <w:left w:val="single" w:sz="4" w:space="0" w:color="000000"/>
              <w:bottom w:val="single" w:sz="4" w:space="0" w:color="000000"/>
              <w:right w:val="single" w:sz="4" w:space="0" w:color="000000"/>
            </w:tcBorders>
          </w:tcPr>
          <w:p w:rsidR="00F17A94" w:rsidRDefault="00F17A94"/>
        </w:tc>
        <w:tc>
          <w:tcPr>
            <w:tcW w:w="3662" w:type="dxa"/>
            <w:tcBorders>
              <w:top w:val="single" w:sz="4" w:space="0" w:color="000000"/>
              <w:left w:val="single" w:sz="4" w:space="0" w:color="000000"/>
              <w:bottom w:val="single" w:sz="4" w:space="0" w:color="000000"/>
              <w:right w:val="single" w:sz="4" w:space="0" w:color="000000"/>
            </w:tcBorders>
          </w:tcPr>
          <w:p w:rsidR="00F17A94" w:rsidRDefault="00F17A94"/>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1" w:line="240" w:lineRule="auto"/>
            </w:pPr>
            <w:r>
              <w:t xml:space="preserve">insurance companies a fee for access to the </w:t>
            </w:r>
            <w:r>
              <w:t xml:space="preserve">cost estimation and prediction APIs. This fee could be based on the volume of data processed or the number of cost estimates generated. Alternatively, revenue could be generated by offering premium features, such as personalized cost estimates or advanced </w:t>
            </w:r>
            <w:r>
              <w:t xml:space="preserve">analytics. </w:t>
            </w:r>
          </w:p>
          <w:p w:rsidR="00F17A94" w:rsidRDefault="00E2593D">
            <w:pPr>
              <w:spacing w:after="0"/>
            </w:pPr>
            <w:r>
              <w:t xml:space="preserve"> </w:t>
            </w:r>
          </w:p>
          <w:p w:rsidR="00F17A94" w:rsidRDefault="00E2593D">
            <w:pPr>
              <w:spacing w:after="0"/>
            </w:pPr>
            <w:r>
              <w:t>Continuous improvement and innovation: Finally, the business model would require continuous improvement and innovation to stay ahead of the competition and address changing customer needs. This could involve developing new machine learning mo</w:t>
            </w:r>
            <w:r>
              <w:t xml:space="preserve">dels, expanding the data sources used, or integrating with new healthcare platforms and technologies. </w:t>
            </w:r>
          </w:p>
        </w:tc>
      </w:tr>
      <w:tr w:rsidR="00F17A94">
        <w:trPr>
          <w:trHeight w:val="9413"/>
        </w:trPr>
        <w:tc>
          <w:tcPr>
            <w:tcW w:w="901"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291"/>
            </w:pPr>
            <w:r>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F17A94" w:rsidRDefault="00E2593D">
            <w:pPr>
              <w:spacing w:after="0"/>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line="240" w:lineRule="auto"/>
            </w:pPr>
            <w:r>
              <w:t xml:space="preserve">The scalability of the solution for estimation and prediction of hospitalization and medical care costs using machine </w:t>
            </w:r>
            <w:r>
              <w:t xml:space="preserve">learning will depend on several factors, including the size and complexity of the data, the performance of the machine learning models, and the capacity of the infrastructure to handle large volumes of data. </w:t>
            </w:r>
          </w:p>
          <w:p w:rsidR="00F17A94" w:rsidRDefault="00E2593D">
            <w:pPr>
              <w:spacing w:after="0"/>
            </w:pPr>
            <w:r>
              <w:t xml:space="preserve"> </w:t>
            </w:r>
          </w:p>
          <w:p w:rsidR="00F17A94" w:rsidRDefault="00E2593D">
            <w:pPr>
              <w:spacing w:after="0" w:line="241" w:lineRule="auto"/>
            </w:pPr>
            <w:r>
              <w:t xml:space="preserve">However, there are several strategies that can be used to improve the scalability of the solution: </w:t>
            </w:r>
          </w:p>
          <w:p w:rsidR="00F17A94" w:rsidRDefault="00E2593D">
            <w:pPr>
              <w:spacing w:after="0"/>
            </w:pPr>
            <w:r>
              <w:t xml:space="preserve"> </w:t>
            </w:r>
          </w:p>
          <w:p w:rsidR="00F17A94" w:rsidRDefault="00E2593D">
            <w:pPr>
              <w:spacing w:after="2" w:line="240" w:lineRule="auto"/>
            </w:pPr>
            <w:r>
              <w:t>Cloud-based infrastructure: By using cloudbased infrastructure, the solution can take advantage of elastic computing resources that can be scaled up or do</w:t>
            </w:r>
            <w:r>
              <w:t xml:space="preserve">wn based on demand. This can help to ensure that the solution can handle large volumes of data and complex machine learning models. </w:t>
            </w:r>
          </w:p>
          <w:p w:rsidR="00F17A94" w:rsidRDefault="00E2593D">
            <w:pPr>
              <w:spacing w:after="0"/>
            </w:pPr>
            <w:r>
              <w:t xml:space="preserve"> </w:t>
            </w:r>
          </w:p>
          <w:p w:rsidR="00F17A94" w:rsidRDefault="00E2593D">
            <w:pPr>
              <w:spacing w:after="2" w:line="240" w:lineRule="auto"/>
            </w:pPr>
            <w:r>
              <w:t>Distributed computing: The use of distributed computing frameworks, such as Apache Spark, can help to distribute the proc</w:t>
            </w:r>
            <w:r>
              <w:t xml:space="preserve">essing of large datasets across multiple nodes in a cluster, improving the speed and scalability of the solution. </w:t>
            </w:r>
          </w:p>
          <w:p w:rsidR="00F17A94" w:rsidRDefault="00E2593D">
            <w:pPr>
              <w:spacing w:after="0"/>
            </w:pPr>
            <w:r>
              <w:t xml:space="preserve"> </w:t>
            </w:r>
          </w:p>
          <w:p w:rsidR="00F17A94" w:rsidRDefault="00E2593D">
            <w:pPr>
              <w:spacing w:after="2" w:line="240" w:lineRule="auto"/>
            </w:pPr>
            <w:r>
              <w:t>Optimization techniques: The use of optimization techniques, such as gradient boosting or deep learning, can help to improve the performanc</w:t>
            </w:r>
            <w:r>
              <w:t xml:space="preserve">e of machine learning models, allowing them to handle larger and more complex datasets. </w:t>
            </w:r>
          </w:p>
          <w:p w:rsidR="00F17A94" w:rsidRDefault="00E2593D">
            <w:pPr>
              <w:spacing w:after="0"/>
            </w:pPr>
            <w:r>
              <w:t xml:space="preserve"> </w:t>
            </w:r>
          </w:p>
        </w:tc>
      </w:tr>
      <w:tr w:rsidR="00F17A94">
        <w:trPr>
          <w:trHeight w:val="5381"/>
        </w:trPr>
        <w:tc>
          <w:tcPr>
            <w:tcW w:w="901" w:type="dxa"/>
            <w:tcBorders>
              <w:top w:val="single" w:sz="4" w:space="0" w:color="000000"/>
              <w:left w:val="single" w:sz="4" w:space="0" w:color="000000"/>
              <w:bottom w:val="single" w:sz="4" w:space="0" w:color="000000"/>
              <w:right w:val="single" w:sz="4" w:space="0" w:color="000000"/>
            </w:tcBorders>
          </w:tcPr>
          <w:p w:rsidR="00F17A94" w:rsidRDefault="00F17A94"/>
        </w:tc>
        <w:tc>
          <w:tcPr>
            <w:tcW w:w="3662" w:type="dxa"/>
            <w:tcBorders>
              <w:top w:val="single" w:sz="4" w:space="0" w:color="000000"/>
              <w:left w:val="single" w:sz="4" w:space="0" w:color="000000"/>
              <w:bottom w:val="single" w:sz="4" w:space="0" w:color="000000"/>
              <w:right w:val="single" w:sz="4" w:space="0" w:color="000000"/>
            </w:tcBorders>
          </w:tcPr>
          <w:p w:rsidR="00F17A94" w:rsidRDefault="00F17A94"/>
        </w:tc>
        <w:tc>
          <w:tcPr>
            <w:tcW w:w="4507" w:type="dxa"/>
            <w:tcBorders>
              <w:top w:val="single" w:sz="4" w:space="0" w:color="000000"/>
              <w:left w:val="single" w:sz="4" w:space="0" w:color="000000"/>
              <w:bottom w:val="single" w:sz="4" w:space="0" w:color="000000"/>
              <w:right w:val="single" w:sz="4" w:space="0" w:color="000000"/>
            </w:tcBorders>
          </w:tcPr>
          <w:p w:rsidR="00F17A94" w:rsidRDefault="00E2593D">
            <w:pPr>
              <w:spacing w:after="0" w:line="240" w:lineRule="auto"/>
            </w:pPr>
            <w:r>
              <w:t>Data preprocessing: Preprocessing the data before applying machine learning algorithms can reduce the size of the data and remove irrelevant or redundant features</w:t>
            </w:r>
            <w:r>
              <w:t xml:space="preserve">, improving the scalability of the solution. </w:t>
            </w:r>
          </w:p>
          <w:p w:rsidR="00F17A94" w:rsidRDefault="00E2593D">
            <w:pPr>
              <w:spacing w:after="0"/>
            </w:pPr>
            <w:r>
              <w:t xml:space="preserve"> </w:t>
            </w:r>
          </w:p>
          <w:p w:rsidR="00F17A94" w:rsidRDefault="00E2593D">
            <w:pPr>
              <w:spacing w:after="1" w:line="240" w:lineRule="auto"/>
            </w:pPr>
            <w:r>
              <w:t xml:space="preserve">Parallelization: Parallelizing the processing of data and machine learning algorithms across multiple threads or processes can help to improve the speed and scalability of the solution. </w:t>
            </w:r>
          </w:p>
          <w:p w:rsidR="00F17A94" w:rsidRDefault="00E2593D">
            <w:pPr>
              <w:spacing w:after="0"/>
            </w:pPr>
            <w:r>
              <w:t xml:space="preserve"> </w:t>
            </w:r>
          </w:p>
          <w:p w:rsidR="00F17A94" w:rsidRDefault="00E2593D">
            <w:pPr>
              <w:spacing w:after="0"/>
            </w:pPr>
            <w:r>
              <w:t>By applying these strategies, the solution for estimation and predi</w:t>
            </w:r>
            <w:r>
              <w:t>ction of hospitalization and medical care costs using machine learning can be made more scalable and able to handle large volumes of data and complex machine learning models, allowing it to meet the needs of a growing customer base and remain competitive i</w:t>
            </w:r>
            <w:r>
              <w:t xml:space="preserve">n the market. </w:t>
            </w:r>
          </w:p>
        </w:tc>
      </w:tr>
    </w:tbl>
    <w:p w:rsidR="00F17A94" w:rsidRDefault="00E2593D">
      <w:pPr>
        <w:spacing w:after="0"/>
        <w:jc w:val="both"/>
      </w:pPr>
      <w:r>
        <w:rPr>
          <w:rFonts w:cs="Calibri"/>
        </w:rPr>
        <w:t xml:space="preserve"> </w:t>
      </w:r>
    </w:p>
    <w:sectPr w:rsidR="00F17A94">
      <w:pgSz w:w="11905" w:h="16840"/>
      <w:pgMar w:top="856" w:right="3447" w:bottom="145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94"/>
    <w:rsid w:val="00E2593D"/>
    <w:rsid w:val="00F1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4C22F9A8-D6CD-0B45-9EB3-0A544BCB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1552</Words>
  <Characters>8853</Characters>
  <Application>Microsoft Office Word</Application>
  <DocSecurity>0</DocSecurity>
  <Lines>73</Lines>
  <Paragraphs>20</Paragraphs>
  <ScaleCrop>false</ScaleCrop>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Jenisha V</cp:lastModifiedBy>
  <cp:revision>2</cp:revision>
  <dcterms:created xsi:type="dcterms:W3CDTF">2023-05-08T13:49:00Z</dcterms:created>
  <dcterms:modified xsi:type="dcterms:W3CDTF">2023-05-08T13:49:00Z</dcterms:modified>
</cp:coreProperties>
</file>