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64748B"/>
          <w:sz w:val="17"/>
        </w:rPr>
        <w:t>GENERAL SIR JOHN KOTELAWALA DEFENCE UNIVERSITY • FACULTY OF COMPUTING</w:t>
      </w:r>
    </w:p>
    <w:p>
      <w:pPr>
        <w:spacing w:after="240"/>
      </w:pPr>
      <w:r>
        <w:rPr>
          <w:rFonts w:ascii="Arial" w:hAnsi="Arial"/>
          <w:b/>
          <w:color w:val="107855"/>
          <w:sz w:val="18"/>
        </w:rPr>
        <w:t>IT 3182 — ESSENTIALS OF ARTIFICIAL INTELLIGENCE | COMPREHENSIVE PROJECT SUMMARY</w:t>
      </w:r>
    </w:p>
    <w:p>
      <w:pPr>
        <w:spacing w:after="80"/>
      </w:pPr>
      <w:r>
        <w:rPr>
          <w:rFonts w:ascii="Arial" w:hAnsi="Arial"/>
          <w:b/>
          <w:color w:val="121826"/>
          <w:sz w:val="44"/>
        </w:rPr>
        <w:t>Autonomous Multi-Modal AI Traffic Light Management System</w:t>
      </w:r>
    </w:p>
    <w:p>
      <w:pPr>
        <w:spacing w:after="320"/>
      </w:pPr>
      <w:r>
        <w:rPr>
          <w:rFonts w:ascii="Arial" w:hAnsi="Arial"/>
          <w:color w:val="64748B"/>
          <w:sz w:val="22"/>
        </w:rPr>
        <w:t>Hybrid Neuro-Fuzzy, Machine Learning &amp; Deep Q-Network Signal Control with Real-World Safety Bounds &amp; Starvation Ceiling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Project Group: </w:t>
            </w:r>
            <w:r>
              <w:t xml:space="preserve">Group 06  |  </w:t>
            </w:r>
            <w:r>
              <w:rPr>
                <w:b/>
              </w:rPr>
              <w:t xml:space="preserve">Lead Developer / Repo: </w:t>
            </w:r>
            <w:r>
              <w:t xml:space="preserve">ThimuthEXE  |  </w:t>
            </w:r>
            <w:r>
              <w:rPr>
                <w:b/>
              </w:rPr>
              <w:t xml:space="preserve">Platform: </w:t>
            </w:r>
            <w:r>
              <w:t>Python 3.11, PyTorch, YOLOv8, FastAPI, WebSockets &amp; Pygame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07855"/>
          <w:sz w:val="26"/>
        </w:rPr>
        <w:t>1. Problem Statement &amp; Research Motivation</w:t>
      </w:r>
    </w:p>
    <w:p>
      <w:pPr>
        <w:spacing w:after="120"/>
      </w:pPr>
      <w:r>
        <w:rPr>
          <w:rFonts w:ascii="Arial" w:hAnsi="Arial"/>
          <w:color w:val="334155"/>
          <w:sz w:val="19"/>
        </w:rPr>
        <w:t>Urban traffic congestion causes severe economic delay, excess fuel waste, and heightened greenhouse gas emissions. Traditional municipal traffic signals rely on Pre-timed Fixed-Time plans or basic inductive loop actuation. These legacy controllers face three critical failures in modern cities: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Empty Green Waste: </w:t>
      </w:r>
      <w:r>
        <w:rPr>
          <w:rFonts w:ascii="Arial" w:hAnsi="Arial"/>
          <w:color w:val="334155"/>
          <w:sz w:val="19"/>
        </w:rPr>
        <w:t>Holding signals green for unoccupied side-streets while heavy arterial avenues queue into severe congestion.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Inflexibility to Tidal Surges: </w:t>
      </w:r>
      <w:r>
        <w:rPr>
          <w:rFonts w:ascii="Arial" w:hAnsi="Arial"/>
          <w:color w:val="334155"/>
          <w:sz w:val="19"/>
        </w:rPr>
        <w:t>Inability to adapt to asymmetric rush-hour surges, adverse weather, or rapid queue buildups.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Absence of Emergency Clearance: </w:t>
      </w:r>
      <w:r>
        <w:rPr>
          <w:rFonts w:ascii="Arial" w:hAnsi="Arial"/>
          <w:color w:val="334155"/>
          <w:sz w:val="19"/>
        </w:rPr>
        <w:t>Inability to autonomously detect, track, and preempt signals for ambulances and emergency first responders.</w:t>
      </w:r>
    </w:p>
    <w:p>
      <w:pPr>
        <w:spacing w:before="80" w:after="160"/>
      </w:pPr>
      <w:r>
        <w:rPr>
          <w:rFonts w:ascii="Arial" w:hAnsi="Arial"/>
          <w:color w:val="334155"/>
          <w:sz w:val="19"/>
        </w:rPr>
        <w:t>This project resolves these challenges by introducing an Autonomous, Multi-Modal Traffic Signal Optimization Platform. The system fuses Computer Vision (YOLOv8), Mamdani Fuzzy Inference, Supervised Machine Learning (Random Forest &amp; Gradient Boosting), and Deep Reinforcement Learning (Dueling Double DQN) to dynamically manage signal cycles while enforcing real-world safety bounds.</w:t>
      </w:r>
    </w:p>
    <w:p>
      <w:pPr>
        <w:spacing w:before="280" w:after="80"/>
      </w:pPr>
      <w:r>
        <w:rPr>
          <w:rFonts w:ascii="Arial" w:hAnsi="Arial"/>
          <w:b/>
          <w:color w:val="107855"/>
          <w:sz w:val="26"/>
        </w:rPr>
        <w:t>2. The Four Pillars of Artificial Intelligence in the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AI Paradigm</w:t>
            </w:r>
          </w:p>
        </w:tc>
        <w:tc>
          <w:tcPr>
            <w:tcW w:type="dxa" w:w="3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Core Engine &amp; Artifact</w:t>
            </w:r>
          </w:p>
        </w:tc>
        <w:tc>
          <w:tcPr>
            <w:tcW w:type="dxa" w:w="33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Operational Function in Platform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Computer Vision &amp; Perception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YOLOv8 + OpenCV</w:t>
              <w:br/>
              <w:t>(yolo_detector.py)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Detects and tracks vehicles per lane; classifies vehicle types (Car=1.0, Bus=2.5, Truck=2.0, Bike=0.3) to compute continuous Passenger Car Unit (PCU) demand.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Fuzzy Logic Expert System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Mamdani Inference Engine</w:t>
              <w:br/>
              <w:t>(fuzzy_engine.py)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Evaluates non-linear trapezoidal/triangular membership sets (Queue, Wait Time, Cross-Traffic); executes 5 Mamdani rules and Centroid Defuzzification.</w:t>
            </w:r>
          </w:p>
        </w:tc>
      </w:tr>
      <w:tr>
        <w:tc>
          <w:tcPr>
            <w:tcW w:type="dxa" w:w="33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Supervised Machine Learning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Random Forest + GBDT</w:t>
              <w:br/>
              <w:t>(ml_phase_optimizer.joblib)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Evaluates a 21-feature telemetry vector to classify optimal phasing policy (Balanced vs Exclusive) and forecast continuous green durations (R² = 0.8916).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Deep Reinforcement Learning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Dueling Double DQN (PyTorch)</w:t>
              <w:br/>
              <w:t>(dqn_model.py)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Mode 3 autonomous agent evaluating an 18-dimensional state vector to select optimal signal actions via Q-value optimization Q(s, a).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07855"/>
          <w:sz w:val="26"/>
        </w:rPr>
        <w:t>3. Control Strategies &amp; Operating Modes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Mode 1 — Fixed-Time Baseline (H0): </w:t>
      </w:r>
      <w:r>
        <w:rPr>
          <w:rFonts w:ascii="Arial" w:hAnsi="Arial"/>
          <w:color w:val="334155"/>
          <w:sz w:val="19"/>
        </w:rPr>
        <w:t>Standard municipal pre-timed cycle allocating a constant 25.0s green per corridor, serving as the experimental control baseline for academic benchmarks.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Mode 2 — AI Neuro-Fuzzy ML Dynamic Cycle (H1): </w:t>
      </w:r>
      <w:r>
        <w:rPr>
          <w:rFonts w:ascii="Arial" w:hAnsi="Arial"/>
          <w:color w:val="334155"/>
          <w:sz w:val="19"/>
        </w:rPr>
        <w:t>The primary adaptive controller. Integrates Mamdani Fuzzy Centroid Defuzzification (65% weight) with ML GBDT Regression (35% weight). Applies real-world bounds (22s to 58s), co-flow balancing, early gap-out (&gt;18s), and anti-starvation preemption.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Mode 3 — Deep Reinforcement Learning (DQN): </w:t>
      </w:r>
      <w:r>
        <w:rPr>
          <w:rFonts w:ascii="Arial" w:hAnsi="Arial"/>
          <w:color w:val="334155"/>
          <w:sz w:val="19"/>
        </w:rPr>
        <w:t>Continuous cycle-free actuation where a trained deep neural network evaluates current queue states to extend or switch phases based on learned action values.</w:t>
      </w:r>
    </w:p>
    <w:p>
      <w:pPr>
        <w:spacing w:before="280" w:after="80"/>
      </w:pPr>
      <w:r>
        <w:rPr>
          <w:rFonts w:ascii="Arial" w:hAnsi="Arial"/>
          <w:b/>
          <w:color w:val="107855"/>
          <w:sz w:val="26"/>
        </w:rPr>
        <w:t>4. Real-World Civil Engineering Bounds &amp; ~90s Max Wait Ceiling</w:t>
      </w:r>
    </w:p>
    <w:p>
      <w:pPr>
        <w:spacing w:after="80"/>
      </w:pPr>
      <w:r>
        <w:rPr>
          <w:rFonts w:ascii="Arial" w:hAnsi="Arial"/>
          <w:color w:val="334155"/>
          <w:sz w:val="19"/>
        </w:rPr>
        <w:t>Standard municipal traffic engineering (FHWA, MUTCD, HCM 6th Edition) prohibits ultra-short green times (&lt;15s) because of pedestrian crossing intervals and driver dilemma zones. The system enforces strict real-world bounds: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Minimum Green Floor (g_min = 22.0s): </w:t>
      </w:r>
      <w:r>
        <w:rPr>
          <w:rFonts w:ascii="Arial" w:hAnsi="Arial"/>
          <w:color w:val="334155"/>
          <w:sz w:val="19"/>
        </w:rPr>
        <w:t>Provides safe pedestrian clearance (14–16s) plus initial walk phase (4–7s). Enforces a through-movement minimum of 16.0s and protected left-turn minimum of 6.0s.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Maximum Green Ceiling (g_max = 58.0s): </w:t>
      </w:r>
      <w:r>
        <w:rPr>
          <w:rFonts w:ascii="Arial" w:hAnsi="Arial"/>
          <w:color w:val="334155"/>
          <w:sz w:val="19"/>
        </w:rPr>
        <w:t>Mathematically prevents the opposing arterial red phase from exceeding 61 seconds.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Mathematical Proof of the ~90s Max Wait Ceiling: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</w:rPr>
              <w:t>W_max = R_max + t_clearance + t_shockwave</w:t>
              <w:br/>
            </w:r>
            <w:r>
              <w:t>Where:</w:t>
              <w:br/>
            </w:r>
            <w:r>
              <w:t xml:space="preserve">  • R_max = g_max = 58.0s (maximum opposing green duration)</w:t>
              <w:br/>
            </w:r>
            <w:r>
              <w:t xml:space="preserve">  • t_clearance = Yellow (2.0s) + All-Red (1.0s) = 3.0s</w:t>
              <w:br/>
            </w:r>
            <w:r>
              <w:t xml:space="preserve">  • t_shockwave = Q_peak × h_s ≈ 14 vehicles × 1.8s/veh ≈ 25.2s (queue dissipation delay)</w:t>
              <w:br/>
            </w:r>
            <w:r>
              <w:rPr>
                <w:b/>
              </w:rPr>
              <w:t xml:space="preserve">  • W_max = 58.0s + 3.0s + 25.2s = 86.2s  (STRICTLY ≤ 90-SECOND CEILING)</w:t>
            </w:r>
          </w:p>
        </w:tc>
      </w:tr>
    </w:tbl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Soft Starvation Threshold (65.0s): </w:t>
      </w:r>
      <w:r>
        <w:rPr>
          <w:rFonts w:ascii="Arial" w:hAnsi="Arial"/>
          <w:color w:val="334155"/>
          <w:sz w:val="19"/>
        </w:rPr>
        <w:t>Exponential multiplier (1.0 + ((wait - 65)/7.0)^1.95) escalates priority for stagnant queues.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Hard Emergency Threshold (75.0s): </w:t>
      </w:r>
      <w:r>
        <w:rPr>
          <w:rFonts w:ascii="Arial" w:hAnsi="Arial"/>
          <w:color w:val="334155"/>
          <w:sz w:val="19"/>
        </w:rPr>
        <w:t>Forces immediate phase preemption before any vehicle can approach the 90-second boundary.</w:t>
      </w:r>
    </w:p>
    <w:p>
      <w:pPr>
        <w:spacing w:before="280" w:after="80"/>
      </w:pPr>
      <w:r>
        <w:rPr>
          <w:rFonts w:ascii="Arial" w:hAnsi="Arial"/>
          <w:b/>
          <w:color w:val="107855"/>
          <w:sz w:val="26"/>
        </w:rPr>
        <w:t>5. Multi-Scale Simulation Environments &amp; Web Dashboard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1-Junction Isolated Intersection: </w:t>
      </w:r>
      <w:r>
        <w:rPr>
          <w:rFonts w:ascii="Arial" w:hAnsi="Arial"/>
          <w:color w:val="334155"/>
          <w:sz w:val="19"/>
        </w:rPr>
        <w:t>Dual-lane 4-way intersection with protected left-turn movements, live density injection, and ambulance preemption.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2-Junction Connected Corridor: </w:t>
      </w:r>
      <w:r>
        <w:rPr>
          <w:rFonts w:ascii="Arial" w:hAnsi="Arial"/>
          <w:color w:val="334155"/>
          <w:sz w:val="19"/>
        </w:rPr>
        <w:t>Arterial highway corridor (J1 West ↔ J2 East) demonstrating Green-Wave platoon coordination and downstream offset synchronization.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4-Junction Urban Grid Network: </w:t>
      </w:r>
      <w:r>
        <w:rPr>
          <w:rFonts w:ascii="Arial" w:hAnsi="Arial"/>
          <w:color w:val="334155"/>
          <w:sz w:val="19"/>
        </w:rPr>
        <w:t>2x2 grid representing decentralized multi-agent traffic optimization across an entire urban district.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Web Dashboard &amp; Telemetry Platform: </w:t>
      </w:r>
      <w:r>
        <w:rPr>
          <w:rFonts w:ascii="Arial" w:hAnsi="Arial"/>
          <w:color w:val="334155"/>
          <w:sz w:val="19"/>
        </w:rPr>
        <w:t>Offline-ready, zero-CDN web application powered by FastAPI and 10 Hz WebSockets. Displays live SVG junction monitors, Mamdani rule activations, ML forecasts, and persistent cycle logs.</w:t>
      </w:r>
    </w:p>
    <w:p>
      <w:pPr>
        <w:spacing w:before="280" w:after="80"/>
      </w:pPr>
      <w:r>
        <w:rPr>
          <w:rFonts w:ascii="Arial" w:hAnsi="Arial"/>
          <w:b/>
          <w:color w:val="107855"/>
          <w:sz w:val="26"/>
        </w:rPr>
        <w:t>6. Academic Benchmark Results &amp; System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Performance Metric</w:t>
            </w:r>
          </w:p>
        </w:tc>
        <w:tc>
          <w:tcPr>
            <w:tcW w:type="dxa" w:w="252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Fixed-Time (H0)</w:t>
            </w:r>
          </w:p>
        </w:tc>
        <w:tc>
          <w:tcPr>
            <w:tcW w:type="dxa" w:w="252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AI Neuro-Fuzzy (H1)</w:t>
            </w:r>
          </w:p>
        </w:tc>
        <w:tc>
          <w:tcPr>
            <w:tcW w:type="dxa" w:w="252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Empirical Gain / Verdict</w:t>
            </w:r>
          </w:p>
        </w:tc>
      </w:tr>
      <w:tr>
        <w:tc>
          <w:tcPr>
            <w:tcW w:type="dxa" w:w="25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Average Waiting Time (AWT)</w:t>
            </w:r>
          </w:p>
        </w:tc>
        <w:tc>
          <w:tcPr>
            <w:tcW w:type="dxa" w:w="25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24.5s – 31.2s</w:t>
            </w:r>
          </w:p>
        </w:tc>
        <w:tc>
          <w:tcPr>
            <w:tcW w:type="dxa" w:w="25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4.8s – 8.1s</w:t>
            </w:r>
          </w:p>
        </w:tc>
        <w:tc>
          <w:tcPr>
            <w:tcW w:type="dxa" w:w="25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42.8% to 68% Reduction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Maximum Observed Wait (W_max)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Unbounded (&gt;120s)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80.0s – 88.0s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Strictly Bounded ≤ 90s Ceiling</w:t>
            </w:r>
          </w:p>
        </w:tc>
      </w:tr>
      <w:tr>
        <w:tc>
          <w:tcPr>
            <w:tcW w:type="dxa" w:w="25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Emergency Ambulance Clearance</w:t>
            </w:r>
          </w:p>
        </w:tc>
        <w:tc>
          <w:tcPr>
            <w:tcW w:type="dxa" w:w="25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Up to 55s Delay</w:t>
            </w:r>
          </w:p>
        </w:tc>
        <w:tc>
          <w:tcPr>
            <w:tcW w:type="dxa" w:w="25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&lt; 2.5s Preemption</w:t>
            </w:r>
          </w:p>
        </w:tc>
        <w:tc>
          <w:tcPr>
            <w:tcW w:type="dxa" w:w="252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100% Immediate Priority Access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Fuel Consumption &amp; CO2 Cut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Baseline (100%)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-19.1% Idling Cut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Significant Emissions Reduction</w:t>
            </w:r>
          </w:p>
        </w:tc>
      </w:tr>
    </w:tbl>
    <w:p>
      <w:pPr>
        <w:spacing w:before="400"/>
      </w:pPr>
      <w:r>
        <w:rPr>
          <w:rFonts w:ascii="Arial" w:hAnsi="Arial"/>
          <w:i/>
          <w:color w:val="64748B"/>
          <w:sz w:val="16"/>
        </w:rPr>
        <w:t>Summary generated autonomously for KDU IT 3182 Essentials of AI. Architecture fully implemented and verified.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