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QFIM-bench: Action Plan for SoftwareX Submission</w:t>
      </w:r>
    </w:p>
    <w:p>
      <w:pPr>
        <w:spacing w:after="120"/>
      </w:pPr>
      <w:r>
        <w:rPr>
          <w:i/>
          <w:iCs/>
        </w:rPr>
        <w:t xml:space="preserve">qfim-bench: A reproducible benchmarking framework for Grover-based quantum frequent itemset mining</w:t>
      </w:r>
    </w:p>
    <w:p>
      <w:pPr>
        <w:spacing w:after="120"/>
      </w:pPr>
      <w:r>
        <w:t xml:space="preserve">Purpose: a single working document listing everything to carry out before submission, consolidating the detailed review and the additional points. Items are ordered by priority. Numerical statements derived from Table 2 are back-of-envelope checks and should be recomputed by the authors.</w:t>
      </w:r>
    </w:p>
    <w:p>
      <w:pPr>
        <w:pStyle w:val="Heading1"/>
      </w:pPr>
      <w:r>
        <w:t xml:space="preserve">1. Overall assessment</w:t>
      </w:r>
    </w:p>
    <w:p>
      <w:pPr>
        <w:pStyle w:val="ListParagraph"/>
        <w:numPr>
          <w:ilvl w:val="0"/>
          <w:numId w:val="2"/>
        </w:numPr>
        <w:spacing w:after="80"/>
      </w:pPr>
      <w:r>
        <w:t xml:space="preserve">Strengths: tagged release, Zenodo archive, Apache-2.0 licence, CI, 54 tests, manifest-gated hardware backend with a job cap, honest "no quantum advantage" framing, body about 2,200 words (under the 3000-word limit).</w:t>
      </w:r>
    </w:p>
    <w:p>
      <w:pPr>
        <w:pStyle w:val="ListParagraph"/>
        <w:numPr>
          <w:ilvl w:val="0"/>
          <w:numId w:val="2"/>
        </w:numPr>
        <w:spacing w:after="80"/>
      </w:pPr>
      <w:r>
        <w:t xml:space="preserve">Main risk: scientific framing, not software quality. Several headline claims are stronger than the data supports, and the default experiment is in a degenerate regime.</w:t>
      </w:r>
    </w:p>
    <w:p>
      <w:pPr>
        <w:pStyle w:val="ListParagraph"/>
        <w:numPr>
          <w:ilvl w:val="0"/>
          <w:numId w:val="2"/>
        </w:numPr>
        <w:spacing w:after="80"/>
      </w:pPr>
      <w:r>
        <w:t xml:space="preserve">Expected outcome: major revision if submitted as is; a good chance of acceptance (roughly 70 to 80%, a judgment rather than a statistic) if Phase 1 and Phase 2 below are completed.</w:t>
      </w:r>
    </w:p>
    <w:p>
      <w:pPr>
        <w:pStyle w:val="Heading1"/>
      </w:pPr>
      <w:r>
        <w:t xml:space="preserve">2. Phase 1 - Redesign the experiment (critical)</w:t>
      </w:r>
    </w:p>
    <w:p>
      <w:pPr>
        <w:pStyle w:val="Heading2"/>
      </w:pPr>
      <w:r>
        <w:t xml:space="preserve">2.1 Fix the operating point</w:t>
      </w:r>
    </w:p>
    <w:p>
      <w:pPr>
        <w:pStyle w:val="ListParagraph"/>
        <w:numPr>
          <w:ilvl w:val="0"/>
          <w:numId w:val="2"/>
        </w:numPr>
        <w:spacing w:after="80"/>
      </w:pPr>
      <w:r>
        <w:t xml:space="preserve">Problem: M = 26 of N = 32 states are marked (81%). Random sampling already succeeds with probability 0.8125 (r = 0). The default r = 2 gives 0.384, which is worse than doing nothing; r = 1 gives 0.051.</w:t>
      </w:r>
    </w:p>
    <w:p>
      <w:pPr>
        <w:pStyle w:val="ListParagraph"/>
        <w:numPr>
          <w:ilvl w:val="0"/>
          <w:numId w:val="2"/>
        </w:numPr>
        <w:spacing w:after="80"/>
      </w:pPr>
      <w:r>
        <w:t xml:space="preserve">The hardware "flat curve near 0.80" equals M/N, which is also the signature of a randomised output, so the campaign cannot tell partial from total decoherence.</w:t>
      </w:r>
    </w:p>
    <w:p>
      <w:pPr>
        <w:pStyle w:val="ListParagraph"/>
        <w:numPr>
          <w:ilvl w:val="0"/>
          <w:numId w:val="2"/>
        </w:numPr>
        <w:spacing w:after="80"/>
      </w:pPr>
      <w:r>
        <w:t xml:space="preserve">Action: add a sparse-marking regime (for example M = 1 to 4 of 32) with r_opt = floor(pi / 4 theta), and make it the default. Keep M = 26 only as a documented special case.</w:t>
      </w:r>
    </w:p>
    <w:p>
      <w:pPr>
        <w:pStyle w:val="ListParagraph"/>
        <w:numPr>
          <w:ilvl w:val="0"/>
          <w:numId w:val="2"/>
        </w:numPr>
        <w:spacing w:after="80"/>
      </w:pPr>
      <w:r>
        <w:t xml:space="preserve">Optionally discuss the standard fix for M &gt;= N/2 (enlarge the search space with an ancilla, or mark the complement).</w:t>
      </w:r>
    </w:p>
    <w:p>
      <w:pPr>
        <w:pStyle w:val="Heading2"/>
      </w:pPr>
      <w:r>
        <w:t xml:space="preserve">2.2 Add trivial baselines</w:t>
      </w:r>
    </w:p>
    <w:p>
      <w:pPr>
        <w:pStyle w:val="ListParagraph"/>
        <w:numPr>
          <w:ilvl w:val="0"/>
          <w:numId w:val="2"/>
        </w:numPr>
        <w:spacing w:after="80"/>
      </w:pPr>
      <w:r>
        <w:t xml:space="preserve">Predicting "everything is frequent" gives precision 0.8125, recall 1.0, F1 about 0.897. The reported F1 of 0.93 barely beats it.</w:t>
      </w:r>
    </w:p>
    <w:p>
      <w:pPr>
        <w:pStyle w:val="ListParagraph"/>
        <w:numPr>
          <w:ilvl w:val="0"/>
          <w:numId w:val="2"/>
        </w:numPr>
        <w:spacing w:after="80"/>
      </w:pPr>
      <w:r>
        <w:t xml:space="preserve">Action: report trivial and random baselines next to every quantum precision/recall/F1 result.</w:t>
      </w:r>
    </w:p>
    <w:p>
      <w:pPr>
        <w:pStyle w:val="Heading2"/>
      </w:pPr>
      <w:r>
        <w:t xml:space="preserve">2.3 Make the start-state versus noise claim real</w:t>
      </w:r>
    </w:p>
    <w:p>
      <w:pPr>
        <w:pStyle w:val="ListParagraph"/>
        <w:numPr>
          <w:ilvl w:val="0"/>
          <w:numId w:val="2"/>
        </w:numPr>
        <w:spacing w:after="80"/>
      </w:pPr>
      <w:r>
        <w:t xml:space="preserve">Problem: the abstract says the initialisation effect was separated from noise on hardware, but only the uniform start was run on hardware. The ansatz result is one sentence ("about 0.80") with no figure.</w:t>
      </w:r>
    </w:p>
    <w:p>
      <w:pPr>
        <w:pStyle w:val="ListParagraph"/>
        <w:numPr>
          <w:ilvl w:val="0"/>
          <w:numId w:val="2"/>
        </w:numPr>
        <w:spacing w:after="80"/>
      </w:pPr>
      <w:r>
        <w:t xml:space="preserve">Action: run the full 2 x 3 design, {uniform, ansatz} x {ideal, noise model, hardware}, or narrow the abstract and conclusion to what was done.</w:t>
      </w:r>
    </w:p>
    <w:p>
      <w:pPr>
        <w:pStyle w:val="ListParagraph"/>
        <w:numPr>
          <w:ilvl w:val="0"/>
          <w:numId w:val="2"/>
        </w:numPr>
        <w:spacing w:after="80"/>
      </w:pPr>
      <w:r>
        <w:t xml:space="preserve">Run the ansatz over many seeds (not only seed = 42) and show the distribution.</w:t>
      </w:r>
    </w:p>
    <w:p>
      <w:pPr>
        <w:pStyle w:val="ListParagraph"/>
        <w:numPr>
          <w:ilvl w:val="0"/>
          <w:numId w:val="2"/>
        </w:numPr>
        <w:spacing w:after="80"/>
      </w:pPr>
      <w:r>
        <w:t xml:space="preserve">Check the circuit: Grover amplification needs the diffusion operator matched to the start state (A S0 A-dagger). If a Hadamard-based diffusion was used with the ansatz, a flat curve is expected and is not a surprising phenomenon. State which diffusion was used and test an ansatz-matched diffusion. Tone down "of independent interest" unless this holds.</w:t>
      </w:r>
    </w:p>
    <w:p>
      <w:pPr>
        <w:pStyle w:val="Heading2"/>
      </w:pPr>
      <w:r>
        <w:t xml:space="preserve">2.4 Add controls and repeats to the hardware campaign</w:t>
      </w:r>
    </w:p>
    <w:p>
      <w:pPr>
        <w:pStyle w:val="ListParagraph"/>
        <w:numPr>
          <w:ilvl w:val="0"/>
          <w:numId w:val="2"/>
        </w:numPr>
        <w:spacing w:after="80"/>
      </w:pPr>
      <w:r>
        <w:t xml:space="preserve">At least 5 repeats per r, spread across different days; interleave and randomise the submission order of r values and repeats.</w:t>
      </w:r>
    </w:p>
    <w:p>
      <w:pPr>
        <w:pStyle w:val="ListParagraph"/>
        <w:numPr>
          <w:ilvl w:val="0"/>
          <w:numId w:val="2"/>
        </w:numPr>
        <w:spacing w:after="80"/>
      </w:pPr>
      <w:r>
        <w:t xml:space="preserve">Depth-matched identity (echo) circuit at each r to measure the pure noise response without a simulator.</w:t>
      </w:r>
    </w:p>
    <w:p>
      <w:pPr>
        <w:pStyle w:val="ListParagraph"/>
        <w:numPr>
          <w:ilvl w:val="0"/>
          <w:numId w:val="2"/>
        </w:numPr>
        <w:spacing w:after="80"/>
      </w:pPr>
      <w:r>
        <w:t xml:space="preserve">Readout-error baseline to separate readout from gate error; ablations with readout mitigation and dynamical decoupling on and off; different transpiler optimisation levels and qubit layouts.</w:t>
      </w:r>
    </w:p>
    <w:p>
      <w:pPr>
        <w:pStyle w:val="ListParagraph"/>
        <w:numPr>
          <w:ilvl w:val="0"/>
          <w:numId w:val="2"/>
        </w:numPr>
        <w:spacing w:after="80"/>
      </w:pPr>
      <w:r>
        <w:t xml:space="preserve">Record per job: job ID, timestamps, backend calibration snapshot (T1, T2, two-qubit errors), qubit layout, optimisation level, mitigation used, transpiled depth and two-qubit gate count.</w:t>
      </w:r>
    </w:p>
    <w:p>
      <w:pPr>
        <w:pStyle w:val="ListParagraph"/>
        <w:numPr>
          <w:ilvl w:val="0"/>
          <w:numId w:val="2"/>
        </w:numPr>
        <w:spacing w:after="80"/>
      </w:pPr>
      <w:r>
        <w:t xml:space="preserve">The n = 2 coefficient of variation (0.61%) is not meaningful; replace it with the larger repeat set.</w:t>
      </w:r>
    </w:p>
    <w:p>
      <w:pPr>
        <w:pStyle w:val="ListParagraph"/>
        <w:numPr>
          <w:ilvl w:val="0"/>
          <w:numId w:val="2"/>
        </w:numPr>
        <w:spacing w:after="80"/>
      </w:pPr>
      <w:r>
        <w:t xml:space="preserve">Choose a sensitive operating point so bugs (such as wrong bit ordering) cannot hide near 0.8.</w:t>
      </w:r>
    </w:p>
    <w:p>
      <w:pPr>
        <w:pStyle w:val="Heading1"/>
      </w:pPr>
      <w:r>
        <w:t xml:space="preserve">3. Phase 2 - Analyse the data properly</w:t>
      </w:r>
    </w:p>
    <w:p>
      <w:pPr>
        <w:pStyle w:val="ListParagraph"/>
        <w:numPr>
          <w:ilvl w:val="0"/>
          <w:numId w:val="2"/>
        </w:numPr>
        <w:spacing w:after="80"/>
      </w:pPr>
      <w:r>
        <w:rPr>
          <w:b/>
          <w:bCs/>
        </w:rPr>
        <w:t xml:space="preserve">Use the offset below M/N. </w:t>
      </w:r>
      <w:r>
        <w:t xml:space="preserve">Hardware values (0.7931, 0.7913, 0.7982, 0.7935 at r = 1, 2, 2, 3) are about 0.014 to 0.021 below 0.8125, roughly 3 to 5 standard errors at 8192 shots. The noise model shows a similar offset. This suggests the noise fixed point is not uniform and supports the noise explanation; the paper currently describes it only as "close to" M/N.</w:t>
      </w:r>
    </w:p>
    <w:p>
      <w:pPr>
        <w:pStyle w:val="ListParagraph"/>
        <w:numPr>
          <w:ilvl w:val="0"/>
          <w:numId w:val="2"/>
        </w:numPr>
        <w:spacing w:after="80"/>
      </w:pPr>
      <w:r>
        <w:rPr>
          <w:b/>
          <w:bCs/>
        </w:rPr>
        <w:t xml:space="preserve">Fidelity-decay fit. </w:t>
      </w:r>
      <w:r>
        <w:t xml:space="preserve">Fit p(r) = f(r) p_ideal(r) + (1 - f(r)) p_noise, with p_noise fitted from data, and report an effective fidelity per Grover iteration with confidence intervals.</w:t>
      </w:r>
    </w:p>
    <w:p>
      <w:pPr>
        <w:pStyle w:val="ListParagraph"/>
        <w:numPr>
          <w:ilvl w:val="0"/>
          <w:numId w:val="2"/>
        </w:numPr>
        <w:spacing w:after="80"/>
      </w:pPr>
      <w:r>
        <w:rPr>
          <w:b/>
          <w:bCs/>
        </w:rPr>
        <w:t xml:space="preserve">Use full distributions. </w:t>
      </w:r>
      <w:r>
        <w:t xml:space="preserve">Report TVD of the 32-outcome distributions to the uniform and noise-model distributions, with a chi-square or G-test, instead of one scalar success value.</w:t>
      </w:r>
    </w:p>
    <w:p>
      <w:pPr>
        <w:pStyle w:val="ListParagraph"/>
        <w:numPr>
          <w:ilvl w:val="0"/>
          <w:numId w:val="2"/>
        </w:numPr>
        <w:spacing w:after="80"/>
      </w:pPr>
      <w:r>
        <w:rPr>
          <w:b/>
          <w:bCs/>
        </w:rPr>
        <w:t xml:space="preserve">Show Layer A on real data. </w:t>
      </w:r>
      <w:r>
        <w:t xml:space="preserve">The TVD with bootstrap CI features are never shown on the hardware results. Add them.</w:t>
      </w:r>
    </w:p>
    <w:p>
      <w:pPr>
        <w:pStyle w:val="ListParagraph"/>
        <w:numPr>
          <w:ilvl w:val="0"/>
          <w:numId w:val="2"/>
        </w:numPr>
        <w:spacing w:after="80"/>
      </w:pPr>
      <w:r>
        <w:rPr>
          <w:b/>
          <w:bCs/>
        </w:rPr>
        <w:t xml:space="preserve">Add confidence intervals to Table 2. </w:t>
      </w:r>
      <w:r>
        <w:t xml:space="preserve">At p near 0.8 and 8192 shots the 95% shot-level CI is about 0.009.</w:t>
      </w:r>
    </w:p>
    <w:p>
      <w:pPr>
        <w:pStyle w:val="ListParagraph"/>
        <w:numPr>
          <w:ilvl w:val="0"/>
          <w:numId w:val="2"/>
        </w:numPr>
        <w:spacing w:after="80"/>
      </w:pPr>
      <w:r>
        <w:rPr>
          <w:b/>
          <w:bCs/>
        </w:rPr>
        <w:t xml:space="preserve">Calibrate TVD. </w:t>
      </w:r>
      <w:r>
        <w:t xml:space="preserve">With 32 outcomes and 8192 shots the expected TVD floor is about 0.025 (about 0.035 between two independent empirical runs). A naive bootstrap CI is biased. Report a null TVD between two runs of the same configuration, or use a bias-corrected or permutation approach.</w:t>
      </w:r>
    </w:p>
    <w:p>
      <w:pPr>
        <w:pStyle w:val="ListParagraph"/>
        <w:numPr>
          <w:ilvl w:val="0"/>
          <w:numId w:val="2"/>
        </w:numPr>
        <w:spacing w:after="80"/>
      </w:pPr>
      <w:r>
        <w:rPr>
          <w:b/>
          <w:bCs/>
        </w:rPr>
        <w:t xml:space="preserve">Noise sensitivity sweep. </w:t>
      </w:r>
      <w:r>
        <w:t xml:space="preserve">Vary the noise-model strength to show the model discriminates weak from strong noise; agreement near 0.8125 alone is weak evidence.</w:t>
      </w:r>
    </w:p>
    <w:p>
      <w:pPr>
        <w:pStyle w:val="ListParagraph"/>
        <w:numPr>
          <w:ilvl w:val="0"/>
          <w:numId w:val="2"/>
        </w:numPr>
        <w:spacing w:after="80"/>
      </w:pPr>
      <w:r>
        <w:rPr>
          <w:b/>
          <w:bCs/>
        </w:rPr>
        <w:t xml:space="preserve">Principled test tolerances. </w:t>
      </w:r>
      <w:r>
        <w:t xml:space="preserve">Derive tolerances from shot noise (for example 5 sigma) rather than ad hoc constants.</w:t>
      </w:r>
    </w:p>
    <w:p>
      <w:pPr>
        <w:pStyle w:val="ListParagraph"/>
        <w:numPr>
          <w:ilvl w:val="0"/>
          <w:numId w:val="2"/>
        </w:numPr>
        <w:spacing w:after="80"/>
      </w:pPr>
      <w:r>
        <w:rPr>
          <w:b/>
          <w:bCs/>
        </w:rPr>
        <w:t xml:space="preserve">Repeat gap. </w:t>
      </w:r>
      <w:r>
        <w:t xml:space="preserve">The two r = 2 hardware runs differ by 0.0069, comparable to model-versus-hardware differences of about 0.01, so drift cannot yet be separated from model error.</w:t>
      </w:r>
    </w:p>
    <w:p>
      <w:pPr>
        <w:pStyle w:val="Heading1"/>
      </w:pPr>
      <w:r>
        <w:t xml:space="preserve">4. Phase 3 - Algorithm and framing</w:t>
      </w:r>
    </w:p>
    <w:p>
      <w:pPr>
        <w:pStyle w:val="ListParagraph"/>
        <w:numPr>
          <w:ilvl w:val="0"/>
          <w:numId w:val="2"/>
        </w:numPr>
        <w:spacing w:after="80"/>
      </w:pPr>
      <w:r>
        <w:t xml:space="preserve">Describe the oracle: how it is constructed, its depth and gate count, and whether marked states are precomputed classically (if so, the quantum part is only sampling). Note that marking 26 states needs up to 26 multi-controlled gates, which alone may explain the noise dominance.</w:t>
      </w:r>
    </w:p>
    <w:p>
      <w:pPr>
        <w:pStyle w:val="ListParagraph"/>
        <w:numPr>
          <w:ilvl w:val="0"/>
          <w:numId w:val="2"/>
        </w:numPr>
        <w:spacing w:after="80"/>
      </w:pPr>
      <w:r>
        <w:t xml:space="preserve">Discuss that M is unknown in real mining: quantum counting, the exponential-search method of Boyer, Brassard, Hoyer and Tapp, and fixed-point search. Note that enumerating all M frequent itemsets costs about sqrt(N M) queries, so advantage shrinks as M grows.</w:t>
      </w:r>
    </w:p>
    <w:p>
      <w:pPr>
        <w:pStyle w:val="ListParagraph"/>
        <w:numPr>
          <w:ilvl w:val="0"/>
          <w:numId w:val="2"/>
        </w:numPr>
        <w:spacing w:after="80"/>
      </w:pPr>
      <w:r>
        <w:t xml:space="preserve">Justify the "Apriori" name: a one-shot search over all 2^n candidates discards the downward-closure property. State whether the circuit is level-wise; if not, frame brute force as the fair classical baseline.</w:t>
      </w:r>
    </w:p>
    <w:p>
      <w:pPr>
        <w:pStyle w:val="ListParagraph"/>
        <w:numPr>
          <w:ilvl w:val="0"/>
          <w:numId w:val="2"/>
        </w:numPr>
        <w:spacing w:after="80"/>
      </w:pPr>
      <w:r>
        <w:t xml:space="preserve">State the data-access assumption for the support oracle (O(T) classically, or QRAM).</w:t>
      </w:r>
    </w:p>
    <w:p>
      <w:pPr>
        <w:pStyle w:val="ListParagraph"/>
        <w:numPr>
          <w:ilvl w:val="0"/>
          <w:numId w:val="2"/>
        </w:numPr>
        <w:spacing w:after="80"/>
      </w:pPr>
      <w:r>
        <w:t xml:space="preserve">Add scalability evidence: one figure of transpiled depth versus item count from scaling.py, including timeout cases.</w:t>
      </w:r>
    </w:p>
    <w:p>
      <w:pPr>
        <w:pStyle w:val="ListParagraph"/>
        <w:numPr>
          <w:ilvl w:val="0"/>
          <w:numId w:val="2"/>
        </w:numPr>
        <w:spacing w:after="80"/>
      </w:pPr>
      <w:r>
        <w:t xml:space="preserve">Consider making the pre-registration workflow (manifest-gated submission, predictions committed in advance, job cap, environment capture) the headline contribution. Formalise it, for example with a hash of configuration plus predictions verified before submission, and add a git commit hash or timestamp so the "write-once" claim is verifiable.</w:t>
      </w:r>
    </w:p>
    <w:p>
      <w:pPr>
        <w:pStyle w:val="ListParagraph"/>
        <w:numPr>
          <w:ilvl w:val="0"/>
          <w:numId w:val="2"/>
        </w:numPr>
        <w:spacing w:after="80"/>
      </w:pPr>
      <w:r>
        <w:t xml:space="preserve">State exactly what was predicted before submission. The analytical r = 3 prediction (0.99995) did not match hardware (0.7935).</w:t>
      </w:r>
    </w:p>
    <w:p>
      <w:pPr>
        <w:pStyle w:val="ListParagraph"/>
        <w:numPr>
          <w:ilvl w:val="0"/>
          <w:numId w:val="2"/>
        </w:numPr>
        <w:spacing w:after="80"/>
      </w:pPr>
      <w:r>
        <w:t xml:space="preserve">Frame the paper around one question: is an unexpected flat curve caused by the algorithm setup or by the hardware?</w:t>
      </w:r>
    </w:p>
    <w:p>
      <w:pPr>
        <w:pStyle w:val="Heading1"/>
      </w:pPr>
      <w:r>
        <w:t xml:space="preserve">5. Phase 4 - Related software and literature</w:t>
      </w:r>
    </w:p>
    <w:p>
      <w:pPr>
        <w:pStyle w:val="ListParagraph"/>
        <w:numPr>
          <w:ilvl w:val="0"/>
          <w:numId w:val="2"/>
        </w:numPr>
        <w:spacing w:after="80"/>
      </w:pPr>
      <w:r>
        <w:t xml:space="preserve">Table 4 compares against algorithm papers (QFM, qARM, MFIO). Add the tools that really overlap with Layer A: Qiskit Experiments, mitiq, QASMBench (cited in text but missing from the table), SupermarQ, QED-C application benchmarks and MQT Bench. State what Layer A adds beyond them.</w:t>
      </w:r>
    </w:p>
    <w:p>
      <w:pPr>
        <w:pStyle w:val="ListParagraph"/>
        <w:numPr>
          <w:ilvl w:val="0"/>
          <w:numId w:val="2"/>
        </w:numPr>
        <w:spacing w:after="80"/>
      </w:pPr>
      <w:r>
        <w:t xml:space="preserve">The claim that plain Qiskit has "no unifying abstraction" is questionable, since primitives (SamplerV2) run the same circuit on Aer, fake backends and hardware. Justify the Backend wrapper by what it adds (manifest gating, job cap, seeding).</w:t>
      </w:r>
    </w:p>
    <w:p>
      <w:pPr>
        <w:pStyle w:val="ListParagraph"/>
        <w:numPr>
          <w:ilvl w:val="0"/>
          <w:numId w:val="2"/>
        </w:numPr>
        <w:spacing w:after="80"/>
      </w:pPr>
      <w:r>
        <w:t xml:space="preserve">Add prior Grover-on-hardware studies for comparison, and the fixed-point and unknown-M search literature.</w:t>
      </w:r>
    </w:p>
    <w:p>
      <w:pPr>
        <w:pStyle w:val="ListParagraph"/>
        <w:numPr>
          <w:ilvl w:val="0"/>
          <w:numId w:val="2"/>
        </w:numPr>
        <w:spacing w:after="80"/>
      </w:pPr>
      <w:r>
        <w:t xml:space="preserve">Verify recent preprints such as arXiv:2606.09209 [12]. Fix reference order: [16] is cited before [12] to [15].</w:t>
      </w:r>
    </w:p>
    <w:p>
      <w:pPr>
        <w:pStyle w:val="Heading1"/>
      </w:pPr>
      <w:r>
        <w:t xml:space="preserve">6. Phase 5 - Metadata, compliance and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DCE6F2" w:color="auto" w:val="clear"/>
            <w:tcMar>
              <w:top w:type="dxa" w:w="70"/>
              <w:left w:type="dxa" w:w="100"/>
              <w:bottom w:type="dxa" w:w="70"/>
              <w:right w:type="dxa" w:w="100"/>
            </w:tcMar>
          </w:tcPr>
          <w:p>
            <w:r>
              <w:rPr>
                <w:b/>
                <w:bCs/>
                <w:sz w:val="20"/>
                <w:szCs w:val="20"/>
              </w:rPr>
              <w:t xml:space="preserve">Item</w:t>
            </w:r>
          </w:p>
        </w:tc>
        <w:tc>
          <w:tcPr>
            <w:tcW w:type="dxa" w:w="6760"/>
            <w:tcBorders>
              <w:top w:val="single" w:color="BBBBBB" w:sz="4"/>
              <w:left w:val="single" w:color="BBBBBB" w:sz="4"/>
              <w:bottom w:val="single" w:color="BBBBBB" w:sz="4"/>
              <w:right w:val="single" w:color="BBBBBB" w:sz="4"/>
            </w:tcBorders>
            <w:shd w:fill="DCE6F2" w:color="auto" w:val="clear"/>
            <w:tcMar>
              <w:top w:type="dxa" w:w="70"/>
              <w:left w:type="dxa" w:w="100"/>
              <w:bottom w:type="dxa" w:w="70"/>
              <w:right w:type="dxa" w:w="100"/>
            </w:tcMar>
          </w:tcPr>
          <w:p>
            <w:r>
              <w:rPr>
                <w:b/>
                <w:bCs/>
                <w:sz w:val="20"/>
                <w:szCs w:val="20"/>
              </w:rPr>
              <w:t xml:space="preserve">Action</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C3 Reproducible Capsule</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A Zenodo source archive is not an executable capsule. Check the current template wording; provide a Docker image or capsule link, or mark it clearly.</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C2 permanent link</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Add the v1.0.1 release-tag URL alongside the Zenodo DOI; a plain GitHub URL is mutable.</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C9 support email</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Replace the personal Gmail address with an institutional address or the GitHub Issues link.</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Dashboard</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Streamlit free-tier links can sleep or disappear. Add local run instructions and screenshots, and describe the dashboard in the Software description.</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Table 3</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The "Coverage" column holds descriptions. Add a real pytest-cov percentage; note that hardware tests are mocked in CI.</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Support matrix</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Claims cover Linux, macOS and Windows, but CI covers only Python 3.10 and 3.11. Test the full matrix, add 3.12 and 3.13, and pin tested Qiskit, Aer and Runtime versions.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Authentication</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Check that the IBM_QUANTUM_TOKEN path still works with current qiskit-ibm-runtime, since IBM has changed its authentication.</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Packaging</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Publish to PyPI; add a Dockerfile or lock file.</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Documentation</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Add API docs (Sphinx or MkDocs), CITATION.cff, CONTRIBUTING, issue templates and release notes.</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Resource accounting</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Report QPU seconds, total shots and wall-clock time including queue delay.</w:t>
            </w:r>
          </w:p>
        </w:tc>
      </w:tr>
      <w:tr>
        <w:tc>
          <w:tcPr>
            <w:tcW w:type="dxa" w:w="2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AI declaration</w:t>
            </w:r>
          </w:p>
        </w:tc>
        <w:tc>
          <w:tcPr>
            <w:tcW w:type="dxa" w:w="67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Change "the author" to "the authors"; use the journal template wording.</w:t>
            </w:r>
          </w:p>
        </w:tc>
      </w:tr>
    </w:tbl>
    <w:p>
      <w:pPr>
        <w:spacing w:after="120"/>
      </w:pPr>
      <w:r>
        <w:t xml:space="preserve"/>
      </w:r>
    </w:p>
    <w:p>
      <w:pPr>
        <w:pStyle w:val="Heading1"/>
      </w:pPr>
      <w:r>
        <w:t xml:space="preserve">7. Phase 6 - Writing and presentation</w:t>
      </w:r>
    </w:p>
    <w:p>
      <w:pPr>
        <w:pStyle w:val="ListParagraph"/>
        <w:numPr>
          <w:ilvl w:val="0"/>
          <w:numId w:val="2"/>
        </w:numPr>
        <w:spacing w:after="80"/>
      </w:pPr>
      <w:r>
        <w:t xml:space="preserve">Convert Eq. (1) and the "(M)", "(N)", "(r)" remnants into proper equation objects.</w:t>
      </w:r>
    </w:p>
    <w:p>
      <w:pPr>
        <w:pStyle w:val="ListParagraph"/>
        <w:numPr>
          <w:ilvl w:val="0"/>
          <w:numId w:val="2"/>
        </w:numPr>
        <w:spacing w:after="80"/>
      </w:pPr>
      <w:r>
        <w:t xml:space="preserve">Fig. 3: the analytical curve is hidden under the noiseless-simulator line; use a dashed line or distinct markers, and add error bars.</w:t>
      </w:r>
    </w:p>
    <w:p>
      <w:pPr>
        <w:pStyle w:val="ListParagraph"/>
        <w:numPr>
          <w:ilvl w:val="0"/>
          <w:numId w:val="2"/>
        </w:numPr>
        <w:spacing w:after="80"/>
      </w:pPr>
      <w:r>
        <w:t xml:space="preserve">Introduce Layer A before Layer B (currently reversed).</w:t>
      </w:r>
    </w:p>
    <w:p>
      <w:pPr>
        <w:pStyle w:val="ListParagraph"/>
        <w:numPr>
          <w:ilvl w:val="0"/>
          <w:numId w:val="2"/>
        </w:numPr>
        <w:spacing w:after="80"/>
      </w:pPr>
      <w:r>
        <w:t xml:space="preserve">Fix typos: "spaghetti,and", "write- once", double space in "three implementations  SimulatorBackend", "HardwareBackend" versus "Hardware Backend".</w:t>
      </w:r>
    </w:p>
    <w:p>
      <w:pPr>
        <w:pStyle w:val="ListParagraph"/>
        <w:numPr>
          <w:ilvl w:val="0"/>
          <w:numId w:val="2"/>
        </w:numPr>
        <w:spacing w:after="80"/>
      </w:pPr>
      <w:r>
        <w:t xml:space="preserve">Rewrite the "Causal structure" paragraph as two clear sentences.</w:t>
      </w:r>
    </w:p>
    <w:p>
      <w:pPr>
        <w:pStyle w:val="ListParagraph"/>
        <w:numPr>
          <w:ilvl w:val="0"/>
          <w:numId w:val="2"/>
        </w:numPr>
        <w:spacing w:after="80"/>
      </w:pPr>
      <w:r>
        <w:t xml:space="preserve">Add one small public dataset with a clear licence (for example from UCI) so the classical baselines run on real data; the current "synthetic" data uses real-looking supermarket items.</w:t>
      </w:r>
    </w:p>
    <w:p>
      <w:pPr>
        <w:pStyle w:val="ListParagraph"/>
        <w:numPr>
          <w:ilvl w:val="0"/>
          <w:numId w:val="2"/>
        </w:numPr>
        <w:spacing w:after="80"/>
      </w:pPr>
      <w:r>
        <w:t xml:space="preserve">Add a Limitations paragraph: one 5-qubit problem size, one backend, no error mitigation, synthetic data, no advantage claim.</w:t>
      </w:r>
    </w:p>
    <w:p>
      <w:pPr>
        <w:pStyle w:val="ListParagraph"/>
        <w:numPr>
          <w:ilvl w:val="0"/>
          <w:numId w:val="2"/>
        </w:numPr>
        <w:spacing w:after="80"/>
      </w:pPr>
      <w:r>
        <w:t xml:space="preserve">Impact section: replace "will help" with factual statements and report any Zenodo, GitHub or pilot-user numbers.</w:t>
      </w:r>
    </w:p>
    <w:p>
      <w:pPr>
        <w:pStyle w:val="ListParagraph"/>
        <w:numPr>
          <w:ilvl w:val="0"/>
          <w:numId w:val="2"/>
        </w:numPr>
        <w:spacing w:after="80"/>
      </w:pPr>
      <w:r>
        <w:t xml:space="preserve">Use one consistent name (qfim-bench, QFIM-bench, qfim_bench) in text, title and repository.</w:t>
      </w:r>
    </w:p>
    <w:p>
      <w:pPr>
        <w:pStyle w:val="Heading1"/>
      </w:pPr>
      <w:r>
        <w:t xml:space="preserve">8. Master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500"/>
        <w:gridCol w:w="1700"/>
      </w:tblGrid>
      <w:tr>
        <w:trPr>
          <w:tblHeader/>
        </w:trPr>
        <w:tc>
          <w:tcPr>
            <w:tcW w:type="dxa" w:w="600"/>
            <w:tcBorders>
              <w:top w:val="single" w:color="BBBBBB" w:sz="4"/>
              <w:left w:val="single" w:color="BBBBBB" w:sz="4"/>
              <w:bottom w:val="single" w:color="BBBBBB" w:sz="4"/>
              <w:right w:val="single" w:color="BBBBBB" w:sz="4"/>
            </w:tcBorders>
            <w:shd w:fill="DCE6F2" w:color="auto" w:val="clear"/>
            <w:tcMar>
              <w:top w:type="dxa" w:w="70"/>
              <w:left w:type="dxa" w:w="100"/>
              <w:bottom w:type="dxa" w:w="70"/>
              <w:right w:type="dxa" w:w="100"/>
            </w:tcMar>
          </w:tcPr>
          <w:p>
            <w:r>
              <w:rPr>
                <w:b/>
                <w:bCs/>
                <w:sz w:val="20"/>
                <w:szCs w:val="20"/>
              </w:rPr>
              <w:t xml:space="preserve">#</w:t>
            </w:r>
          </w:p>
        </w:tc>
        <w:tc>
          <w:tcPr>
            <w:tcW w:type="dxa" w:w="5560"/>
            <w:tcBorders>
              <w:top w:val="single" w:color="BBBBBB" w:sz="4"/>
              <w:left w:val="single" w:color="BBBBBB" w:sz="4"/>
              <w:bottom w:val="single" w:color="BBBBBB" w:sz="4"/>
              <w:right w:val="single" w:color="BBBBBB" w:sz="4"/>
            </w:tcBorders>
            <w:shd w:fill="DCE6F2" w:color="auto" w:val="clear"/>
            <w:tcMar>
              <w:top w:type="dxa" w:w="70"/>
              <w:left w:type="dxa" w:w="100"/>
              <w:bottom w:type="dxa" w:w="70"/>
              <w:right w:type="dxa" w:w="100"/>
            </w:tcMar>
          </w:tcPr>
          <w:p>
            <w:r>
              <w:rPr>
                <w:b/>
                <w:bCs/>
                <w:sz w:val="20"/>
                <w:szCs w:val="20"/>
              </w:rPr>
              <w:t xml:space="preserve">Task</w:t>
            </w:r>
          </w:p>
        </w:tc>
        <w:tc>
          <w:tcPr>
            <w:tcW w:type="dxa" w:w="1500"/>
            <w:tcBorders>
              <w:top w:val="single" w:color="BBBBBB" w:sz="4"/>
              <w:left w:val="single" w:color="BBBBBB" w:sz="4"/>
              <w:bottom w:val="single" w:color="BBBBBB" w:sz="4"/>
              <w:right w:val="single" w:color="BBBBBB" w:sz="4"/>
            </w:tcBorders>
            <w:shd w:fill="DCE6F2" w:color="auto" w:val="clear"/>
            <w:tcMar>
              <w:top w:type="dxa" w:w="70"/>
              <w:left w:type="dxa" w:w="100"/>
              <w:bottom w:type="dxa" w:w="70"/>
              <w:right w:type="dxa" w:w="100"/>
            </w:tcMar>
          </w:tcPr>
          <w:p>
            <w:r>
              <w:rPr>
                <w:b/>
                <w:bCs/>
                <w:sz w:val="20"/>
                <w:szCs w:val="20"/>
              </w:rPr>
              <w:t xml:space="preserve">Priority</w:t>
            </w:r>
          </w:p>
        </w:tc>
        <w:tc>
          <w:tcPr>
            <w:tcW w:type="dxa" w:w="1700"/>
            <w:tcBorders>
              <w:top w:val="single" w:color="BBBBBB" w:sz="4"/>
              <w:left w:val="single" w:color="BBBBBB" w:sz="4"/>
              <w:bottom w:val="single" w:color="BBBBBB" w:sz="4"/>
              <w:right w:val="single" w:color="BBBBBB" w:sz="4"/>
            </w:tcBorders>
            <w:shd w:fill="DCE6F2" w:color="auto" w:val="clear"/>
            <w:tcMar>
              <w:top w:type="dxa" w:w="70"/>
              <w:left w:type="dxa" w:w="100"/>
              <w:bottom w:type="dxa" w:w="70"/>
              <w:right w:type="dxa" w:w="100"/>
            </w:tcMar>
          </w:tcPr>
          <w:p>
            <w:r>
              <w:rPr>
                <w:b/>
                <w:bCs/>
                <w:sz w:val="20"/>
                <w:szCs w:val="20"/>
              </w:rPr>
              <w:t xml:space="preserve">Done</w:t>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1</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Sparse-marking default and optimal r; trivial baselines</w:t>
            </w:r>
          </w:p>
        </w:tc>
        <w:tc>
          <w:tcPr>
            <w:tcW w:type="dxa" w:w="1500"/>
            <w:tcBorders>
              <w:top w:val="single" w:color="BBBBBB" w:sz="4"/>
              <w:left w:val="single" w:color="BBBBBB" w:sz="4"/>
              <w:bottom w:val="single" w:color="BBBBBB" w:sz="4"/>
              <w:right w:val="single" w:color="BBBBBB" w:sz="4"/>
            </w:tcBorders>
            <w:shd w:fill="F8D7D7" w:color="auto" w:val="clear"/>
            <w:tcMar>
              <w:top w:type="dxa" w:w="70"/>
              <w:left w:type="dxa" w:w="100"/>
              <w:bottom w:type="dxa" w:w="70"/>
              <w:right w:type="dxa" w:w="100"/>
            </w:tcMar>
          </w:tcPr>
          <w:p>
            <w:r>
              <w:rPr>
                <w:b w:val="false"/>
                <w:bCs w:val="false"/>
                <w:sz w:val="20"/>
                <w:szCs w:val="20"/>
              </w:rPr>
              <w:t xml:space="preserve">Critical</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2</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Run ansatz on hardware (2 x 3 design) or narrow the claim; multi-seed ansatz</w:t>
            </w:r>
          </w:p>
        </w:tc>
        <w:tc>
          <w:tcPr>
            <w:tcW w:type="dxa" w:w="1500"/>
            <w:tcBorders>
              <w:top w:val="single" w:color="BBBBBB" w:sz="4"/>
              <w:left w:val="single" w:color="BBBBBB" w:sz="4"/>
              <w:bottom w:val="single" w:color="BBBBBB" w:sz="4"/>
              <w:right w:val="single" w:color="BBBBBB" w:sz="4"/>
            </w:tcBorders>
            <w:shd w:fill="F8D7D7" w:color="auto" w:val="clear"/>
            <w:tcMar>
              <w:top w:type="dxa" w:w="70"/>
              <w:left w:type="dxa" w:w="100"/>
              <w:bottom w:type="dxa" w:w="70"/>
              <w:right w:type="dxa" w:w="100"/>
            </w:tcMar>
          </w:tcPr>
          <w:p>
            <w:r>
              <w:rPr>
                <w:b w:val="false"/>
                <w:bCs w:val="false"/>
                <w:sz w:val="20"/>
                <w:szCs w:val="20"/>
              </w:rPr>
              <w:t xml:space="preserve">Critical</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3</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Check and report diffusion operator for the ansatz case</w:t>
            </w:r>
          </w:p>
        </w:tc>
        <w:tc>
          <w:tcPr>
            <w:tcW w:type="dxa" w:w="1500"/>
            <w:tcBorders>
              <w:top w:val="single" w:color="BBBBBB" w:sz="4"/>
              <w:left w:val="single" w:color="BBBBBB" w:sz="4"/>
              <w:bottom w:val="single" w:color="BBBBBB" w:sz="4"/>
              <w:right w:val="single" w:color="BBBBBB" w:sz="4"/>
            </w:tcBorders>
            <w:shd w:fill="F8D7D7" w:color="auto" w:val="clear"/>
            <w:tcMar>
              <w:top w:type="dxa" w:w="70"/>
              <w:left w:type="dxa" w:w="100"/>
              <w:bottom w:type="dxa" w:w="70"/>
              <w:right w:type="dxa" w:w="100"/>
            </w:tcMar>
          </w:tcPr>
          <w:p>
            <w:r>
              <w:rPr>
                <w:b w:val="false"/>
                <w:bCs w:val="false"/>
                <w:sz w:val="20"/>
                <w:szCs w:val="20"/>
              </w:rPr>
              <w:t xml:space="preserve">Critical</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4</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Repeats, echo circuit, readout baseline, randomised order, full job metadata</w:t>
            </w:r>
          </w:p>
        </w:tc>
        <w:tc>
          <w:tcPr>
            <w:tcW w:type="dxa" w:w="1500"/>
            <w:tcBorders>
              <w:top w:val="single" w:color="BBBBBB" w:sz="4"/>
              <w:left w:val="single" w:color="BBBBBB" w:sz="4"/>
              <w:bottom w:val="single" w:color="BBBBBB" w:sz="4"/>
              <w:right w:val="single" w:color="BBBBBB" w:sz="4"/>
            </w:tcBorders>
            <w:shd w:fill="F8D7D7" w:color="auto" w:val="clear"/>
            <w:tcMar>
              <w:top w:type="dxa" w:w="70"/>
              <w:left w:type="dxa" w:w="100"/>
              <w:bottom w:type="dxa" w:w="70"/>
              <w:right w:type="dxa" w:w="100"/>
            </w:tcMar>
          </w:tcPr>
          <w:p>
            <w:r>
              <w:rPr>
                <w:b w:val="false"/>
                <w:bCs w:val="false"/>
                <w:sz w:val="20"/>
                <w:szCs w:val="20"/>
              </w:rPr>
              <w:t xml:space="preserve">Critical</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5</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Confidence intervals, TVD with null calibration, fidelity-decay fit</w:t>
            </w:r>
          </w:p>
        </w:tc>
        <w:tc>
          <w:tcPr>
            <w:tcW w:type="dxa" w:w="1500"/>
            <w:tcBorders>
              <w:top w:val="single" w:color="BBBBBB" w:sz="4"/>
              <w:left w:val="single" w:color="BBBBBB" w:sz="4"/>
              <w:bottom w:val="single" w:color="BBBBBB" w:sz="4"/>
              <w:right w:val="single" w:color="BBBBBB" w:sz="4"/>
            </w:tcBorders>
            <w:shd w:fill="F8D7D7" w:color="auto" w:val="clear"/>
            <w:tcMar>
              <w:top w:type="dxa" w:w="70"/>
              <w:left w:type="dxa" w:w="100"/>
              <w:bottom w:type="dxa" w:w="70"/>
              <w:right w:type="dxa" w:w="100"/>
            </w:tcMar>
          </w:tcPr>
          <w:p>
            <w:r>
              <w:rPr>
                <w:b w:val="false"/>
                <w:bCs w:val="false"/>
                <w:sz w:val="20"/>
                <w:szCs w:val="20"/>
              </w:rPr>
              <w:t xml:space="preserve">Critical</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6</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Noise sensitivity sweep</w:t>
            </w:r>
          </w:p>
        </w:tc>
        <w:tc>
          <w:tcPr>
            <w:tcW w:type="dxa" w:w="1500"/>
            <w:tcBorders>
              <w:top w:val="single" w:color="BBBBBB" w:sz="4"/>
              <w:left w:val="single" w:color="BBBBBB" w:sz="4"/>
              <w:bottom w:val="single" w:color="BBBBBB" w:sz="4"/>
              <w:right w:val="single" w:color="BBBBBB" w:sz="4"/>
            </w:tcBorders>
            <w:shd w:fill="FCE9C8" w:color="auto" w:val="clear"/>
            <w:tcMar>
              <w:top w:type="dxa" w:w="70"/>
              <w:left w:type="dxa" w:w="100"/>
              <w:bottom w:type="dxa" w:w="70"/>
              <w:right w:type="dxa" w:w="100"/>
            </w:tcMar>
          </w:tcPr>
          <w:p>
            <w:r>
              <w:rPr>
                <w:b w:val="false"/>
                <w:bCs w:val="false"/>
                <w:sz w:val="20"/>
                <w:szCs w:val="20"/>
              </w:rPr>
              <w:t xml:space="preserve">High</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7</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Oracle description, depth and gate counts; scaling figure</w:t>
            </w:r>
          </w:p>
        </w:tc>
        <w:tc>
          <w:tcPr>
            <w:tcW w:type="dxa" w:w="1500"/>
            <w:tcBorders>
              <w:top w:val="single" w:color="BBBBBB" w:sz="4"/>
              <w:left w:val="single" w:color="BBBBBB" w:sz="4"/>
              <w:bottom w:val="single" w:color="BBBBBB" w:sz="4"/>
              <w:right w:val="single" w:color="BBBBBB" w:sz="4"/>
            </w:tcBorders>
            <w:shd w:fill="FCE9C8" w:color="auto" w:val="clear"/>
            <w:tcMar>
              <w:top w:type="dxa" w:w="70"/>
              <w:left w:type="dxa" w:w="100"/>
              <w:bottom w:type="dxa" w:w="70"/>
              <w:right w:type="dxa" w:w="100"/>
            </w:tcMar>
          </w:tcPr>
          <w:p>
            <w:r>
              <w:rPr>
                <w:b w:val="false"/>
                <w:bCs w:val="false"/>
                <w:sz w:val="20"/>
                <w:szCs w:val="20"/>
              </w:rPr>
              <w:t xml:space="preserve">High</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8</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Verifiable pre-registration (commit hash or timestamp); state what was predicted</w:t>
            </w:r>
          </w:p>
        </w:tc>
        <w:tc>
          <w:tcPr>
            <w:tcW w:type="dxa" w:w="1500"/>
            <w:tcBorders>
              <w:top w:val="single" w:color="BBBBBB" w:sz="4"/>
              <w:left w:val="single" w:color="BBBBBB" w:sz="4"/>
              <w:bottom w:val="single" w:color="BBBBBB" w:sz="4"/>
              <w:right w:val="single" w:color="BBBBBB" w:sz="4"/>
            </w:tcBorders>
            <w:shd w:fill="FCE9C8" w:color="auto" w:val="clear"/>
            <w:tcMar>
              <w:top w:type="dxa" w:w="70"/>
              <w:left w:type="dxa" w:w="100"/>
              <w:bottom w:type="dxa" w:w="70"/>
              <w:right w:type="dxa" w:w="100"/>
            </w:tcMar>
          </w:tcPr>
          <w:p>
            <w:r>
              <w:rPr>
                <w:b w:val="false"/>
                <w:bCs w:val="false"/>
                <w:sz w:val="20"/>
                <w:szCs w:val="20"/>
              </w:rPr>
              <w:t xml:space="preserve">High</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9</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Rebuild Table 4 with real competitors; justify Backend wrapper</w:t>
            </w:r>
          </w:p>
        </w:tc>
        <w:tc>
          <w:tcPr>
            <w:tcW w:type="dxa" w:w="1500"/>
            <w:tcBorders>
              <w:top w:val="single" w:color="BBBBBB" w:sz="4"/>
              <w:left w:val="single" w:color="BBBBBB" w:sz="4"/>
              <w:bottom w:val="single" w:color="BBBBBB" w:sz="4"/>
              <w:right w:val="single" w:color="BBBBBB" w:sz="4"/>
            </w:tcBorders>
            <w:shd w:fill="FCE9C8" w:color="auto" w:val="clear"/>
            <w:tcMar>
              <w:top w:type="dxa" w:w="70"/>
              <w:left w:type="dxa" w:w="100"/>
              <w:bottom w:type="dxa" w:w="70"/>
              <w:right w:type="dxa" w:w="100"/>
            </w:tcMar>
          </w:tcPr>
          <w:p>
            <w:r>
              <w:rPr>
                <w:b w:val="false"/>
                <w:bCs w:val="false"/>
                <w:sz w:val="20"/>
                <w:szCs w:val="20"/>
              </w:rPr>
              <w:t xml:space="preserve">High</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10</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Metadata fixes (C2, C3, C9), dashboard sustainability, PyPI, Docker</w:t>
            </w:r>
          </w:p>
        </w:tc>
        <w:tc>
          <w:tcPr>
            <w:tcW w:type="dxa" w:w="1500"/>
            <w:tcBorders>
              <w:top w:val="single" w:color="BBBBBB" w:sz="4"/>
              <w:left w:val="single" w:color="BBBBBB" w:sz="4"/>
              <w:bottom w:val="single" w:color="BBBBBB" w:sz="4"/>
              <w:right w:val="single" w:color="BBBBBB" w:sz="4"/>
            </w:tcBorders>
            <w:shd w:fill="FCE9C8" w:color="auto" w:val="clear"/>
            <w:tcMar>
              <w:top w:type="dxa" w:w="70"/>
              <w:left w:type="dxa" w:w="100"/>
              <w:bottom w:type="dxa" w:w="70"/>
              <w:right w:type="dxa" w:w="100"/>
            </w:tcMar>
          </w:tcPr>
          <w:p>
            <w:r>
              <w:rPr>
                <w:b w:val="false"/>
                <w:bCs w:val="false"/>
                <w:sz w:val="20"/>
                <w:szCs w:val="20"/>
              </w:rPr>
              <w:t xml:space="preserve">High</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11</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CI matrix, version pins, coverage percentage, API docs, CITATION.cff</w:t>
            </w:r>
          </w:p>
        </w:tc>
        <w:tc>
          <w:tcPr>
            <w:tcW w:type="dxa" w:w="1500"/>
            <w:tcBorders>
              <w:top w:val="single" w:color="BBBBBB" w:sz="4"/>
              <w:left w:val="single" w:color="BBBBBB" w:sz="4"/>
              <w:bottom w:val="single" w:color="BBBBBB" w:sz="4"/>
              <w:right w:val="single" w:color="BBBBBB" w:sz="4"/>
            </w:tcBorders>
            <w:shd w:fill="E6F0DC" w:color="auto" w:val="clear"/>
            <w:tcMar>
              <w:top w:type="dxa" w:w="70"/>
              <w:left w:type="dxa" w:w="100"/>
              <w:bottom w:type="dxa" w:w="70"/>
              <w:right w:type="dxa" w:w="100"/>
            </w:tcMar>
          </w:tcPr>
          <w:p>
            <w:r>
              <w:rPr>
                <w:b w:val="false"/>
                <w:bCs w:val="false"/>
                <w:sz w:val="20"/>
                <w:szCs w:val="20"/>
              </w:rPr>
              <w:t xml:space="preserve">Medium</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12</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Add real public dataset; Limitations paragraph; Impact wording</w:t>
            </w:r>
          </w:p>
        </w:tc>
        <w:tc>
          <w:tcPr>
            <w:tcW w:type="dxa" w:w="1500"/>
            <w:tcBorders>
              <w:top w:val="single" w:color="BBBBBB" w:sz="4"/>
              <w:left w:val="single" w:color="BBBBBB" w:sz="4"/>
              <w:bottom w:val="single" w:color="BBBBBB" w:sz="4"/>
              <w:right w:val="single" w:color="BBBBBB" w:sz="4"/>
            </w:tcBorders>
            <w:shd w:fill="E6F0DC" w:color="auto" w:val="clear"/>
            <w:tcMar>
              <w:top w:type="dxa" w:w="70"/>
              <w:left w:type="dxa" w:w="100"/>
              <w:bottom w:type="dxa" w:w="70"/>
              <w:right w:type="dxa" w:w="100"/>
            </w:tcMar>
          </w:tcPr>
          <w:p>
            <w:r>
              <w:rPr>
                <w:b w:val="false"/>
                <w:bCs w:val="false"/>
                <w:sz w:val="20"/>
                <w:szCs w:val="20"/>
              </w:rPr>
              <w:t xml:space="preserve">Medium</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13</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Equation, figure, typo, naming and reference-order fixes</w:t>
            </w:r>
          </w:p>
        </w:tc>
        <w:tc>
          <w:tcPr>
            <w:tcW w:type="dxa" w:w="1500"/>
            <w:tcBorders>
              <w:top w:val="single" w:color="BBBBBB" w:sz="4"/>
              <w:left w:val="single" w:color="BBBBBB" w:sz="4"/>
              <w:bottom w:val="single" w:color="BBBBBB" w:sz="4"/>
              <w:right w:val="single" w:color="BBBBBB" w:sz="4"/>
            </w:tcBorders>
            <w:shd w:fill="E6F0DC" w:color="auto" w:val="clear"/>
            <w:tcMar>
              <w:top w:type="dxa" w:w="70"/>
              <w:left w:type="dxa" w:w="100"/>
              <w:bottom w:type="dxa" w:w="70"/>
              <w:right w:type="dxa" w:w="100"/>
            </w:tcMar>
          </w:tcPr>
          <w:p>
            <w:r>
              <w:rPr>
                <w:b w:val="false"/>
                <w:bCs w:val="false"/>
                <w:sz w:val="20"/>
                <w:szCs w:val="20"/>
              </w:rPr>
              <w:t xml:space="preserve">Medium</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14</w:t>
            </w:r>
          </w:p>
        </w:tc>
        <w:tc>
          <w:tcPr>
            <w:tcW w:type="dxa" w:w="5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Mock review by a colleague; fresh-install test from the README alone</w:t>
            </w:r>
          </w:p>
        </w:tc>
        <w:tc>
          <w:tcPr>
            <w:tcW w:type="dxa" w:w="1500"/>
            <w:tcBorders>
              <w:top w:val="single" w:color="BBBBBB" w:sz="4"/>
              <w:left w:val="single" w:color="BBBBBB" w:sz="4"/>
              <w:bottom w:val="single" w:color="BBBBBB" w:sz="4"/>
              <w:right w:val="single" w:color="BBBBBB" w:sz="4"/>
            </w:tcBorders>
            <w:shd w:fill="E6F0DC" w:color="auto" w:val="clear"/>
            <w:tcMar>
              <w:top w:type="dxa" w:w="70"/>
              <w:left w:type="dxa" w:w="100"/>
              <w:bottom w:type="dxa" w:w="70"/>
              <w:right w:type="dxa" w:w="100"/>
            </w:tcMar>
          </w:tcPr>
          <w:p>
            <w:r>
              <w:rPr>
                <w:b w:val="false"/>
                <w:bCs w:val="false"/>
                <w:sz w:val="20"/>
                <w:szCs w:val="20"/>
              </w:rPr>
              <w:t xml:space="preserve">Medium</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b w:val="false"/>
                <w:bCs w:val="false"/>
                <w:sz w:val="20"/>
                <w:szCs w:val="20"/>
              </w:rPr>
              <w:t xml:space="preserve"/>
            </w:r>
          </w:p>
        </w:tc>
      </w:tr>
    </w:tbl>
    <w:p>
      <w:pPr>
        <w:spacing w:after="120"/>
      </w:pPr>
      <w:r>
        <w:t xml:space="preserve"/>
      </w:r>
    </w:p>
    <w:p>
      <w:pPr>
        <w:pStyle w:val="Heading1"/>
      </w:pPr>
      <w:r>
        <w:t xml:space="preserve">9. Suggested order of work</w:t>
      </w:r>
    </w:p>
    <w:p>
      <w:pPr>
        <w:spacing w:after="120"/>
      </w:pPr>
      <w:r>
        <w:t xml:space="preserve">Redesign the operating point, then add controls and repeats and rerun a small hardware campaign, then analyse with TVD and fidelity fits, then fix comparators and metadata, then rewrite the paper and run a mock review. Re-check the current SoftwareX Guide for Authors and template before submitting, since requirements can change.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8"/>
      <w:szCs w:val="38"/>
    </w:rPr>
  </w:style>
  <w:style w:type="paragraph" w:styleId="Heading1">
    <w:name w:val="Heading 1"/>
    <w:basedOn w:val="Normal"/>
    <w:next w:val="Normal"/>
    <w:qFormat/>
    <w:pPr>
      <w:spacing w:after="140" w:before="300"/>
      <w:outlineLvl w:val="0"/>
    </w:pPr>
    <w:rPr>
      <w:rFonts w:ascii="Calibri" w:cs="Calibri" w:eastAsia="Calibri" w:hAnsi="Calibri"/>
      <w:b/>
      <w:bCs/>
      <w:color w:val="1F3864"/>
      <w:sz w:val="29"/>
      <w:szCs w:val="29"/>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2026-10-08T06:35:30.857Z</dcterms:created>
  <dcterms:modified xsi:type="dcterms:W3CDTF">2026-10-08T06:35:30.869Z</dcterms:modified>
</cp:coreProperties>
</file>

<file path=docProps/custom.xml><?xml version="1.0" encoding="utf-8"?>
<Properties xmlns="http://schemas.openxmlformats.org/officeDocument/2006/custom-properties" xmlns:vt="http://schemas.openxmlformats.org/officeDocument/2006/docPropsVTypes"/>
</file>