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word/footer4.xml" ContentType="application/vnd.openxmlformats-officedocument.wordprocessingml.footer+xml"/>
  <Override PartName="/word/footer1.xml" ContentType="application/vnd.openxmlformats-officedocument.wordprocessingml.footer+xml"/>
  <Override PartName="/word/header8.xml" ContentType="application/vnd.openxmlformats-officedocument.wordprocessingml.header+xml"/>
  <Override PartName="/word/header7.xml" ContentType="application/vnd.openxmlformats-officedocument.wordprocessingml.header+xml"/>
  <Override PartName="/docProps/app.xml" ContentType="application/vnd.openxmlformats-officedocument.extended-properties+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header1.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styles.xml" ContentType="application/vnd.openxmlformats-officedocument.wordprocessingml.styles+xml"/>
  <Override PartName="/word/header6.xml" ContentType="application/vnd.openxmlformats-officedocument.wordprocessingml.header+xml"/>
  <Override PartName="/word/header5.xml" ContentType="application/vnd.openxmlformats-officedocument.wordprocessingml.header+xml"/>
  <Override PartName="/docProps/core.xml" ContentType="application/vnd.openxmlformats-package.core-properties+xml"/>
  <Override PartName="/word/glossary/endnotes.xml" ContentType="application/vnd.openxmlformats-officedocument.wordprocessingml.endnotes+xml"/>
  <Override PartName="/word/webSettings.xml" ContentType="application/vnd.openxmlformats-officedocument.wordprocessingml.webSettings+xml"/>
  <Override PartName="/word/glossary/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word/footer3.xml" ContentType="application/vnd.openxmlformats-officedocument.wordprocessingml.footer+xml"/>
  <Override PartName="/word/glossary/fontTable.xml" ContentType="application/vnd.openxmlformats-officedocument.wordprocessingml.fontTabl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document.xml" ContentType="application/vnd.openxmlformats-officedocument.wordprocessingml.document.main+xml"/>
  <Override PartName="/word/header9.xml" ContentType="application/vnd.openxmlformats-officedocument.wordprocessingml.header+xml"/>
  <Override PartName="/word/glossary/settings.xml" ContentType="application/vnd.openxmlformats-officedocument.wordprocessingml.settings+xml"/>
  <Override PartName="/word/glossary/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sz w:val="28"/>
          <w:szCs w:val="28"/>
          <w:lang w:eastAsia="en-US"/>
        </w:rPr>
      </w:pPr>
      <w:r>
        <w:rPr>
          <w:sz w:val="28"/>
          <w:szCs w:val="28"/>
          <w:lang w:eastAsia="en-US" w:bidi="ar-SA"/>
        </w:rPr>
        <mc:AlternateContent>
          <mc:Choice Requires="wpg">
            <w:drawing>
              <wp:inline xmlns:wp="http://schemas.openxmlformats.org/drawingml/2006/wordprocessingDrawing" distT="0" distB="0" distL="0" distR="0">
                <wp:extent cx="5942965" cy="8228965"/>
                <wp:effectExtent l="0" t="0" r="0" b="0"/>
                <wp:docPr id="1" name="Group 1"/>
                <wp:cNvGraphicFramePr/>
                <a:graphic xmlns:a="http://schemas.openxmlformats.org/drawingml/2006/main">
                  <a:graphicData uri="http://schemas.microsoft.com/office/word/2010/wordprocessingGroup">
                    <wpg:wgp>
                      <wpg:cNvGrpSpPr/>
                      <wpg:grpSpPr bwMode="auto">
                        <a:xfrm>
                          <a:off x="0" y="0"/>
                          <a:ext cx="5942880" cy="8228880"/>
                          <a:chOff x="0" y="0"/>
                          <a:chExt cx="5942880" cy="8228880"/>
                        </a:xfrm>
                      </wpg:grpSpPr>
                      <wps:wsp>
                        <wps:cNvPr id="0" name=""/>
                        <wps:cNvSpPr/>
                        <wps:spPr bwMode="auto">
                          <a:xfrm>
                            <a:off x="0" y="0"/>
                            <a:ext cx="5942880" cy="8228880"/>
                          </a:xfrm>
                          <a:prstGeom prst="rect">
                            <a:avLst/>
                          </a:prstGeom>
                          <a:noFill/>
                          <a:ln w="0">
                            <a:noFill/>
                          </a:ln>
                        </wps:spPr>
                        <wps:bodyPr rot="0">
                          <a:prstTxWarp prst="textNoShape">
                            <a:avLst/>
                          </a:prstTxWarp>
                          <a:noAutofit/>
                        </wps:bodyPr>
                      </wps:wsp>
                    </wpg:wgp>
                  </a:graphicData>
                </a:graphic>
              </wp:inline>
            </w:drawing>
          </mc:Choice>
          <mc:Fallback>
            <w:pict>
              <v:group id="group 0" o:spid="_x0000_s0000" style="width:467.95pt;height:647.95pt;mso-wrap-distance-left:0.00pt;mso-wrap-distance-top:0.00pt;mso-wrap-distance-right:0.00pt;mso-wrap-distance-bottom:0.00pt;" coordorigin="0,0" coordsize="59428,82288">
                <v:shape id="shape 1" o:spid="_x0000_s1" o:spt="1" type="#_x0000_t1" style="position:absolute;left:0;top:0;width:59428;height:82288;visibility:visible;" filled="f" stroked="f" strokeweight="0.00pt"/>
              </v:group>
            </w:pict>
          </mc:Fallback>
        </mc:AlternateContent>
      </w:r>
      <w:r>
        <w:rPr>
          <w:lang w:eastAsia="en-US" w:bidi="ar-SA"/>
        </w:rPr>
        <mc:AlternateContent>
          <mc:Choice Requires="wpg">
            <w:drawing>
              <wp:anchor xmlns:wp="http://schemas.openxmlformats.org/drawingml/2006/wordprocessingDrawing" xmlns:wp14="http://schemas.microsoft.com/office/word/2010/wordprocessingDrawing" distT="0" distB="0" distL="114935" distR="114935" simplePos="0" relativeHeight="3" behindDoc="0" locked="0" layoutInCell="1" allowOverlap="1">
                <wp:simplePos x="0" y="0"/>
                <wp:positionH relativeFrom="column">
                  <wp:posOffset>97155</wp:posOffset>
                </wp:positionH>
                <wp:positionV relativeFrom="paragraph">
                  <wp:posOffset>299085</wp:posOffset>
                </wp:positionV>
                <wp:extent cx="5863590" cy="8534400"/>
                <wp:effectExtent l="0" t="0" r="0" b="0"/>
                <wp:wrapNone/>
                <wp:docPr id="2" name="Frame1"/>
                <wp:cNvGraphicFramePr/>
                <a:graphic xmlns:a="http://schemas.openxmlformats.org/drawingml/2006/main">
                  <a:graphicData uri="http://schemas.microsoft.com/office/word/2010/wordprocessingShape">
                    <wps:wsp>
                      <wps:cNvPr id="0" name=""/>
                      <wps:cNvSpPr txBox="1"/>
                      <wps:spPr bwMode="auto">
                        <a:xfrm>
                          <a:off x="0" y="0"/>
                          <a:ext cx="5863590" cy="8534400"/>
                        </a:xfrm>
                        <a:prstGeom prst="rect">
                          <a:avLst/>
                        </a:prstGeom>
                        <a:solidFill>
                          <a:srgbClr val="FFFFFF"/>
                        </a:solidFill>
                        <a:ln w="38100">
                          <a:solidFill>
                            <a:srgbClr val="000000"/>
                          </a:solidFill>
                        </a:ln>
                      </wps:spPr>
                      <wps:txbx>
                        <w:txbxContent>
                          <w:p>
                            <w:pPr>
                              <w:pBdr/>
                              <w:spacing/>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ĐẠI HỌC CẦN THƠ</w:t>
                            </w:r>
                            <w:r>
                              <w:rPr>
                                <w:rFonts w:ascii="Times New Roman" w:hAnsi="Times New Roman" w:cs="Times New Roman"/>
                                <w:sz w:val="28"/>
                                <w:szCs w:val="28"/>
                              </w:rPr>
                            </w:r>
                            <w:r>
                              <w:rPr>
                                <w:rFonts w:ascii="Times New Roman" w:hAnsi="Times New Roman" w:cs="Times New Roman"/>
                                <w:sz w:val="28"/>
                                <w:szCs w:val="28"/>
                              </w:rPr>
                            </w:r>
                          </w:p>
                          <w:p>
                            <w:pPr>
                              <w:pBdr/>
                              <w:spacing/>
                              <w:ind/>
                              <w:jc w:val="center"/>
                              <w:rPr>
                                <w:rFonts w:ascii="Times New Roman" w:hAnsi="Times New Roman" w:cs="Times New Roman"/>
                              </w:rPr>
                            </w:pPr>
                            <w:r>
                              <w:rPr>
                                <w:rFonts w:ascii="Times New Roman" w:hAnsi="Times New Roman" w:eastAsia="Times New Roman" w:cs="Times New Roman"/>
                                <w:b/>
                                <w:sz w:val="28"/>
                                <w:szCs w:val="28"/>
                              </w:rPr>
                              <w:t xml:space="preserve">KHOA SAU ĐẠI HỌC</w:t>
                            </w:r>
                            <w:r>
                              <w:rPr>
                                <w:rFonts w:ascii="Times New Roman" w:hAnsi="Times New Roman" w:cs="Times New Roman"/>
                              </w:rPr>
                            </w:r>
                            <w:r>
                              <w:rPr>
                                <w:rFonts w:ascii="Times New Roman" w:hAnsi="Times New Roman" w:cs="Times New Roman"/>
                              </w:rPr>
                            </w:r>
                          </w:p>
                          <w:p>
                            <w:pPr>
                              <w:pBdr/>
                              <w:tabs>
                                <w:tab w:val="left" w:leader="none" w:pos="994"/>
                              </w:tabs>
                              <w:spacing w:line="360" w:lineRule="auto"/>
                              <w:ind/>
                              <w:jc w:val="center"/>
                              <w:rPr/>
                            </w:pPr>
                            <w:r>
                              <w:rPr>
                                <w:lang w:val="nb-NO"/>
                              </w:rPr>
                              <w:t xml:space="preserve">--------</w:t>
                            </w:r>
                            <w:r>
                              <w:rPr>
                                <w:rFonts w:ascii="Wingdings" w:hAnsi="Wingdings" w:eastAsia="Wingdings" w:cs="Wingdings"/>
                                <w:lang w:val="pt-BR"/>
                              </w:rPr>
                              <w:t xml:space="preserve"></w:t>
                            </w:r>
                            <w:r>
                              <w:rPr>
                                <w:rFonts w:ascii="Wingdings" w:hAnsi="Wingdings" w:eastAsia="Wingdings" w:cs="Wingdings"/>
                                <w:lang w:val="pt-BR"/>
                              </w:rPr>
                              <w:t xml:space="preserve"></w:t>
                            </w:r>
                            <w:r>
                              <w:rPr>
                                <w:rFonts w:ascii="Wingdings" w:hAnsi="Wingdings" w:eastAsia="Wingdings" w:cs="Wingdings"/>
                                <w:lang w:val="pt-BR"/>
                              </w:rPr>
                              <w:t xml:space="preserve"></w:t>
                            </w:r>
                            <w:r>
                              <w:rPr>
                                <w:lang w:val="nb-NO"/>
                              </w:rPr>
                              <w:t xml:space="preserve">--------</w:t>
                            </w:r>
                            <w:r/>
                          </w:p>
                          <w:p>
                            <w:pPr>
                              <w:pBdr/>
                              <w:spacing/>
                              <w:ind/>
                              <w:jc w:val="center"/>
                              <w:rPr>
                                <w:sz w:val="26"/>
                                <w:szCs w:val="26"/>
                                <w:lang w:val="nb-NO"/>
                              </w:rPr>
                            </w:pPr>
                            <w:r>
                              <w:rPr>
                                <w:sz w:val="26"/>
                                <w:szCs w:val="26"/>
                                <w:lang w:val="nb-NO"/>
                              </w:rPr>
                            </w:r>
                            <w:r>
                              <w:rPr>
                                <w:sz w:val="26"/>
                                <w:szCs w:val="26"/>
                                <w:lang w:val="nb-NO"/>
                              </w:rPr>
                            </w:r>
                            <w:r>
                              <w:rPr>
                                <w:sz w:val="26"/>
                                <w:szCs w:val="26"/>
                                <w:lang w:val="nb-NO"/>
                              </w:rPr>
                            </w:r>
                          </w:p>
                          <w:p>
                            <w:pPr>
                              <w:pBdr/>
                              <w:spacing/>
                              <w:ind/>
                              <w:jc w:val="center"/>
                              <w:rPr>
                                <w:sz w:val="26"/>
                                <w:szCs w:val="26"/>
                              </w:rPr>
                            </w:pPr>
                            <w:r>
                              <w:rPr>
                                <w:sz w:val="26"/>
                                <w:szCs w:val="26"/>
                              </w:rPr>
                            </w:r>
                            <w:r>
                              <w:rPr>
                                <w:sz w:val="26"/>
                                <w:szCs w:val="26"/>
                              </w:rPr>
                            </w:r>
                            <w:r>
                              <w:rPr>
                                <w:sz w:val="26"/>
                                <w:szCs w:val="26"/>
                              </w:rPr>
                            </w:r>
                          </w:p>
                          <w:p>
                            <w:pPr>
                              <w:pBdr/>
                              <w:spacing/>
                              <w:ind/>
                              <w:jc w:val="center"/>
                              <w:rPr>
                                <w:sz w:val="26"/>
                                <w:szCs w:val="26"/>
                              </w:rPr>
                            </w:pPr>
                            <w:r>
                              <w:rPr>
                                <w:sz w:val="26"/>
                                <w:szCs w:val="26"/>
                              </w:rPr>
                            </w:r>
                            <w:r>
                              <w:rPr>
                                <w:sz w:val="26"/>
                                <w:szCs w:val="26"/>
                              </w:rPr>
                            </w:r>
                            <w:r>
                              <w:rPr>
                                <w:sz w:val="26"/>
                                <w:szCs w:val="26"/>
                              </w:rPr>
                            </w:r>
                          </w:p>
                          <w:p>
                            <w:pPr>
                              <w:pBdr/>
                              <w:spacing/>
                              <w:ind/>
                              <w:jc w:val="center"/>
                              <w:rPr>
                                <w:sz w:val="26"/>
                                <w:szCs w:val="26"/>
                              </w:rPr>
                            </w:pPr>
                            <w:r>
                              <w:rPr>
                                <w:sz w:val="26"/>
                                <w:szCs w:val="26"/>
                              </w:rPr>
                            </w:r>
                            <w:r>
                              <w:rPr>
                                <w:sz w:val="26"/>
                                <w:szCs w:val="26"/>
                              </w:rPr>
                            </w:r>
                            <w:r>
                              <w:rPr>
                                <w:sz w:val="26"/>
                                <w:szCs w:val="26"/>
                              </w:rPr>
                            </w:r>
                          </w:p>
                          <w:p>
                            <w:pPr>
                              <w:pBdr/>
                              <w:spacing/>
                              <w:ind/>
                              <w:jc w:val="center"/>
                              <w:rPr>
                                <w:sz w:val="26"/>
                                <w:szCs w:val="26"/>
                              </w:rPr>
                            </w:pPr>
                            <w:r>
                              <w:rPr>
                                <w:sz w:val="26"/>
                                <w:szCs w:val="26"/>
                              </w:rPr>
                            </w:r>
                            <w:r>
                              <w:rPr>
                                <w:sz w:val="26"/>
                                <w:szCs w:val="26"/>
                              </w:rPr>
                            </w:r>
                            <w:r>
                              <w:rPr>
                                <w:sz w:val="26"/>
                                <w:szCs w:val="26"/>
                              </w:rPr>
                            </w:r>
                          </w:p>
                          <w:p>
                            <w:pPr>
                              <w:pBdr/>
                              <w:spacing/>
                              <w:ind/>
                              <w:jc w:val="center"/>
                              <w:rPr>
                                <w:rFonts w:ascii="Times New Roman" w:hAnsi="Times New Roman" w:cs="Times New Roman"/>
                              </w:rPr>
                            </w:pPr>
                            <w:r>
                              <w:rPr>
                                <w:rFonts w:ascii="Times New Roman" w:hAnsi="Times New Roman" w:eastAsia="Times New Roman" w:cs="Times New Roman"/>
                                <w:b/>
                                <w:sz w:val="32"/>
                                <w:szCs w:val="32"/>
                              </w:rPr>
                              <w:t xml:space="preserve">TIỂU LUẬN TRIẾT HỌC SAU ĐẠI HỌC</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sz w:val="26"/>
                                <w:szCs w:val="26"/>
                              </w:rPr>
                            </w:pPr>
                            <w:r>
                              <w:rPr>
                                <w:rFonts w:ascii="Times New Roman" w:hAnsi="Times New Roman" w:cs="Times New Roman"/>
                                <w:b/>
                                <w:sz w:val="26"/>
                                <w:szCs w:val="26"/>
                              </w:rPr>
                            </w:r>
                            <w:r>
                              <w:rPr>
                                <w:rFonts w:ascii="Times New Roman" w:hAnsi="Times New Roman" w:cs="Times New Roman"/>
                                <w:b/>
                                <w:sz w:val="26"/>
                                <w:szCs w:val="26"/>
                              </w:rPr>
                            </w:r>
                            <w:r>
                              <w:rPr>
                                <w:rFonts w:ascii="Times New Roman" w:hAnsi="Times New Roman" w:cs="Times New Roman"/>
                                <w:b/>
                                <w:sz w:val="26"/>
                                <w:szCs w:val="26"/>
                              </w:rPr>
                            </w:r>
                          </w:p>
                          <w:p>
                            <w:pPr>
                              <w:pBdr/>
                              <w:spacing/>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p>
                            <w:pPr>
                              <w:pBdr/>
                              <w:spacing/>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p>
                            <w:pPr>
                              <w:pBdr/>
                              <w:spacing w:line="360" w:lineRule="auto"/>
                              <w:ind/>
                              <w:jc w:val="center"/>
                              <w:rPr>
                                <w:rFonts w:ascii="Times New Roman" w:hAnsi="Times New Roman" w:eastAsia="Times New Roman" w:cs="Times New Roman"/>
                                <w:b/>
                                <w:bCs/>
                                <w:color w:val="000000"/>
                                <w:sz w:val="30"/>
                                <w:szCs w:val="30"/>
                              </w:rPr>
                            </w:pPr>
                            <w:r>
                              <w:rPr>
                                <w:rFonts w:ascii="Times New Roman" w:hAnsi="Times New Roman" w:eastAsia="Times New Roman" w:cs="Times New Roman"/>
                                <w:b/>
                                <w:color w:val="000000"/>
                                <w:sz w:val="30"/>
                                <w:szCs w:val="30"/>
                              </w:rPr>
                              <w:t xml:space="preserve">VẬN DỤNG QUAN ĐIỂM “NHÂN – QUẢ” CỦA PHẬT GIÁO</w:t>
                            </w:r>
                            <w:r>
                              <w:rPr>
                                <w:rFonts w:ascii="Times New Roman" w:hAnsi="Times New Roman" w:eastAsia="Times New Roman" w:cs="Times New Roman"/>
                                <w:b/>
                                <w:bCs/>
                                <w:color w:val="000000"/>
                                <w:sz w:val="30"/>
                                <w:szCs w:val="30"/>
                              </w:rPr>
                            </w:r>
                            <w:r>
                              <w:rPr>
                                <w:rFonts w:ascii="Times New Roman" w:hAnsi="Times New Roman" w:eastAsia="Times New Roman" w:cs="Times New Roman"/>
                                <w:b/>
                                <w:bCs/>
                                <w:color w:val="000000"/>
                                <w:sz w:val="30"/>
                                <w:szCs w:val="30"/>
                              </w:rPr>
                            </w:r>
                          </w:p>
                          <w:p>
                            <w:pPr>
                              <w:pBdr/>
                              <w:spacing w:line="360" w:lineRule="auto"/>
                              <w:ind/>
                              <w:jc w:val="center"/>
                              <w:rPr>
                                <w:rFonts w:ascii="Times New Roman" w:hAnsi="Times New Roman" w:eastAsia="Times New Roman" w:cs="Times New Roman"/>
                                <w:b/>
                                <w:bCs/>
                                <w:color w:val="000000"/>
                                <w:sz w:val="30"/>
                                <w:szCs w:val="30"/>
                              </w:rPr>
                            </w:pPr>
                            <w:r>
                              <w:rPr>
                                <w:rFonts w:ascii="Times New Roman" w:hAnsi="Times New Roman" w:eastAsia="Times New Roman" w:cs="Times New Roman"/>
                                <w:b/>
                                <w:color w:val="000000"/>
                                <w:sz w:val="30"/>
                                <w:szCs w:val="30"/>
                              </w:rPr>
                              <w:t xml:space="preserve">ĐỂ GIẢI QUYẾT TÌNH TRẠNG RỦI RO AN NINH MẠNG</w:t>
                            </w:r>
                            <w:r>
                              <w:rPr>
                                <w:rFonts w:ascii="Times New Roman" w:hAnsi="Times New Roman" w:eastAsia="Times New Roman" w:cs="Times New Roman"/>
                                <w:b/>
                                <w:bCs/>
                                <w:color w:val="000000"/>
                                <w:sz w:val="30"/>
                                <w:szCs w:val="30"/>
                              </w:rPr>
                            </w:r>
                            <w:r>
                              <w:rPr>
                                <w:rFonts w:ascii="Times New Roman" w:hAnsi="Times New Roman" w:eastAsia="Times New Roman" w:cs="Times New Roman"/>
                                <w:b/>
                                <w:bCs/>
                                <w:color w:val="000000"/>
                                <w:sz w:val="30"/>
                                <w:szCs w:val="30"/>
                              </w:rPr>
                            </w:r>
                          </w:p>
                          <w:p>
                            <w:pPr>
                              <w:pBdr/>
                              <w:spacing w:line="360" w:lineRule="auto"/>
                              <w:ind/>
                              <w:jc w:val="center"/>
                              <w:rPr>
                                <w:rFonts w:ascii="Times New Roman" w:hAnsi="Times New Roman" w:cs="Times New Roman"/>
                              </w:rPr>
                            </w:pPr>
                            <w:r>
                              <w:rPr>
                                <w:rFonts w:ascii="Times New Roman" w:hAnsi="Times New Roman" w:eastAsia="Times New Roman" w:cs="Times New Roman"/>
                                <w:b/>
                                <w:color w:val="000000"/>
                                <w:sz w:val="30"/>
                                <w:szCs w:val="30"/>
                              </w:rPr>
                              <w:t xml:space="preserve">Ở</w:t>
                            </w:r>
                            <w:r>
                              <w:rPr>
                                <w:rFonts w:ascii="Times New Roman" w:hAnsi="Times New Roman" w:eastAsia="Times New Roman" w:cs="Times New Roman"/>
                                <w:b/>
                                <w:color w:val="000000"/>
                                <w:sz w:val="30"/>
                                <w:szCs w:val="30"/>
                              </w:rPr>
                              <w:t xml:space="preserve"> CÔNG TY VNPT-IT </w:t>
                            </w:r>
                            <w:r>
                              <w:rPr>
                                <w:rFonts w:ascii="Times New Roman" w:hAnsi="Times New Roman" w:eastAsia="Times New Roman" w:cs="Times New Roman"/>
                                <w:b/>
                                <w:color w:val="000000"/>
                                <w:sz w:val="30"/>
                                <w:szCs w:val="30"/>
                              </w:rPr>
                              <w:t xml:space="preserve">CHI NHÁNH TỈNH ĐỒNG THÁP</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color w:val="000000"/>
                                <w:sz w:val="26"/>
                                <w:szCs w:val="26"/>
                              </w:rPr>
                            </w:pPr>
                            <w:r>
                              <w:rPr>
                                <w:rFonts w:ascii="Times New Roman" w:hAnsi="Times New Roman" w:cs="Times New Roman"/>
                                <w:b/>
                                <w:color w:val="000000"/>
                                <w:sz w:val="26"/>
                                <w:szCs w:val="26"/>
                              </w:rPr>
                            </w:r>
                            <w:r>
                              <w:rPr>
                                <w:rFonts w:ascii="Times New Roman" w:hAnsi="Times New Roman" w:cs="Times New Roman"/>
                                <w:b/>
                                <w:color w:val="000000"/>
                                <w:sz w:val="26"/>
                                <w:szCs w:val="26"/>
                              </w:rPr>
                            </w:r>
                            <w:r>
                              <w:rPr>
                                <w:rFonts w:ascii="Times New Roman" w:hAnsi="Times New Roman" w:cs="Times New Roman"/>
                                <w:b/>
                                <w:color w:val="000000"/>
                                <w:sz w:val="26"/>
                                <w:szCs w:val="26"/>
                              </w:rPr>
                            </w:r>
                          </w:p>
                          <w:p>
                            <w:pPr>
                              <w:pBdr/>
                              <w:spacing/>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p>
                            <w:pPr>
                              <w:pBdr/>
                              <w:spacing/>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p>
                            <w:pPr>
                              <w:pBdr/>
                              <w:spacing/>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bl>
                            <w:tblPr>
                              <w:tblStyle w:val="1110"/>
                              <w:tblW w:w="0" w:type="auto"/>
                              <w:tblBorders/>
                              <w:tblLayout w:type="fixed"/>
                              <w:tblLook w:val="04A0" w:firstRow="1" w:lastRow="0" w:firstColumn="1" w:lastColumn="0" w:noHBand="0" w:noVBand="1"/>
                            </w:tblPr>
                            <w:tblGrid>
                              <w:gridCol w:w="4643"/>
                              <w:gridCol w:w="1276"/>
                              <w:gridCol w:w="3220"/>
                            </w:tblGrid>
                            <w:tr>
                              <w:trPr/>
                              <w:tc>
                                <w:tcPr>
                                  <w:tcBorders>
                                    <w:top w:val="none" w:color="000000" w:sz="4" w:space="0"/>
                                    <w:left w:val="none" w:color="000000" w:sz="4" w:space="0"/>
                                    <w:bottom w:val="none" w:color="000000" w:sz="4" w:space="0"/>
                                    <w:right w:val="none" w:color="000000" w:sz="4" w:space="0"/>
                                  </w:tcBorders>
                                  <w:tcW w:w="4643" w:type="dxa"/>
                                  <w:textDirection w:val="lrTb"/>
                                  <w:noWrap w:val="false"/>
                                </w:tcPr>
                                <w:p>
                                  <w:pPr>
                                    <w:pBdr/>
                                    <w:spacing/>
                                    <w:ind w:left="180"/>
                                    <w:rPr>
                                      <w:rFonts w:ascii="Times New Roman" w:hAnsi="Times New Roman" w:eastAsia="Times New Roman" w:cs="Times New Roman"/>
                                      <w:sz w:val="26"/>
                                      <w:szCs w:val="26"/>
                                    </w:rPr>
                                  </w:pPr>
                                  <w:r>
                                    <w:rPr>
                                      <w:rFonts w:ascii="Times New Roman" w:hAnsi="Times New Roman" w:eastAsia="Times New Roman" w:cs="Times New Roman"/>
                                      <w:b/>
                                      <w:sz w:val="26"/>
                                      <w:szCs w:val="26"/>
                                      <w:lang w:val="en-GB"/>
                                    </w:rPr>
                                    <w:t xml:space="preserve">Người hướng dẫn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1276"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3220"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none" w:color="000000" w:sz="4" w:space="0"/>
                                    <w:left w:val="none" w:color="000000" w:sz="4" w:space="0"/>
                                    <w:bottom w:val="none" w:color="000000" w:sz="4" w:space="0"/>
                                    <w:right w:val="none" w:color="000000" w:sz="4" w:space="0"/>
                                  </w:tcBorders>
                                  <w:tcW w:w="4643" w:type="dxa"/>
                                  <w:textDirection w:val="lrTb"/>
                                  <w:noWrap w:val="false"/>
                                </w:tcPr>
                                <w:p>
                                  <w:pPr>
                                    <w:pBdr/>
                                    <w:spacing/>
                                    <w:ind w:left="180"/>
                                    <w:rPr>
                                      <w:rFonts w:ascii="Times New Roman" w:hAnsi="Times New Roman" w:eastAsia="Times New Roman" w:cs="Times New Roman"/>
                                      <w:sz w:val="26"/>
                                      <w:szCs w:val="26"/>
                                    </w:rPr>
                                  </w:pPr>
                                  <w:r>
                                    <w:rPr>
                                      <w:rFonts w:ascii="Times New Roman" w:hAnsi="Times New Roman" w:eastAsia="Times New Roman" w:cs="Times New Roman"/>
                                      <w:b/>
                                      <w:sz w:val="26"/>
                                      <w:szCs w:val="26"/>
                                      <w:lang w:val="en-GB"/>
                                    </w:rPr>
                                    <w:t xml:space="preserve">TS. Nguyễn Thị Đan Thụy</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2"/>
                                  <w:tcBorders>
                                    <w:top w:val="none" w:color="000000" w:sz="4" w:space="0"/>
                                    <w:left w:val="none" w:color="000000" w:sz="4" w:space="0"/>
                                    <w:bottom w:val="none" w:color="000000" w:sz="4" w:space="0"/>
                                    <w:right w:val="none" w:color="000000" w:sz="4" w:space="0"/>
                                  </w:tcBorders>
                                  <w:tcW w:w="4495"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b/>
                                      <w:sz w:val="26"/>
                                      <w:szCs w:val="26"/>
                                      <w:lang w:val="en-GB"/>
                                    </w:rPr>
                                    <w:t xml:space="preserve">Người thực hiện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none" w:color="000000" w:sz="4" w:space="0"/>
                                    <w:left w:val="none" w:color="000000" w:sz="4" w:space="0"/>
                                    <w:bottom w:val="none" w:color="000000" w:sz="4" w:space="0"/>
                                    <w:right w:val="none" w:color="000000" w:sz="4" w:space="0"/>
                                  </w:tcBorders>
                                  <w:tcW w:w="4643"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1276"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Họ tên: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3220" w:type="dxa"/>
                                  <w:textDirection w:val="lrTb"/>
                                  <w:noWrap w:val="false"/>
                                </w:tcPr>
                                <w:p>
                                  <w:pPr>
                                    <w:pBdr/>
                                    <w:spacing/>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Huỳnh Phúc Thịnh</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tc>
                                <w:tcPr>
                                  <w:tcBorders>
                                    <w:top w:val="none" w:color="000000" w:sz="4" w:space="0"/>
                                    <w:left w:val="none" w:color="000000" w:sz="4" w:space="0"/>
                                    <w:bottom w:val="none" w:color="000000" w:sz="4" w:space="0"/>
                                    <w:right w:val="none" w:color="000000" w:sz="4" w:space="0"/>
                                  </w:tcBorders>
                                  <w:tcW w:w="4643"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1276"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MSHV:</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3220" w:type="dxa"/>
                                  <w:textDirection w:val="lrTb"/>
                                  <w:noWrap w:val="false"/>
                                </w:tcPr>
                                <w:p>
                                  <w:pPr>
                                    <w:pBdr/>
                                    <w:spacing/>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M2525035</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tc>
                                <w:tcPr>
                                  <w:tcBorders>
                                    <w:top w:val="none" w:color="000000" w:sz="4" w:space="0"/>
                                    <w:left w:val="none" w:color="000000" w:sz="4" w:space="0"/>
                                    <w:bottom w:val="none" w:color="000000" w:sz="4" w:space="0"/>
                                    <w:right w:val="none" w:color="000000" w:sz="4" w:space="0"/>
                                  </w:tcBorders>
                                  <w:tcW w:w="4643"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1276"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Lớp: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3220" w:type="dxa"/>
                                  <w:textDirection w:val="lrTb"/>
                                  <w:noWrap w:val="false"/>
                                </w:tcPr>
                                <w:p>
                                  <w:pPr>
                                    <w:pBdr/>
                                    <w:spacing/>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ML605</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tc>
                                <w:tcPr>
                                  <w:tcBorders>
                                    <w:top w:val="none" w:color="000000" w:sz="4" w:space="0"/>
                                    <w:left w:val="none" w:color="000000" w:sz="4" w:space="0"/>
                                    <w:bottom w:val="none" w:color="000000" w:sz="4" w:space="0"/>
                                    <w:right w:val="none" w:color="000000" w:sz="4" w:space="0"/>
                                  </w:tcBorders>
                                  <w:tcW w:w="4643"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1276"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Nhóm: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3220" w:type="dxa"/>
                                  <w:textDirection w:val="lrTb"/>
                                  <w:noWrap w:val="false"/>
                                </w:tcPr>
                                <w:p>
                                  <w:pPr>
                                    <w:pBdr/>
                                    <w:spacing/>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ML04</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trHeight w:val="4326"/>
                              </w:trPr>
                              <w:tc>
                                <w:tcPr>
                                  <w:gridSpan w:val="3"/>
                                  <w:tcBorders>
                                    <w:top w:val="none" w:color="000000" w:sz="4" w:space="0"/>
                                    <w:left w:val="none" w:color="000000" w:sz="4" w:space="0"/>
                                    <w:bottom w:val="none" w:color="000000" w:sz="4" w:space="0"/>
                                    <w:right w:val="none" w:color="000000" w:sz="4" w:space="0"/>
                                  </w:tcBorders>
                                  <w:tcW w:w="9139"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rHeight w:val="299"/>
                              </w:trPr>
                              <w:tc>
                                <w:tcPr>
                                  <w:gridSpan w:val="3"/>
                                  <w:tcBorders>
                                    <w:top w:val="none" w:color="000000" w:sz="4" w:space="0"/>
                                    <w:left w:val="none" w:color="000000" w:sz="4" w:space="0"/>
                                    <w:bottom w:val="none" w:color="000000" w:sz="4" w:space="0"/>
                                    <w:right w:val="none" w:color="000000" w:sz="4" w:space="0"/>
                                  </w:tcBorders>
                                  <w:tcW w:w="9139" w:type="dxa"/>
                                  <w:vMerge w:val="restart"/>
                                  <w:textDirection w:val="lrTb"/>
                                  <w:noWrap w:val="false"/>
                                </w:tcPr>
                                <w:p>
                                  <w:pPr>
                                    <w:pBdr/>
                                    <w:spacing/>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ĐỒNG THÁP - 2025</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ind/>
                              <w:rPr>
                                <w:b/>
                                <w:sz w:val="26"/>
                                <w:szCs w:val="26"/>
                              </w:rPr>
                            </w:pPr>
                            <w:r>
                              <w:rPr>
                                <w:b/>
                                <w:sz w:val="26"/>
                                <w:szCs w:val="26"/>
                              </w:rPr>
                            </w:r>
                            <w:r>
                              <w:rPr>
                                <w:b/>
                                <w:sz w:val="26"/>
                                <w:szCs w:val="26"/>
                              </w:rPr>
                            </w:r>
                            <w:r>
                              <w:rPr>
                                <w:b/>
                                <w:sz w:val="26"/>
                                <w:szCs w:val="26"/>
                              </w:rPr>
                            </w:r>
                          </w:p>
                        </w:txbxContent>
                      </wps:txbx>
                      <wps:bodyPr lIns="80010" tIns="34290" rIns="80010" bIns="34290" anchor="t">
                        <a:noAutofit/>
                      </wps:bodyPr>
                    </wps:wsp>
                  </a:graphicData>
                </a:graphic>
              </wp:anchor>
            </w:drawing>
          </mc:Choice>
          <mc:Fallback>
            <w:pict>
              <v:shape id="shape 2" o:spid="_x0000_s2" o:spt="202" type="#_x0000_t202" style="position:absolute;z-index:3;o:allowoverlap:true;o:allowincell:true;mso-position-horizontal-relative:text;margin-left:7.65pt;mso-position-horizontal:absolute;mso-position-vertical-relative:text;margin-top:23.55pt;mso-position-vertical:absolute;width:461.70pt;height:672.00pt;mso-wrap-distance-left:9.05pt;mso-wrap-distance-top:0.00pt;mso-wrap-distance-right:9.05pt;mso-wrap-distance-bottom:0.00pt;v-text-anchor:top;visibility:visible;" fillcolor="#FFFFFF" strokecolor="#000000" strokeweight="3.00pt">
                <v:textbox inset="0,0,0,0">
                  <w:txbxContent>
                    <w:p>
                      <w:pPr>
                        <w:pBdr/>
                        <w:spacing/>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ĐẠI HỌC CẦN THƠ</w:t>
                      </w:r>
                      <w:r>
                        <w:rPr>
                          <w:rFonts w:ascii="Times New Roman" w:hAnsi="Times New Roman" w:cs="Times New Roman"/>
                          <w:sz w:val="28"/>
                          <w:szCs w:val="28"/>
                        </w:rPr>
                      </w:r>
                      <w:r>
                        <w:rPr>
                          <w:rFonts w:ascii="Times New Roman" w:hAnsi="Times New Roman" w:cs="Times New Roman"/>
                          <w:sz w:val="28"/>
                          <w:szCs w:val="28"/>
                        </w:rPr>
                      </w:r>
                    </w:p>
                    <w:p>
                      <w:pPr>
                        <w:pBdr/>
                        <w:spacing/>
                        <w:ind/>
                        <w:jc w:val="center"/>
                        <w:rPr>
                          <w:rFonts w:ascii="Times New Roman" w:hAnsi="Times New Roman" w:cs="Times New Roman"/>
                        </w:rPr>
                      </w:pPr>
                      <w:r>
                        <w:rPr>
                          <w:rFonts w:ascii="Times New Roman" w:hAnsi="Times New Roman" w:eastAsia="Times New Roman" w:cs="Times New Roman"/>
                          <w:b/>
                          <w:sz w:val="28"/>
                          <w:szCs w:val="28"/>
                        </w:rPr>
                        <w:t xml:space="preserve">KHOA SAU ĐẠI HỌC</w:t>
                      </w:r>
                      <w:r>
                        <w:rPr>
                          <w:rFonts w:ascii="Times New Roman" w:hAnsi="Times New Roman" w:cs="Times New Roman"/>
                        </w:rPr>
                      </w:r>
                      <w:r>
                        <w:rPr>
                          <w:rFonts w:ascii="Times New Roman" w:hAnsi="Times New Roman" w:cs="Times New Roman"/>
                        </w:rPr>
                      </w:r>
                    </w:p>
                    <w:p>
                      <w:pPr>
                        <w:pBdr/>
                        <w:tabs>
                          <w:tab w:val="left" w:leader="none" w:pos="994"/>
                        </w:tabs>
                        <w:spacing w:line="360" w:lineRule="auto"/>
                        <w:ind/>
                        <w:jc w:val="center"/>
                        <w:rPr/>
                      </w:pPr>
                      <w:r>
                        <w:rPr>
                          <w:lang w:val="nb-NO"/>
                        </w:rPr>
                        <w:t xml:space="preserve">--------</w:t>
                      </w:r>
                      <w:r>
                        <w:rPr>
                          <w:rFonts w:ascii="Wingdings" w:hAnsi="Wingdings" w:eastAsia="Wingdings" w:cs="Wingdings"/>
                          <w:lang w:val="pt-BR"/>
                        </w:rPr>
                        <w:t xml:space="preserve"></w:t>
                      </w:r>
                      <w:r>
                        <w:rPr>
                          <w:rFonts w:ascii="Wingdings" w:hAnsi="Wingdings" w:eastAsia="Wingdings" w:cs="Wingdings"/>
                          <w:lang w:val="pt-BR"/>
                        </w:rPr>
                        <w:t xml:space="preserve"></w:t>
                      </w:r>
                      <w:r>
                        <w:rPr>
                          <w:rFonts w:ascii="Wingdings" w:hAnsi="Wingdings" w:eastAsia="Wingdings" w:cs="Wingdings"/>
                          <w:lang w:val="pt-BR"/>
                        </w:rPr>
                        <w:t xml:space="preserve"></w:t>
                      </w:r>
                      <w:r>
                        <w:rPr>
                          <w:lang w:val="nb-NO"/>
                        </w:rPr>
                        <w:t xml:space="preserve">--------</w:t>
                      </w:r>
                      <w:r/>
                    </w:p>
                    <w:p>
                      <w:pPr>
                        <w:pBdr/>
                        <w:spacing/>
                        <w:ind/>
                        <w:jc w:val="center"/>
                        <w:rPr>
                          <w:sz w:val="26"/>
                          <w:szCs w:val="26"/>
                          <w:lang w:val="nb-NO"/>
                        </w:rPr>
                      </w:pPr>
                      <w:r>
                        <w:rPr>
                          <w:sz w:val="26"/>
                          <w:szCs w:val="26"/>
                          <w:lang w:val="nb-NO"/>
                        </w:rPr>
                      </w:r>
                      <w:r>
                        <w:rPr>
                          <w:sz w:val="26"/>
                          <w:szCs w:val="26"/>
                          <w:lang w:val="nb-NO"/>
                        </w:rPr>
                      </w:r>
                      <w:r>
                        <w:rPr>
                          <w:sz w:val="26"/>
                          <w:szCs w:val="26"/>
                          <w:lang w:val="nb-NO"/>
                        </w:rPr>
                      </w:r>
                    </w:p>
                    <w:p>
                      <w:pPr>
                        <w:pBdr/>
                        <w:spacing/>
                        <w:ind/>
                        <w:jc w:val="center"/>
                        <w:rPr>
                          <w:sz w:val="26"/>
                          <w:szCs w:val="26"/>
                        </w:rPr>
                      </w:pPr>
                      <w:r>
                        <w:rPr>
                          <w:sz w:val="26"/>
                          <w:szCs w:val="26"/>
                        </w:rPr>
                      </w:r>
                      <w:r>
                        <w:rPr>
                          <w:sz w:val="26"/>
                          <w:szCs w:val="26"/>
                        </w:rPr>
                      </w:r>
                      <w:r>
                        <w:rPr>
                          <w:sz w:val="26"/>
                          <w:szCs w:val="26"/>
                        </w:rPr>
                      </w:r>
                    </w:p>
                    <w:p>
                      <w:pPr>
                        <w:pBdr/>
                        <w:spacing/>
                        <w:ind/>
                        <w:jc w:val="center"/>
                        <w:rPr>
                          <w:sz w:val="26"/>
                          <w:szCs w:val="26"/>
                        </w:rPr>
                      </w:pPr>
                      <w:r>
                        <w:rPr>
                          <w:sz w:val="26"/>
                          <w:szCs w:val="26"/>
                        </w:rPr>
                      </w:r>
                      <w:r>
                        <w:rPr>
                          <w:sz w:val="26"/>
                          <w:szCs w:val="26"/>
                        </w:rPr>
                      </w:r>
                      <w:r>
                        <w:rPr>
                          <w:sz w:val="26"/>
                          <w:szCs w:val="26"/>
                        </w:rPr>
                      </w:r>
                    </w:p>
                    <w:p>
                      <w:pPr>
                        <w:pBdr/>
                        <w:spacing/>
                        <w:ind/>
                        <w:jc w:val="center"/>
                        <w:rPr>
                          <w:sz w:val="26"/>
                          <w:szCs w:val="26"/>
                        </w:rPr>
                      </w:pPr>
                      <w:r>
                        <w:rPr>
                          <w:sz w:val="26"/>
                          <w:szCs w:val="26"/>
                        </w:rPr>
                      </w:r>
                      <w:r>
                        <w:rPr>
                          <w:sz w:val="26"/>
                          <w:szCs w:val="26"/>
                        </w:rPr>
                      </w:r>
                      <w:r>
                        <w:rPr>
                          <w:sz w:val="26"/>
                          <w:szCs w:val="26"/>
                        </w:rPr>
                      </w:r>
                    </w:p>
                    <w:p>
                      <w:pPr>
                        <w:pBdr/>
                        <w:spacing/>
                        <w:ind/>
                        <w:jc w:val="center"/>
                        <w:rPr>
                          <w:sz w:val="26"/>
                          <w:szCs w:val="26"/>
                        </w:rPr>
                      </w:pPr>
                      <w:r>
                        <w:rPr>
                          <w:sz w:val="26"/>
                          <w:szCs w:val="26"/>
                        </w:rPr>
                      </w:r>
                      <w:r>
                        <w:rPr>
                          <w:sz w:val="26"/>
                          <w:szCs w:val="26"/>
                        </w:rPr>
                      </w:r>
                      <w:r>
                        <w:rPr>
                          <w:sz w:val="26"/>
                          <w:szCs w:val="26"/>
                        </w:rPr>
                      </w:r>
                    </w:p>
                    <w:p>
                      <w:pPr>
                        <w:pBdr/>
                        <w:spacing/>
                        <w:ind/>
                        <w:jc w:val="center"/>
                        <w:rPr>
                          <w:rFonts w:ascii="Times New Roman" w:hAnsi="Times New Roman" w:cs="Times New Roman"/>
                        </w:rPr>
                      </w:pPr>
                      <w:r>
                        <w:rPr>
                          <w:rFonts w:ascii="Times New Roman" w:hAnsi="Times New Roman" w:eastAsia="Times New Roman" w:cs="Times New Roman"/>
                          <w:b/>
                          <w:sz w:val="32"/>
                          <w:szCs w:val="32"/>
                        </w:rPr>
                        <w:t xml:space="preserve">TIỂU LUẬN TRIẾT HỌC SAU ĐẠI HỌC</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sz w:val="26"/>
                          <w:szCs w:val="26"/>
                        </w:rPr>
                      </w:pPr>
                      <w:r>
                        <w:rPr>
                          <w:rFonts w:ascii="Times New Roman" w:hAnsi="Times New Roman" w:cs="Times New Roman"/>
                          <w:b/>
                          <w:sz w:val="26"/>
                          <w:szCs w:val="26"/>
                        </w:rPr>
                      </w:r>
                      <w:r>
                        <w:rPr>
                          <w:rFonts w:ascii="Times New Roman" w:hAnsi="Times New Roman" w:cs="Times New Roman"/>
                          <w:b/>
                          <w:sz w:val="26"/>
                          <w:szCs w:val="26"/>
                        </w:rPr>
                      </w:r>
                      <w:r>
                        <w:rPr>
                          <w:rFonts w:ascii="Times New Roman" w:hAnsi="Times New Roman" w:cs="Times New Roman"/>
                          <w:b/>
                          <w:sz w:val="26"/>
                          <w:szCs w:val="26"/>
                        </w:rPr>
                      </w:r>
                    </w:p>
                    <w:p>
                      <w:pPr>
                        <w:pBdr/>
                        <w:spacing/>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p>
                      <w:pPr>
                        <w:pBdr/>
                        <w:spacing/>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p>
                      <w:pPr>
                        <w:pBdr/>
                        <w:spacing w:line="360" w:lineRule="auto"/>
                        <w:ind/>
                        <w:jc w:val="center"/>
                        <w:rPr>
                          <w:rFonts w:ascii="Times New Roman" w:hAnsi="Times New Roman" w:eastAsia="Times New Roman" w:cs="Times New Roman"/>
                          <w:b/>
                          <w:bCs/>
                          <w:color w:val="000000"/>
                          <w:sz w:val="30"/>
                          <w:szCs w:val="30"/>
                        </w:rPr>
                      </w:pPr>
                      <w:r>
                        <w:rPr>
                          <w:rFonts w:ascii="Times New Roman" w:hAnsi="Times New Roman" w:eastAsia="Times New Roman" w:cs="Times New Roman"/>
                          <w:b/>
                          <w:color w:val="000000"/>
                          <w:sz w:val="30"/>
                          <w:szCs w:val="30"/>
                        </w:rPr>
                        <w:t xml:space="preserve">VẬN DỤNG QUAN ĐIỂM “NHÂN – QUẢ” CỦA PHẬT GIÁO</w:t>
                      </w:r>
                      <w:r>
                        <w:rPr>
                          <w:rFonts w:ascii="Times New Roman" w:hAnsi="Times New Roman" w:eastAsia="Times New Roman" w:cs="Times New Roman"/>
                          <w:b/>
                          <w:bCs/>
                          <w:color w:val="000000"/>
                          <w:sz w:val="30"/>
                          <w:szCs w:val="30"/>
                        </w:rPr>
                      </w:r>
                      <w:r>
                        <w:rPr>
                          <w:rFonts w:ascii="Times New Roman" w:hAnsi="Times New Roman" w:eastAsia="Times New Roman" w:cs="Times New Roman"/>
                          <w:b/>
                          <w:bCs/>
                          <w:color w:val="000000"/>
                          <w:sz w:val="30"/>
                          <w:szCs w:val="30"/>
                        </w:rPr>
                      </w:r>
                    </w:p>
                    <w:p>
                      <w:pPr>
                        <w:pBdr/>
                        <w:spacing w:line="360" w:lineRule="auto"/>
                        <w:ind/>
                        <w:jc w:val="center"/>
                        <w:rPr>
                          <w:rFonts w:ascii="Times New Roman" w:hAnsi="Times New Roman" w:eastAsia="Times New Roman" w:cs="Times New Roman"/>
                          <w:b/>
                          <w:bCs/>
                          <w:color w:val="000000"/>
                          <w:sz w:val="30"/>
                          <w:szCs w:val="30"/>
                        </w:rPr>
                      </w:pPr>
                      <w:r>
                        <w:rPr>
                          <w:rFonts w:ascii="Times New Roman" w:hAnsi="Times New Roman" w:eastAsia="Times New Roman" w:cs="Times New Roman"/>
                          <w:b/>
                          <w:color w:val="000000"/>
                          <w:sz w:val="30"/>
                          <w:szCs w:val="30"/>
                        </w:rPr>
                        <w:t xml:space="preserve">ĐỂ GIẢI QUYẾT TÌNH TRẠNG RỦI RO AN NINH MẠNG</w:t>
                      </w:r>
                      <w:r>
                        <w:rPr>
                          <w:rFonts w:ascii="Times New Roman" w:hAnsi="Times New Roman" w:eastAsia="Times New Roman" w:cs="Times New Roman"/>
                          <w:b/>
                          <w:bCs/>
                          <w:color w:val="000000"/>
                          <w:sz w:val="30"/>
                          <w:szCs w:val="30"/>
                        </w:rPr>
                      </w:r>
                      <w:r>
                        <w:rPr>
                          <w:rFonts w:ascii="Times New Roman" w:hAnsi="Times New Roman" w:eastAsia="Times New Roman" w:cs="Times New Roman"/>
                          <w:b/>
                          <w:bCs/>
                          <w:color w:val="000000"/>
                          <w:sz w:val="30"/>
                          <w:szCs w:val="30"/>
                        </w:rPr>
                      </w:r>
                    </w:p>
                    <w:p>
                      <w:pPr>
                        <w:pBdr/>
                        <w:spacing w:line="360" w:lineRule="auto"/>
                        <w:ind/>
                        <w:jc w:val="center"/>
                        <w:rPr>
                          <w:rFonts w:ascii="Times New Roman" w:hAnsi="Times New Roman" w:cs="Times New Roman"/>
                        </w:rPr>
                      </w:pPr>
                      <w:r>
                        <w:rPr>
                          <w:rFonts w:ascii="Times New Roman" w:hAnsi="Times New Roman" w:eastAsia="Times New Roman" w:cs="Times New Roman"/>
                          <w:b/>
                          <w:color w:val="000000"/>
                          <w:sz w:val="30"/>
                          <w:szCs w:val="30"/>
                        </w:rPr>
                        <w:t xml:space="preserve">Ở</w:t>
                      </w:r>
                      <w:r>
                        <w:rPr>
                          <w:rFonts w:ascii="Times New Roman" w:hAnsi="Times New Roman" w:eastAsia="Times New Roman" w:cs="Times New Roman"/>
                          <w:b/>
                          <w:color w:val="000000"/>
                          <w:sz w:val="30"/>
                          <w:szCs w:val="30"/>
                        </w:rPr>
                        <w:t xml:space="preserve"> CÔNG TY VNPT-IT </w:t>
                      </w:r>
                      <w:r>
                        <w:rPr>
                          <w:rFonts w:ascii="Times New Roman" w:hAnsi="Times New Roman" w:eastAsia="Times New Roman" w:cs="Times New Roman"/>
                          <w:b/>
                          <w:color w:val="000000"/>
                          <w:sz w:val="30"/>
                          <w:szCs w:val="30"/>
                        </w:rPr>
                        <w:t xml:space="preserve">CHI NHÁNH TỈNH ĐỒNG THÁP</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b/>
                          <w:color w:val="000000"/>
                          <w:sz w:val="26"/>
                          <w:szCs w:val="26"/>
                        </w:rPr>
                      </w:pPr>
                      <w:r>
                        <w:rPr>
                          <w:rFonts w:ascii="Times New Roman" w:hAnsi="Times New Roman" w:cs="Times New Roman"/>
                          <w:b/>
                          <w:color w:val="000000"/>
                          <w:sz w:val="26"/>
                          <w:szCs w:val="26"/>
                        </w:rPr>
                      </w:r>
                      <w:r>
                        <w:rPr>
                          <w:rFonts w:ascii="Times New Roman" w:hAnsi="Times New Roman" w:cs="Times New Roman"/>
                          <w:b/>
                          <w:color w:val="000000"/>
                          <w:sz w:val="26"/>
                          <w:szCs w:val="26"/>
                        </w:rPr>
                      </w:r>
                      <w:r>
                        <w:rPr>
                          <w:rFonts w:ascii="Times New Roman" w:hAnsi="Times New Roman" w:cs="Times New Roman"/>
                          <w:b/>
                          <w:color w:val="000000"/>
                          <w:sz w:val="26"/>
                          <w:szCs w:val="26"/>
                        </w:rPr>
                      </w:r>
                    </w:p>
                    <w:p>
                      <w:pPr>
                        <w:pBdr/>
                        <w:spacing/>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p>
                      <w:pPr>
                        <w:pBdr/>
                        <w:spacing/>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p>
                      <w:pPr>
                        <w:pBdr/>
                        <w:spacing/>
                        <w:ind/>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bl>
                      <w:tblPr>
                        <w:tblStyle w:val="1110"/>
                        <w:tblW w:w="0" w:type="auto"/>
                        <w:tblBorders/>
                        <w:tblLayout w:type="fixed"/>
                        <w:tblLook w:val="04A0" w:firstRow="1" w:lastRow="0" w:firstColumn="1" w:lastColumn="0" w:noHBand="0" w:noVBand="1"/>
                      </w:tblPr>
                      <w:tblGrid>
                        <w:gridCol w:w="4643"/>
                        <w:gridCol w:w="1276"/>
                        <w:gridCol w:w="3220"/>
                      </w:tblGrid>
                      <w:tr>
                        <w:trPr/>
                        <w:tc>
                          <w:tcPr>
                            <w:tcBorders>
                              <w:top w:val="none" w:color="000000" w:sz="4" w:space="0"/>
                              <w:left w:val="none" w:color="000000" w:sz="4" w:space="0"/>
                              <w:bottom w:val="none" w:color="000000" w:sz="4" w:space="0"/>
                              <w:right w:val="none" w:color="000000" w:sz="4" w:space="0"/>
                            </w:tcBorders>
                            <w:tcW w:w="4643" w:type="dxa"/>
                            <w:textDirection w:val="lrTb"/>
                            <w:noWrap w:val="false"/>
                          </w:tcPr>
                          <w:p>
                            <w:pPr>
                              <w:pBdr/>
                              <w:spacing/>
                              <w:ind w:left="180"/>
                              <w:rPr>
                                <w:rFonts w:ascii="Times New Roman" w:hAnsi="Times New Roman" w:eastAsia="Times New Roman" w:cs="Times New Roman"/>
                                <w:sz w:val="26"/>
                                <w:szCs w:val="26"/>
                              </w:rPr>
                            </w:pPr>
                            <w:r>
                              <w:rPr>
                                <w:rFonts w:ascii="Times New Roman" w:hAnsi="Times New Roman" w:eastAsia="Times New Roman" w:cs="Times New Roman"/>
                                <w:b/>
                                <w:sz w:val="26"/>
                                <w:szCs w:val="26"/>
                                <w:lang w:val="en-GB"/>
                              </w:rPr>
                              <w:t xml:space="preserve">Người hướng dẫn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1276"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3220"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none" w:color="000000" w:sz="4" w:space="0"/>
                              <w:left w:val="none" w:color="000000" w:sz="4" w:space="0"/>
                              <w:bottom w:val="none" w:color="000000" w:sz="4" w:space="0"/>
                              <w:right w:val="none" w:color="000000" w:sz="4" w:space="0"/>
                            </w:tcBorders>
                            <w:tcW w:w="4643" w:type="dxa"/>
                            <w:textDirection w:val="lrTb"/>
                            <w:noWrap w:val="false"/>
                          </w:tcPr>
                          <w:p>
                            <w:pPr>
                              <w:pBdr/>
                              <w:spacing/>
                              <w:ind w:left="180"/>
                              <w:rPr>
                                <w:rFonts w:ascii="Times New Roman" w:hAnsi="Times New Roman" w:eastAsia="Times New Roman" w:cs="Times New Roman"/>
                                <w:sz w:val="26"/>
                                <w:szCs w:val="26"/>
                              </w:rPr>
                            </w:pPr>
                            <w:r>
                              <w:rPr>
                                <w:rFonts w:ascii="Times New Roman" w:hAnsi="Times New Roman" w:eastAsia="Times New Roman" w:cs="Times New Roman"/>
                                <w:b/>
                                <w:sz w:val="26"/>
                                <w:szCs w:val="26"/>
                                <w:lang w:val="en-GB"/>
                              </w:rPr>
                              <w:t xml:space="preserve">TS. Nguyễn Thị Đan Thụy</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2"/>
                            <w:tcBorders>
                              <w:top w:val="none" w:color="000000" w:sz="4" w:space="0"/>
                              <w:left w:val="none" w:color="000000" w:sz="4" w:space="0"/>
                              <w:bottom w:val="none" w:color="000000" w:sz="4" w:space="0"/>
                              <w:right w:val="none" w:color="000000" w:sz="4" w:space="0"/>
                            </w:tcBorders>
                            <w:tcW w:w="4495"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b/>
                                <w:sz w:val="26"/>
                                <w:szCs w:val="26"/>
                                <w:lang w:val="en-GB"/>
                              </w:rPr>
                              <w:t xml:space="preserve">Người thực hiện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tcBorders>
                              <w:top w:val="none" w:color="000000" w:sz="4" w:space="0"/>
                              <w:left w:val="none" w:color="000000" w:sz="4" w:space="0"/>
                              <w:bottom w:val="none" w:color="000000" w:sz="4" w:space="0"/>
                              <w:right w:val="none" w:color="000000" w:sz="4" w:space="0"/>
                            </w:tcBorders>
                            <w:tcW w:w="4643"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1276"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Họ tên: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3220" w:type="dxa"/>
                            <w:textDirection w:val="lrTb"/>
                            <w:noWrap w:val="false"/>
                          </w:tcPr>
                          <w:p>
                            <w:pPr>
                              <w:pBdr/>
                              <w:spacing/>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Huỳnh Phúc Thịnh</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tc>
                          <w:tcPr>
                            <w:tcBorders>
                              <w:top w:val="none" w:color="000000" w:sz="4" w:space="0"/>
                              <w:left w:val="none" w:color="000000" w:sz="4" w:space="0"/>
                              <w:bottom w:val="none" w:color="000000" w:sz="4" w:space="0"/>
                              <w:right w:val="none" w:color="000000" w:sz="4" w:space="0"/>
                            </w:tcBorders>
                            <w:tcW w:w="4643"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1276"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MSHV:</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3220" w:type="dxa"/>
                            <w:textDirection w:val="lrTb"/>
                            <w:noWrap w:val="false"/>
                          </w:tcPr>
                          <w:p>
                            <w:pPr>
                              <w:pBdr/>
                              <w:spacing/>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M2525035</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tc>
                          <w:tcPr>
                            <w:tcBorders>
                              <w:top w:val="none" w:color="000000" w:sz="4" w:space="0"/>
                              <w:left w:val="none" w:color="000000" w:sz="4" w:space="0"/>
                              <w:bottom w:val="none" w:color="000000" w:sz="4" w:space="0"/>
                              <w:right w:val="none" w:color="000000" w:sz="4" w:space="0"/>
                            </w:tcBorders>
                            <w:tcW w:w="4643"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1276"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Lớp:</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3220" w:type="dxa"/>
                            <w:textDirection w:val="lrTb"/>
                            <w:noWrap w:val="false"/>
                          </w:tcPr>
                          <w:p>
                            <w:pPr>
                              <w:pBdr/>
                              <w:spacing/>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ML605</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tc>
                          <w:tcPr>
                            <w:tcBorders>
                              <w:top w:val="none" w:color="000000" w:sz="4" w:space="0"/>
                              <w:left w:val="none" w:color="000000" w:sz="4" w:space="0"/>
                              <w:bottom w:val="none" w:color="000000" w:sz="4" w:space="0"/>
                              <w:right w:val="none" w:color="000000" w:sz="4" w:space="0"/>
                            </w:tcBorders>
                            <w:tcW w:w="4643"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1276"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Nhóm: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3220" w:type="dxa"/>
                            <w:textDirection w:val="lrTb"/>
                            <w:noWrap w:val="false"/>
                          </w:tcPr>
                          <w:p>
                            <w:pPr>
                              <w:pBdr/>
                              <w:spacing/>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ML04</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trHeight w:val="4326"/>
                        </w:trPr>
                        <w:tc>
                          <w:tcPr>
                            <w:gridSpan w:val="3"/>
                            <w:tcBorders>
                              <w:top w:val="none" w:color="000000" w:sz="4" w:space="0"/>
                              <w:left w:val="none" w:color="000000" w:sz="4" w:space="0"/>
                              <w:bottom w:val="none" w:color="000000" w:sz="4" w:space="0"/>
                              <w:right w:val="none" w:color="000000" w:sz="4" w:space="0"/>
                            </w:tcBorders>
                            <w:tcW w:w="9139" w:type="dxa"/>
                            <w:textDirection w:val="lrTb"/>
                            <w:noWrap w:val="false"/>
                          </w:tcPr>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rHeight w:val="299"/>
                        </w:trPr>
                        <w:tc>
                          <w:tcPr>
                            <w:gridSpan w:val="3"/>
                            <w:tcBorders>
                              <w:top w:val="none" w:color="000000" w:sz="4" w:space="0"/>
                              <w:left w:val="none" w:color="000000" w:sz="4" w:space="0"/>
                              <w:bottom w:val="none" w:color="000000" w:sz="4" w:space="0"/>
                              <w:right w:val="none" w:color="000000" w:sz="4" w:space="0"/>
                            </w:tcBorders>
                            <w:tcW w:w="9139" w:type="dxa"/>
                            <w:vMerge w:val="restart"/>
                            <w:textDirection w:val="lrTb"/>
                            <w:noWrap w:val="false"/>
                          </w:tcPr>
                          <w:p>
                            <w:pPr>
                              <w:pBdr/>
                              <w:spacing/>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ĐỒNG THÁP - 2025</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ind/>
                        <w:rPr>
                          <w:b/>
                          <w:sz w:val="26"/>
                          <w:szCs w:val="26"/>
                        </w:rPr>
                      </w:pPr>
                      <w:r>
                        <w:rPr>
                          <w:b/>
                          <w:sz w:val="26"/>
                          <w:szCs w:val="26"/>
                        </w:rPr>
                      </w:r>
                      <w:r>
                        <w:rPr>
                          <w:b/>
                          <w:sz w:val="26"/>
                          <w:szCs w:val="26"/>
                        </w:rPr>
                      </w:r>
                      <w:r>
                        <w:rPr>
                          <w:b/>
                          <w:sz w:val="26"/>
                          <w:szCs w:val="26"/>
                        </w:rPr>
                      </w:r>
                    </w:p>
                  </w:txbxContent>
                </v:textbox>
              </v:shape>
            </w:pict>
          </mc:Fallback>
        </mc:AlternateContent>
      </w:r>
      <w:r>
        <w:rPr>
          <w:sz w:val="28"/>
          <w:szCs w:val="28"/>
          <w:lang w:eastAsia="en-US"/>
        </w:rPr>
      </w:r>
      <w:r>
        <w:rPr>
          <w:sz w:val="28"/>
          <w:szCs w:val="28"/>
          <w:lang w:eastAsia="en-US"/>
        </w:rPr>
      </w:r>
    </w:p>
    <w:p>
      <w:pPr>
        <w:pBdr/>
        <w:spacing/>
        <w:ind/>
        <w:rPr>
          <w:rFonts w:ascii="Times New Roman" w:hAnsi="Times New Roman" w:eastAsia="Times New Roman" w:cs="Times New Roman"/>
          <w:b/>
          <w:bCs/>
          <w:color w:val="1f1f1f"/>
          <w:sz w:val="26"/>
          <w:szCs w:val="26"/>
        </w:rPr>
      </w:pPr>
      <w:r>
        <w:br w:type="page" w:clear="all"/>
      </w:r>
      <w:r>
        <w:rPr>
          <w:rFonts w:ascii="Times New Roman" w:hAnsi="Times New Roman" w:eastAsia="Times New Roman" w:cs="Times New Roman"/>
          <w:b/>
          <w:bCs/>
          <w:color w:val="1f1f1f"/>
          <w:sz w:val="26"/>
          <w:szCs w:val="26"/>
        </w:rPr>
      </w:r>
      <w:r>
        <w:rPr>
          <w:rFonts w:ascii="Times New Roman" w:hAnsi="Times New Roman" w:eastAsia="Times New Roman" w:cs="Times New Roman"/>
          <w:b/>
          <w:bCs/>
          <w:color w:val="1f1f1f"/>
          <w:sz w:val="26"/>
          <w:szCs w:val="26"/>
        </w:rPr>
      </w:r>
    </w:p>
    <w:p>
      <w:pPr>
        <w:pStyle w:val="1038"/>
        <w:numPr>
          <w:ilvl w:val="0"/>
          <w:numId w:val="0"/>
        </w:numPr>
        <w:suppressLineNumbers w:val="false"/>
        <w:pBdr/>
        <w:spacing w:after="119" w:before="120" w:line="360" w:lineRule="auto"/>
        <w:ind w:right="0" w:firstLine="720" w:left="0"/>
        <w:rPr/>
        <w:sectPr>
          <w:headerReference w:type="default" r:id="rId10"/>
          <w:headerReference w:type="even" r:id="rId11"/>
          <w:headerReference w:type="first" r:id="rId12"/>
          <w:footerReference w:type="default" r:id="rId19"/>
          <w:footerReference w:type="even" r:id="rId20"/>
          <w:footerReference w:type="first" r:id="rId21"/>
          <w:footnotePr/>
          <w:endnotePr/>
          <w:type w:val="nextPage"/>
          <w:pgSz w:h="16838" w:orient="portrait" w:w="11906"/>
          <w:pgMar w:top="1138" w:right="1138" w:bottom="1138" w:left="1699" w:header="709" w:footer="709" w:gutter="0"/>
          <w:pgNumType w:fmt="lowerRoman" w:start="0"/>
          <w:cols w:num="1" w:sep="0" w:space="1701" w:equalWidth="1"/>
          <w:titlePg/>
        </w:sectPr>
      </w:pPr>
      <w:r/>
      <w:r/>
    </w:p>
    <w:p w14:paraId="4A2773E8">
      <w:pPr>
        <w:pStyle w:val="1038"/>
        <w:numPr>
          <w:ilvl w:val="0"/>
          <w:numId w:val="0"/>
        </w:numPr>
        <w:suppressLineNumbers w:val="false"/>
        <w:pBdr/>
        <w:spacing/>
        <w:ind/>
        <w:rPr>
          <w:rFonts w:ascii="Times New Roman" w:hAnsi="Times New Roman" w:eastAsia="Times New Roman" w:cs="Times New Roman"/>
          <w:b/>
          <w:bCs/>
          <w:color w:val="1f1f1f"/>
          <w:sz w:val="26"/>
          <w:szCs w:val="26"/>
          <w:highlight w:val="none"/>
          <w14:ligatures w14:val="none"/>
        </w:rPr>
      </w:pPr>
      <w:r/>
      <w:bookmarkStart w:id="9" w:name="_Toc1"/>
      <w:r>
        <w:rPr>
          <w:rFonts w:ascii="Times New Roman" w:hAnsi="Times New Roman" w:eastAsia="Times New Roman" w:cs="Times New Roman"/>
          <w:b/>
          <w:bCs/>
          <w:color w:val="1f1f1f"/>
          <w:sz w:val="26"/>
          <w:szCs w:val="26"/>
          <w:highlight w:val="none"/>
        </w:rPr>
        <w:t xml:space="preserve">MỤC LỤC</w:t>
      </w:r>
      <w:r>
        <w:rPr>
          <w:rFonts w:ascii="Times New Roman" w:hAnsi="Times New Roman" w:eastAsia="Times New Roman" w:cs="Times New Roman"/>
          <w:b/>
          <w:bCs/>
          <w:color w:val="1f1f1f"/>
          <w:sz w:val="26"/>
          <w:szCs w:val="26"/>
          <w:highlight w:val="none"/>
          <w14:ligatures w14:val="none"/>
        </w:rPr>
      </w:r>
      <w:bookmarkEnd w:id="9"/>
      <w:r>
        <w:rPr>
          <w:rFonts w:ascii="Times New Roman" w:hAnsi="Times New Roman" w:eastAsia="Times New Roman" w:cs="Times New Roman"/>
          <w:b/>
          <w:bCs/>
          <w:color w:val="1f1f1f"/>
          <w:sz w:val="26"/>
          <w:szCs w:val="26"/>
          <w:highlight w:val="none"/>
          <w14:ligatures w14:val="none"/>
        </w:rPr>
      </w:r>
      <w:r>
        <w:rPr>
          <w:rFonts w:ascii="Times New Roman" w:hAnsi="Times New Roman" w:eastAsia="Times New Roman" w:cs="Times New Roman"/>
          <w:b/>
          <w:bCs/>
          <w:color w:val="1f1f1f"/>
          <w:sz w:val="26"/>
          <w:szCs w:val="26"/>
          <w:highlight w:val="none"/>
          <w14:ligatures w14:val="none"/>
        </w:rPr>
      </w:r>
    </w:p>
    <w:sdt>
      <w:sdtPr>
        <w15:appearance w15:val="boundingBox"/>
        <w:placeholder>
          <w:docPart w:val="DefaultPlaceholder_TEXT"/>
        </w:placeholder>
        <w:docPartObj>
          <w:docPartGallery w:val="Table of Contents"/>
          <w:docPartUnique w:val="true"/>
        </w:docPartObj>
        <w:rPr/>
      </w:sdtPr>
      <w:sdtContent>
        <w:p w14:paraId="1C7A6042">
          <w:pPr>
            <w:pStyle w:val="1095"/>
            <w:suppressLineNumbers w:val="false"/>
            <w:pBdr/>
            <w:tabs>
              <w:tab w:val="right" w:leader="dot" w:pos="9069"/>
            </w:tabs>
            <w:spacing/>
            <w:ind/>
            <w:rPr>
              <w:rFonts w:ascii="Times New Roman" w:hAnsi="Times New Roman" w:cs="Times New Roman"/>
              <w:sz w:val="26"/>
              <w:szCs w:val="26"/>
              <w:highlight w:val="none"/>
              <w14:ligatures w14:val="none"/>
            </w:rPr>
          </w:pPr>
          <w:r>
            <w:rPr>
              <w:rFonts w:ascii="Times New Roman" w:hAnsi="Times New Roman" w:eastAsia="Times New Roman" w:cs="Times New Roman"/>
              <w:b/>
              <w:bCs/>
              <w:color w:val="1f1f1f"/>
              <w:sz w:val="26"/>
              <w:szCs w:val="26"/>
              <w:highlight w:val="none"/>
            </w:rPr>
          </w:r>
          <w:r>
            <w:rPr>
              <w:rFonts w:ascii="Times New Roman" w:hAnsi="Times New Roman" w:eastAsia="Times New Roman" w:cs="Times New Roman"/>
              <w:sz w:val="26"/>
              <w:szCs w:val="26"/>
            </w:rPr>
            <w:fldChar w:fldCharType="begin"/>
            <w:instrText xml:space="preserve">TOC \o "1-2" \h \t "Heading 1,1,Heading 2,2" </w:instrText>
          </w:r>
          <w:r>
            <w:rPr>
              <w:rFonts w:ascii="Times New Roman" w:hAnsi="Times New Roman" w:eastAsia="Times New Roman" w:cs="Times New Roman"/>
              <w:sz w:val="26"/>
              <w:szCs w:val="26"/>
            </w:rPr>
            <w:fldChar w:fldCharType="separate"/>
          </w:r>
          <w:r>
            <w:rPr>
              <w:rFonts w:ascii="Times New Roman" w:hAnsi="Times New Roman" w:eastAsia="Times New Roman" w:cs="Times New Roman"/>
              <w:b/>
              <w:bCs/>
              <w:color w:val="1f1f1f"/>
              <w:sz w:val="26"/>
              <w:szCs w:val="26"/>
              <w:highlight w:val="none"/>
            </w:rPr>
          </w:r>
          <w:hyperlink w:tooltip="#_Toc1" w:anchor="_Toc1" w:history="1">
            <w:r>
              <w:rPr>
                <w:rStyle w:val="1078"/>
                <w:rFonts w:ascii="Times New Roman" w:hAnsi="Times New Roman" w:eastAsia="Times New Roman" w:cs="Times New Roman"/>
                <w:sz w:val="26"/>
                <w:szCs w:val="26"/>
              </w:rPr>
            </w:r>
            <w:r>
              <w:rPr>
                <w:rStyle w:val="1078"/>
                <w:rFonts w:ascii="Times New Roman" w:hAnsi="Times New Roman" w:eastAsia="Times New Roman" w:cs="Times New Roman"/>
                <w:sz w:val="26"/>
                <w:szCs w:val="26"/>
                <w:highlight w:val="none"/>
              </w:rPr>
              <w:t xml:space="preserve">MỤC LỤC</w:t>
            </w:r>
            <w:r>
              <w:rPr>
                <w:rStyle w:val="1078"/>
                <w:rFonts w:ascii="Times New Roman" w:hAnsi="Times New Roman" w:eastAsia="Times New Roman" w:cs="Times New Roman"/>
                <w:sz w:val="26"/>
                <w:szCs w:val="26"/>
                <w:highlight w:val="none"/>
                <w14:ligatures w14:val="none"/>
              </w:rPr>
            </w:r>
            <w:r>
              <w:rPr>
                <w:rFonts w:ascii="Times New Roman" w:hAnsi="Times New Roman" w:eastAsia="Times New Roman" w:cs="Times New Roman"/>
                <w:sz w:val="26"/>
                <w:szCs w:val="26"/>
              </w:rPr>
              <w:tab/>
            </w:r>
            <w:r>
              <w:rPr>
                <w:rFonts w:ascii="Times New Roman" w:hAnsi="Times New Roman" w:eastAsia="Times New Roman" w:cs="Times New Roman"/>
                <w:sz w:val="26"/>
                <w:szCs w:val="26"/>
              </w:rPr>
              <w:fldChar w:fldCharType="begin"/>
              <w:instrText xml:space="preserve">PAGEREF _Toc1 \h</w:instrText>
              <w:fldChar w:fldCharType="separate"/>
              <w:t xml:space="preserve">1</w:t>
              <w:fldChar w:fldCharType="end"/>
            </w:r>
          </w:hyperlink>
          <w:r>
            <w:rPr>
              <w:rFonts w:ascii="Times New Roman" w:hAnsi="Times New Roman" w:eastAsia="Times New Roman" w:cs="Times New Roman"/>
              <w:sz w:val="26"/>
              <w:szCs w:val="26"/>
              <w:highlight w:val="none"/>
              <w14:ligatures w14:val="none"/>
            </w:rPr>
          </w:r>
          <w:r>
            <w:rPr>
              <w:rFonts w:ascii="Times New Roman" w:hAnsi="Times New Roman" w:cs="Times New Roman"/>
              <w:sz w:val="26"/>
              <w:szCs w:val="26"/>
              <w:highlight w:val="none"/>
              <w14:ligatures w14:val="none"/>
            </w:rPr>
          </w:r>
        </w:p>
        <w:p w14:paraId="412A48C7">
          <w:pPr>
            <w:pStyle w:val="1095"/>
            <w:suppressLineNumbers w:val="false"/>
            <w:pBdr/>
            <w:tabs>
              <w:tab w:val="right" w:leader="dot" w:pos="9069"/>
            </w:tabs>
            <w:spacing/>
            <w:ind/>
            <w:rPr>
              <w:rFonts w:ascii="Times New Roman" w:hAnsi="Times New Roman" w:cs="Times New Roman"/>
              <w:sz w:val="26"/>
              <w:szCs w:val="26"/>
            </w:rPr>
          </w:pPr>
          <w:r/>
          <w:hyperlink w:tooltip="#_Toc2" w:anchor="_Toc2" w:history="1">
            <w:r>
              <w:rPr>
                <w:rStyle w:val="1078"/>
                <w:rFonts w:ascii="Times New Roman" w:hAnsi="Times New Roman" w:eastAsia="Times New Roman" w:cs="Times New Roman"/>
                <w:sz w:val="26"/>
                <w:szCs w:val="26"/>
              </w:rPr>
            </w:r>
            <w:r>
              <w:rPr>
                <w:rStyle w:val="1078"/>
                <w:rFonts w:ascii="Times New Roman" w:hAnsi="Times New Roman" w:eastAsia="Times New Roman" w:cs="Times New Roman"/>
                <w:sz w:val="26"/>
                <w:szCs w:val="26"/>
              </w:rPr>
              <w:t xml:space="preserve">MỞ ĐẦU</w:t>
            </w:r>
            <w:r>
              <w:rPr>
                <w:rStyle w:val="1078"/>
                <w:rFonts w:ascii="Times New Roman" w:hAnsi="Times New Roman" w:eastAsia="Times New Roman" w:cs="Times New Roman"/>
                <w:sz w:val="26"/>
                <w:szCs w:val="26"/>
              </w:rPr>
            </w:r>
            <w:r>
              <w:rPr>
                <w:rFonts w:ascii="Times New Roman" w:hAnsi="Times New Roman" w:eastAsia="Times New Roman" w:cs="Times New Roman"/>
                <w:sz w:val="26"/>
                <w:szCs w:val="26"/>
              </w:rPr>
              <w:tab/>
            </w:r>
            <w:r>
              <w:rPr>
                <w:rFonts w:ascii="Times New Roman" w:hAnsi="Times New Roman" w:eastAsia="Times New Roman" w:cs="Times New Roman"/>
                <w:sz w:val="26"/>
                <w:szCs w:val="26"/>
              </w:rPr>
              <w:fldChar w:fldCharType="begin"/>
              <w:instrText xml:space="preserve">PAGEREF _Toc2 \h</w:instrText>
              <w:fldChar w:fldCharType="separate"/>
              <w:t xml:space="preserve">1</w:t>
              <w:fldChar w:fldCharType="end"/>
            </w:r>
          </w:hyperlink>
          <w:r>
            <w:rPr>
              <w:rFonts w:ascii="Times New Roman" w:hAnsi="Times New Roman" w:eastAsia="Times New Roman" w:cs="Times New Roman"/>
              <w:sz w:val="26"/>
              <w:szCs w:val="26"/>
            </w:rPr>
          </w:r>
          <w:r>
            <w:rPr>
              <w:rFonts w:ascii="Times New Roman" w:hAnsi="Times New Roman" w:cs="Times New Roman"/>
              <w:sz w:val="26"/>
              <w:szCs w:val="26"/>
            </w:rPr>
          </w:r>
        </w:p>
        <w:p w14:paraId="175BD694">
          <w:pPr>
            <w:pStyle w:val="1095"/>
            <w:suppressLineNumbers w:val="false"/>
            <w:pBdr/>
            <w:tabs>
              <w:tab w:val="right" w:leader="dot" w:pos="9069"/>
            </w:tabs>
            <w:spacing/>
            <w:ind/>
            <w:rPr>
              <w:rFonts w:ascii="Times New Roman" w:hAnsi="Times New Roman" w:cs="Times New Roman"/>
              <w:sz w:val="26"/>
              <w:szCs w:val="26"/>
              <w:highlight w:val="none"/>
            </w:rPr>
          </w:pPr>
          <w:r/>
          <w:hyperlink w:tooltip="#_Toc3" w:anchor="_Toc3" w:history="1">
            <w:r>
              <w:rPr>
                <w:rFonts w:ascii="Times New Roman" w:hAnsi="Times New Roman" w:eastAsia="Times New Roman" w:cs="Times New Roman"/>
                <w:sz w:val="26"/>
                <w:szCs w:val="26"/>
              </w:rPr>
              <w:t xml:space="preserve">CHƯƠNG I. </w:t>
            </w:r>
            <w:r>
              <w:rPr>
                <w:rStyle w:val="1078"/>
                <w:rFonts w:ascii="Times New Roman" w:hAnsi="Times New Roman" w:eastAsia="Times New Roman" w:cs="Times New Roman"/>
                <w:sz w:val="26"/>
                <w:szCs w:val="26"/>
              </w:rPr>
            </w:r>
            <w:r>
              <w:rPr>
                <w:rStyle w:val="1078"/>
                <w:rFonts w:ascii="Times New Roman" w:hAnsi="Times New Roman" w:eastAsia="Times New Roman" w:cs="Times New Roman"/>
                <w:sz w:val="26"/>
                <w:szCs w:val="26"/>
              </w:rPr>
              <w:t xml:space="preserve">ĐIỀU </w:t>
            </w:r>
            <w:r>
              <w:rPr>
                <w:rStyle w:val="1078"/>
                <w:rFonts w:ascii="Times New Roman" w:hAnsi="Times New Roman" w:eastAsia="Times New Roman" w:cs="Times New Roman"/>
                <w:sz w:val="26"/>
                <w:szCs w:val="26"/>
              </w:rPr>
              <w:t xml:space="preserve">KIỆN, TIỀN ĐỀ VÀ NỘI DUNG CƠ BẢN </w:t>
            </w:r>
            <w:r>
              <w:rPr>
                <w:rStyle w:val="1078"/>
                <w:rFonts w:ascii="Times New Roman" w:hAnsi="Times New Roman" w:eastAsia="Times New Roman" w:cs="Times New Roman"/>
                <w:sz w:val="26"/>
                <w:szCs w:val="26"/>
              </w:rPr>
              <w:t xml:space="preserve">TRONG</w:t>
            </w:r>
            <w:r>
              <w:rPr>
                <w:rStyle w:val="1078"/>
                <w:rFonts w:ascii="Times New Roman" w:hAnsi="Times New Roman" w:eastAsia="Times New Roman" w:cs="Times New Roman"/>
                <w:sz w:val="26"/>
                <w:szCs w:val="26"/>
              </w:rPr>
              <w:t xml:space="preserve"> </w:t>
            </w:r>
            <w:r>
              <w:rPr>
                <w:rStyle w:val="1078"/>
                <w:rFonts w:ascii="Times New Roman" w:hAnsi="Times New Roman" w:eastAsia="Times New Roman" w:cs="Times New Roman"/>
                <w:sz w:val="26"/>
                <w:szCs w:val="26"/>
              </w:rPr>
              <w:t xml:space="preserve">QUAN ĐIỂM NHÂN – QUẢ </w:t>
            </w:r>
            <w:r>
              <w:rPr>
                <w:rStyle w:val="1078"/>
                <w:rFonts w:ascii="Times New Roman" w:hAnsi="Times New Roman" w:eastAsia="Times New Roman" w:cs="Times New Roman"/>
                <w:sz w:val="26"/>
                <w:szCs w:val="26"/>
              </w:rPr>
              <w:t xml:space="preserve">CỦA</w:t>
            </w:r>
            <w:r>
              <w:rPr>
                <w:rStyle w:val="1078"/>
                <w:rFonts w:ascii="Times New Roman" w:hAnsi="Times New Roman" w:eastAsia="Times New Roman" w:cs="Times New Roman"/>
                <w:sz w:val="26"/>
                <w:szCs w:val="26"/>
              </w:rPr>
              <w:t xml:space="preserve"> PHẬT GIÁO</w:t>
            </w:r>
            <w:r>
              <w:rPr>
                <w:rStyle w:val="1078"/>
                <w:rFonts w:ascii="Times New Roman" w:hAnsi="Times New Roman" w:eastAsia="Times New Roman" w:cs="Times New Roman"/>
                <w:sz w:val="26"/>
                <w:szCs w:val="26"/>
              </w:rPr>
              <w:t xml:space="preserve"> </w:t>
            </w:r>
            <w:r>
              <w:rPr>
                <w:rStyle w:val="1078"/>
                <w:rFonts w:ascii="Times New Roman" w:hAnsi="Times New Roman" w:eastAsia="Times New Roman" w:cs="Times New Roman"/>
                <w:sz w:val="26"/>
                <w:szCs w:val="26"/>
                <w:highlight w:val="none"/>
              </w:rPr>
            </w:r>
            <w:r>
              <w:rPr>
                <w:rFonts w:ascii="Times New Roman" w:hAnsi="Times New Roman" w:eastAsia="Times New Roman" w:cs="Times New Roman"/>
                <w:sz w:val="26"/>
                <w:szCs w:val="26"/>
              </w:rPr>
              <w:tab/>
            </w:r>
            <w:r>
              <w:rPr>
                <w:rFonts w:ascii="Times New Roman" w:hAnsi="Times New Roman" w:eastAsia="Times New Roman" w:cs="Times New Roman"/>
                <w:sz w:val="26"/>
                <w:szCs w:val="26"/>
              </w:rPr>
              <w:fldChar w:fldCharType="begin"/>
              <w:instrText xml:space="preserve">PAGEREF _Toc3 \h</w:instrText>
              <w:fldChar w:fldCharType="separate"/>
              <w:t xml:space="preserve">3</w:t>
              <w:fldChar w:fldCharType="end"/>
            </w:r>
          </w:hyperlink>
          <w:r>
            <w:rPr>
              <w:rFonts w:ascii="Times New Roman" w:hAnsi="Times New Roman" w:eastAsia="Times New Roman" w:cs="Times New Roman"/>
              <w:sz w:val="26"/>
              <w:szCs w:val="26"/>
              <w:highlight w:val="none"/>
            </w:rPr>
          </w:r>
          <w:r>
            <w:rPr>
              <w:rFonts w:ascii="Times New Roman" w:hAnsi="Times New Roman" w:cs="Times New Roman"/>
              <w:sz w:val="26"/>
              <w:szCs w:val="26"/>
              <w:highlight w:val="none"/>
            </w:rPr>
          </w:r>
        </w:p>
        <w:p w14:paraId="40EF532D">
          <w:pPr>
            <w:pStyle w:val="1096"/>
            <w:suppressLineNumbers w:val="false"/>
            <w:pBdr/>
            <w:tabs>
              <w:tab w:val="right" w:leader="dot" w:pos="9069"/>
            </w:tabs>
            <w:spacing/>
            <w:ind/>
            <w:rPr>
              <w:rFonts w:ascii="Times New Roman" w:hAnsi="Times New Roman" w:cs="Times New Roman"/>
              <w:sz w:val="26"/>
              <w:szCs w:val="26"/>
            </w:rPr>
          </w:pPr>
          <w:r/>
          <w:hyperlink w:tooltip="#_Toc4" w:anchor="_Toc4" w:history="1">
            <w:r>
              <w:rPr>
                <w:rFonts w:ascii="Times New Roman" w:hAnsi="Times New Roman" w:eastAsia="Times New Roman" w:cs="Times New Roman"/>
                <w:sz w:val="26"/>
                <w:szCs w:val="26"/>
              </w:rPr>
              <w:t xml:space="preserve">I.1.</w:t>
            </w:r>
            <w:r>
              <w:rPr>
                <w:rFonts w:ascii="Times New Roman" w:hAnsi="Times New Roman" w:eastAsia="Times New Roman" w:cs="Times New Roman"/>
                <w:sz w:val="26"/>
                <w:szCs w:val="26"/>
              </w:rPr>
              <w:t xml:space="preserve"> </w:t>
            </w:r>
            <w:r>
              <w:rPr>
                <w:rStyle w:val="1078"/>
                <w:rFonts w:ascii="Times New Roman" w:hAnsi="Times New Roman" w:eastAsia="Times New Roman" w:cs="Times New Roman"/>
                <w:sz w:val="26"/>
                <w:szCs w:val="26"/>
              </w:rPr>
            </w:r>
            <w:r>
              <w:rPr>
                <w:rStyle w:val="1078"/>
                <w:rFonts w:ascii="Times New Roman" w:hAnsi="Times New Roman" w:eastAsia="Times New Roman" w:cs="Times New Roman"/>
                <w:sz w:val="26"/>
                <w:szCs w:val="26"/>
              </w:rPr>
              <w:t xml:space="preserve">Điều kiện, tiền đề hình thành </w:t>
            </w:r>
            <w:r>
              <w:rPr>
                <w:rStyle w:val="1078"/>
                <w:rFonts w:ascii="Times New Roman" w:hAnsi="Times New Roman" w:eastAsia="Times New Roman" w:cs="Times New Roman"/>
                <w:sz w:val="26"/>
                <w:szCs w:val="26"/>
              </w:rPr>
              <w:t xml:space="preserve">quan điểm Nhân – Quả </w:t>
            </w:r>
            <w:r>
              <w:rPr>
                <w:rStyle w:val="1078"/>
                <w:rFonts w:ascii="Times New Roman" w:hAnsi="Times New Roman" w:eastAsia="Times New Roman" w:cs="Times New Roman"/>
                <w:sz w:val="26"/>
                <w:szCs w:val="26"/>
              </w:rPr>
              <w:t xml:space="preserve">của</w:t>
            </w:r>
            <w:r>
              <w:rPr>
                <w:rStyle w:val="1078"/>
                <w:rFonts w:ascii="Times New Roman" w:hAnsi="Times New Roman" w:eastAsia="Times New Roman" w:cs="Times New Roman"/>
                <w:sz w:val="26"/>
                <w:szCs w:val="26"/>
              </w:rPr>
              <w:t xml:space="preserve"> Phật giáo</w:t>
            </w:r>
            <w:r>
              <w:rPr>
                <w:rStyle w:val="1078"/>
                <w:rFonts w:ascii="Times New Roman" w:hAnsi="Times New Roman" w:eastAsia="Times New Roman" w:cs="Times New Roman"/>
                <w:sz w:val="26"/>
                <w:szCs w:val="26"/>
              </w:rPr>
              <w:t xml:space="preserve"> </w:t>
            </w:r>
            <w:r>
              <w:rPr>
                <w:rStyle w:val="1078"/>
                <w:rFonts w:ascii="Times New Roman" w:hAnsi="Times New Roman" w:eastAsia="Times New Roman" w:cs="Times New Roman"/>
                <w:sz w:val="26"/>
                <w:szCs w:val="26"/>
              </w:rPr>
            </w:r>
            <w:r>
              <w:rPr>
                <w:rFonts w:ascii="Times New Roman" w:hAnsi="Times New Roman" w:eastAsia="Times New Roman" w:cs="Times New Roman"/>
                <w:sz w:val="26"/>
                <w:szCs w:val="26"/>
              </w:rPr>
              <w:tab/>
            </w:r>
            <w:r>
              <w:rPr>
                <w:rFonts w:ascii="Times New Roman" w:hAnsi="Times New Roman" w:eastAsia="Times New Roman" w:cs="Times New Roman"/>
                <w:sz w:val="26"/>
                <w:szCs w:val="26"/>
              </w:rPr>
              <w:fldChar w:fldCharType="begin"/>
              <w:instrText xml:space="preserve">PAGEREF _Toc4 \h</w:instrText>
              <w:fldChar w:fldCharType="separate"/>
              <w:t xml:space="preserve">3</w:t>
              <w:fldChar w:fldCharType="end"/>
            </w:r>
          </w:hyperlink>
          <w:r>
            <w:rPr>
              <w:rFonts w:ascii="Times New Roman" w:hAnsi="Times New Roman" w:eastAsia="Times New Roman" w:cs="Times New Roman"/>
              <w:sz w:val="26"/>
              <w:szCs w:val="26"/>
            </w:rPr>
          </w:r>
          <w:r>
            <w:rPr>
              <w:rFonts w:ascii="Times New Roman" w:hAnsi="Times New Roman" w:cs="Times New Roman"/>
              <w:sz w:val="26"/>
              <w:szCs w:val="26"/>
            </w:rPr>
          </w:r>
        </w:p>
        <w:p w14:paraId="516CAE0D">
          <w:pPr>
            <w:pStyle w:val="1096"/>
            <w:suppressLineNumbers w:val="false"/>
            <w:pBdr/>
            <w:tabs>
              <w:tab w:val="right" w:leader="dot" w:pos="9069"/>
            </w:tabs>
            <w:spacing/>
            <w:ind/>
            <w:rPr>
              <w:rFonts w:ascii="Times New Roman" w:hAnsi="Times New Roman" w:cs="Times New Roman"/>
              <w:sz w:val="26"/>
              <w:szCs w:val="26"/>
            </w:rPr>
          </w:pPr>
          <w:r/>
          <w:hyperlink w:tooltip="#_Toc5" w:anchor="_Toc5" w:history="1">
            <w:r>
              <w:rPr>
                <w:rFonts w:ascii="Times New Roman" w:hAnsi="Times New Roman" w:eastAsia="Times New Roman" w:cs="Times New Roman"/>
                <w:sz w:val="26"/>
                <w:szCs w:val="26"/>
              </w:rPr>
              <w:t xml:space="preserve">I.2.</w:t>
            </w:r>
            <w:r>
              <w:rPr>
                <w:rFonts w:ascii="Times New Roman" w:hAnsi="Times New Roman" w:eastAsia="Times New Roman" w:cs="Times New Roman"/>
                <w:sz w:val="26"/>
                <w:szCs w:val="26"/>
              </w:rPr>
              <w:t xml:space="preserve"> </w:t>
            </w:r>
            <w:r>
              <w:rPr>
                <w:rStyle w:val="1078"/>
                <w:rFonts w:ascii="Times New Roman" w:hAnsi="Times New Roman" w:eastAsia="Times New Roman" w:cs="Times New Roman"/>
                <w:sz w:val="26"/>
                <w:szCs w:val="26"/>
              </w:rPr>
            </w:r>
            <w:r>
              <w:rPr>
                <w:rStyle w:val="1078"/>
                <w:rFonts w:ascii="Times New Roman" w:hAnsi="Times New Roman" w:eastAsia="Times New Roman" w:cs="Times New Roman"/>
                <w:sz w:val="26"/>
                <w:szCs w:val="26"/>
              </w:rPr>
              <w:t xml:space="preserve">Nội dung cơ bản </w:t>
            </w:r>
            <w:r>
              <w:rPr>
                <w:rStyle w:val="1078"/>
                <w:rFonts w:ascii="Times New Roman" w:hAnsi="Times New Roman" w:eastAsia="Times New Roman" w:cs="Times New Roman"/>
                <w:sz w:val="26"/>
                <w:szCs w:val="26"/>
              </w:rPr>
              <w:t xml:space="preserve">trong </w:t>
            </w:r>
            <w:r>
              <w:rPr>
                <w:rStyle w:val="1078"/>
                <w:rFonts w:ascii="Times New Roman" w:hAnsi="Times New Roman" w:eastAsia="Times New Roman" w:cs="Times New Roman"/>
                <w:sz w:val="26"/>
                <w:szCs w:val="26"/>
              </w:rPr>
              <w:t xml:space="preserve">quan điểm Nhân – Quả </w:t>
            </w:r>
            <w:r>
              <w:rPr>
                <w:rStyle w:val="1078"/>
                <w:rFonts w:ascii="Times New Roman" w:hAnsi="Times New Roman" w:eastAsia="Times New Roman" w:cs="Times New Roman"/>
                <w:sz w:val="26"/>
                <w:szCs w:val="26"/>
              </w:rPr>
              <w:t xml:space="preserve">của</w:t>
            </w:r>
            <w:r>
              <w:rPr>
                <w:rStyle w:val="1078"/>
                <w:rFonts w:ascii="Times New Roman" w:hAnsi="Times New Roman" w:eastAsia="Times New Roman" w:cs="Times New Roman"/>
                <w:sz w:val="26"/>
                <w:szCs w:val="26"/>
              </w:rPr>
              <w:t xml:space="preserve"> Phật giáo</w:t>
            </w:r>
            <w:r>
              <w:rPr>
                <w:rStyle w:val="1078"/>
                <w:rFonts w:ascii="Times New Roman" w:hAnsi="Times New Roman" w:eastAsia="Times New Roman" w:cs="Times New Roman"/>
                <w:sz w:val="26"/>
                <w:szCs w:val="26"/>
              </w:rPr>
            </w:r>
            <w:r>
              <w:rPr>
                <w:rFonts w:ascii="Times New Roman" w:hAnsi="Times New Roman" w:eastAsia="Times New Roman" w:cs="Times New Roman"/>
                <w:sz w:val="26"/>
                <w:szCs w:val="26"/>
              </w:rPr>
              <w:tab/>
            </w:r>
            <w:r>
              <w:rPr>
                <w:rFonts w:ascii="Times New Roman" w:hAnsi="Times New Roman" w:eastAsia="Times New Roman" w:cs="Times New Roman"/>
                <w:sz w:val="26"/>
                <w:szCs w:val="26"/>
              </w:rPr>
              <w:fldChar w:fldCharType="begin"/>
              <w:instrText xml:space="preserve">PAGEREF _Toc5 \h</w:instrText>
              <w:fldChar w:fldCharType="separate"/>
              <w:t xml:space="preserve">8</w:t>
              <w:fldChar w:fldCharType="end"/>
            </w:r>
          </w:hyperlink>
          <w:r>
            <w:rPr>
              <w:rFonts w:ascii="Times New Roman" w:hAnsi="Times New Roman" w:eastAsia="Times New Roman" w:cs="Times New Roman"/>
              <w:sz w:val="26"/>
              <w:szCs w:val="26"/>
            </w:rPr>
          </w:r>
          <w:r>
            <w:rPr>
              <w:rFonts w:ascii="Times New Roman" w:hAnsi="Times New Roman" w:cs="Times New Roman"/>
              <w:sz w:val="26"/>
              <w:szCs w:val="26"/>
            </w:rPr>
          </w:r>
        </w:p>
        <w:p w14:paraId="30CF7B42">
          <w:pPr>
            <w:pStyle w:val="1096"/>
            <w:suppressLineNumbers w:val="false"/>
            <w:pBdr/>
            <w:tabs>
              <w:tab w:val="right" w:leader="dot" w:pos="9069"/>
            </w:tabs>
            <w:spacing/>
            <w:ind/>
            <w:rPr>
              <w:rFonts w:ascii="Times New Roman" w:hAnsi="Times New Roman" w:cs="Times New Roman"/>
              <w:sz w:val="26"/>
              <w:szCs w:val="26"/>
            </w:rPr>
          </w:pPr>
          <w:r/>
          <w:hyperlink w:tooltip="#_Toc6" w:anchor="_Toc6" w:history="1">
            <w:r>
              <w:rPr>
                <w:rFonts w:ascii="Times New Roman" w:hAnsi="Times New Roman" w:eastAsia="Times New Roman" w:cs="Times New Roman"/>
                <w:sz w:val="26"/>
                <w:szCs w:val="26"/>
              </w:rPr>
              <w:t xml:space="preserve">I.3.</w:t>
            </w:r>
            <w:r>
              <w:rPr>
                <w:rFonts w:ascii="Times New Roman" w:hAnsi="Times New Roman" w:eastAsia="Times New Roman" w:cs="Times New Roman"/>
                <w:sz w:val="26"/>
                <w:szCs w:val="26"/>
              </w:rPr>
              <w:t xml:space="preserve"> </w:t>
            </w:r>
            <w:r>
              <w:rPr>
                <w:rStyle w:val="1078"/>
                <w:rFonts w:ascii="Times New Roman" w:hAnsi="Times New Roman" w:eastAsia="Times New Roman" w:cs="Times New Roman"/>
                <w:sz w:val="26"/>
                <w:szCs w:val="26"/>
              </w:rPr>
            </w:r>
            <w:r>
              <w:rPr>
                <w:rStyle w:val="1078"/>
                <w:rFonts w:ascii="Times New Roman" w:hAnsi="Times New Roman" w:eastAsia="Times New Roman" w:cs="Times New Roman"/>
                <w:sz w:val="26"/>
                <w:szCs w:val="26"/>
              </w:rPr>
              <w:t xml:space="preserve">Giá trị và hạn chế </w:t>
            </w:r>
            <w:r>
              <w:rPr>
                <w:rStyle w:val="1078"/>
                <w:rFonts w:ascii="Times New Roman" w:hAnsi="Times New Roman" w:eastAsia="Times New Roman" w:cs="Times New Roman"/>
                <w:sz w:val="26"/>
                <w:szCs w:val="26"/>
              </w:rPr>
              <w:t xml:space="preserve">quan điểm Nhân – Quả </w:t>
            </w:r>
            <w:r>
              <w:rPr>
                <w:rStyle w:val="1078"/>
                <w:rFonts w:ascii="Times New Roman" w:hAnsi="Times New Roman" w:eastAsia="Times New Roman" w:cs="Times New Roman"/>
                <w:sz w:val="26"/>
                <w:szCs w:val="26"/>
              </w:rPr>
              <w:t xml:space="preserve">của</w:t>
            </w:r>
            <w:r>
              <w:rPr>
                <w:rStyle w:val="1078"/>
                <w:rFonts w:ascii="Times New Roman" w:hAnsi="Times New Roman" w:eastAsia="Times New Roman" w:cs="Times New Roman"/>
                <w:sz w:val="26"/>
                <w:szCs w:val="26"/>
              </w:rPr>
              <w:t xml:space="preserve"> Phật giáo</w:t>
            </w:r>
            <w:r>
              <w:rPr>
                <w:rStyle w:val="1078"/>
                <w:rFonts w:ascii="Times New Roman" w:hAnsi="Times New Roman" w:eastAsia="Times New Roman" w:cs="Times New Roman"/>
                <w:sz w:val="26"/>
                <w:szCs w:val="26"/>
              </w:rPr>
            </w:r>
            <w:r>
              <w:rPr>
                <w:rFonts w:ascii="Times New Roman" w:hAnsi="Times New Roman" w:eastAsia="Times New Roman" w:cs="Times New Roman"/>
                <w:sz w:val="26"/>
                <w:szCs w:val="26"/>
              </w:rPr>
              <w:tab/>
            </w:r>
            <w:r>
              <w:rPr>
                <w:rFonts w:ascii="Times New Roman" w:hAnsi="Times New Roman" w:eastAsia="Times New Roman" w:cs="Times New Roman"/>
                <w:sz w:val="26"/>
                <w:szCs w:val="26"/>
              </w:rPr>
              <w:fldChar w:fldCharType="begin"/>
              <w:instrText xml:space="preserve">PAGEREF _Toc6 \h</w:instrText>
              <w:fldChar w:fldCharType="separate"/>
              <w:t xml:space="preserve">10</w:t>
              <w:fldChar w:fldCharType="end"/>
            </w:r>
          </w:hyperlink>
          <w:r>
            <w:rPr>
              <w:rFonts w:ascii="Times New Roman" w:hAnsi="Times New Roman" w:eastAsia="Times New Roman" w:cs="Times New Roman"/>
              <w:sz w:val="26"/>
              <w:szCs w:val="26"/>
            </w:rPr>
          </w:r>
          <w:r>
            <w:rPr>
              <w:rFonts w:ascii="Times New Roman" w:hAnsi="Times New Roman" w:cs="Times New Roman"/>
              <w:sz w:val="26"/>
              <w:szCs w:val="26"/>
            </w:rPr>
          </w:r>
        </w:p>
        <w:p w14:paraId="314CA8A1">
          <w:pPr>
            <w:pStyle w:val="1095"/>
            <w:suppressLineNumbers w:val="false"/>
            <w:pBdr/>
            <w:tabs>
              <w:tab w:val="right" w:leader="dot" w:pos="9069"/>
            </w:tabs>
            <w:spacing/>
            <w:ind/>
            <w:rPr>
              <w:rFonts w:ascii="Times New Roman" w:hAnsi="Times New Roman" w:cs="Times New Roman"/>
              <w:sz w:val="26"/>
              <w:szCs w:val="26"/>
            </w:rPr>
          </w:pPr>
          <w:r/>
          <w:hyperlink w:tooltip="#_Toc7" w:anchor="_Toc7" w:history="1">
            <w:r>
              <w:rPr>
                <w:rFonts w:ascii="Times New Roman" w:hAnsi="Times New Roman" w:eastAsia="Times New Roman" w:cs="Times New Roman"/>
                <w:sz w:val="26"/>
                <w:szCs w:val="26"/>
              </w:rPr>
              <w:t xml:space="preserve">CHƯƠNG II. </w:t>
            </w:r>
            <w:r>
              <w:rPr>
                <w:rStyle w:val="1078"/>
                <w:rFonts w:ascii="Times New Roman" w:hAnsi="Times New Roman" w:eastAsia="Times New Roman" w:cs="Times New Roman"/>
                <w:sz w:val="26"/>
                <w:szCs w:val="26"/>
              </w:rPr>
            </w:r>
            <w:r>
              <w:rPr>
                <w:rStyle w:val="1078"/>
                <w:rFonts w:ascii="Times New Roman" w:hAnsi="Times New Roman" w:eastAsia="Times New Roman" w:cs="Times New Roman"/>
                <w:sz w:val="26"/>
                <w:szCs w:val="26"/>
              </w:rPr>
              <w:t xml:space="preserve">THỰC TRẠNG RỦI RO AN NINH MẠNG </w:t>
            </w:r>
            <w:r>
              <w:rPr>
                <w:rStyle w:val="1078"/>
                <w:rFonts w:ascii="Times New Roman" w:hAnsi="Times New Roman" w:eastAsia="Times New Roman" w:cs="Times New Roman"/>
                <w:sz w:val="26"/>
                <w:szCs w:val="26"/>
              </w:rPr>
              <w:t xml:space="preserve">Ở</w:t>
            </w:r>
            <w:r>
              <w:rPr>
                <w:rStyle w:val="1078"/>
                <w:rFonts w:ascii="Times New Roman" w:hAnsi="Times New Roman" w:eastAsia="Times New Roman" w:cs="Times New Roman"/>
                <w:sz w:val="26"/>
                <w:szCs w:val="26"/>
              </w:rPr>
              <w:t xml:space="preserve"> VNPT-IT </w:t>
            </w:r>
            <w:r>
              <w:rPr>
                <w:rStyle w:val="1078"/>
                <w:rFonts w:ascii="Times New Roman" w:hAnsi="Times New Roman" w:eastAsia="Times New Roman" w:cs="Times New Roman"/>
                <w:sz w:val="26"/>
                <w:szCs w:val="26"/>
              </w:rPr>
              <w:t xml:space="preserve">CHI NHÁNH ĐỒNG THÁP VÀ GIẢI PHÁP DỰA TRÊN QUAN ĐIỂM NHÂN - QUẢ</w:t>
            </w:r>
            <w:r>
              <w:rPr>
                <w:rStyle w:val="1078"/>
                <w:rFonts w:ascii="Times New Roman" w:hAnsi="Times New Roman" w:eastAsia="Times New Roman" w:cs="Times New Roman"/>
                <w:sz w:val="26"/>
                <w:szCs w:val="26"/>
              </w:rPr>
              <w:t xml:space="preserve"> CỦA PHẬT GIÁO</w:t>
            </w:r>
            <w:r>
              <w:rPr>
                <w:rStyle w:val="1078"/>
                <w:rFonts w:ascii="Times New Roman" w:hAnsi="Times New Roman" w:eastAsia="Times New Roman" w:cs="Times New Roman"/>
                <w:sz w:val="26"/>
                <w:szCs w:val="26"/>
              </w:rPr>
            </w:r>
            <w:r>
              <w:rPr>
                <w:rFonts w:ascii="Times New Roman" w:hAnsi="Times New Roman" w:eastAsia="Times New Roman" w:cs="Times New Roman"/>
                <w:sz w:val="26"/>
                <w:szCs w:val="26"/>
              </w:rPr>
              <w:tab/>
            </w:r>
            <w:r>
              <w:rPr>
                <w:rFonts w:ascii="Times New Roman" w:hAnsi="Times New Roman" w:eastAsia="Times New Roman" w:cs="Times New Roman"/>
                <w:sz w:val="26"/>
                <w:szCs w:val="26"/>
              </w:rPr>
              <w:fldChar w:fldCharType="begin"/>
              <w:instrText xml:space="preserve">PAGEREF _Toc7 \h</w:instrText>
              <w:fldChar w:fldCharType="separate"/>
              <w:t xml:space="preserve">13</w:t>
              <w:fldChar w:fldCharType="end"/>
            </w:r>
          </w:hyperlink>
          <w:r>
            <w:rPr>
              <w:rFonts w:ascii="Times New Roman" w:hAnsi="Times New Roman" w:eastAsia="Times New Roman" w:cs="Times New Roman"/>
              <w:sz w:val="26"/>
              <w:szCs w:val="26"/>
            </w:rPr>
          </w:r>
          <w:r>
            <w:rPr>
              <w:rFonts w:ascii="Times New Roman" w:hAnsi="Times New Roman" w:cs="Times New Roman"/>
              <w:sz w:val="26"/>
              <w:szCs w:val="26"/>
            </w:rPr>
          </w:r>
        </w:p>
        <w:p w14:paraId="01044601">
          <w:pPr>
            <w:pStyle w:val="1096"/>
            <w:suppressLineNumbers w:val="false"/>
            <w:pBdr/>
            <w:tabs>
              <w:tab w:val="right" w:leader="dot" w:pos="9069"/>
            </w:tabs>
            <w:spacing/>
            <w:ind/>
            <w:rPr>
              <w:rFonts w:ascii="Times New Roman" w:hAnsi="Times New Roman" w:cs="Times New Roman"/>
              <w:sz w:val="26"/>
              <w:szCs w:val="26"/>
            </w:rPr>
          </w:pPr>
          <w:r/>
          <w:hyperlink w:tooltip="#_Toc8" w:anchor="_Toc8" w:history="1">
            <w:r>
              <w:rPr>
                <w:rFonts w:ascii="Times New Roman" w:hAnsi="Times New Roman" w:eastAsia="Times New Roman" w:cs="Times New Roman"/>
                <w:sz w:val="26"/>
                <w:szCs w:val="26"/>
              </w:rPr>
              <w:t xml:space="preserve">II.1.</w:t>
            </w:r>
            <w:r>
              <w:rPr>
                <w:rFonts w:ascii="Times New Roman" w:hAnsi="Times New Roman" w:eastAsia="Times New Roman" w:cs="Times New Roman"/>
                <w:sz w:val="26"/>
                <w:szCs w:val="26"/>
              </w:rPr>
              <w:t xml:space="preserve"> </w:t>
            </w:r>
            <w:r>
              <w:rPr>
                <w:rStyle w:val="1078"/>
                <w:rFonts w:ascii="Times New Roman" w:hAnsi="Times New Roman" w:eastAsia="Times New Roman" w:cs="Times New Roman"/>
                <w:sz w:val="26"/>
                <w:szCs w:val="26"/>
              </w:rPr>
            </w:r>
            <w:r>
              <w:rPr>
                <w:rStyle w:val="1078"/>
                <w:rFonts w:ascii="Times New Roman" w:hAnsi="Times New Roman" w:eastAsia="Times New Roman" w:cs="Times New Roman"/>
                <w:sz w:val="26"/>
                <w:szCs w:val="26"/>
              </w:rPr>
              <w:t xml:space="preserve">Khái quát về VNPT-I</w:t>
            </w:r>
            <w:r>
              <w:rPr>
                <w:rStyle w:val="1078"/>
                <w:rFonts w:ascii="Times New Roman" w:hAnsi="Times New Roman" w:eastAsia="Times New Roman" w:cs="Times New Roman"/>
                <w:sz w:val="26"/>
                <w:szCs w:val="26"/>
              </w:rPr>
              <w:t xml:space="preserve">T chi nhánh tỉnh Đồng Tháp và công tác bảo mật thông tin</w:t>
            </w:r>
            <w:r>
              <w:rPr>
                <w:rStyle w:val="1078"/>
                <w:rFonts w:ascii="Times New Roman" w:hAnsi="Times New Roman" w:eastAsia="Times New Roman" w:cs="Times New Roman"/>
                <w:sz w:val="26"/>
                <w:szCs w:val="26"/>
              </w:rPr>
            </w:r>
            <w:r>
              <w:rPr>
                <w:rFonts w:ascii="Times New Roman" w:hAnsi="Times New Roman" w:eastAsia="Times New Roman" w:cs="Times New Roman"/>
                <w:sz w:val="26"/>
                <w:szCs w:val="26"/>
              </w:rPr>
              <w:tab/>
            </w:r>
            <w:r>
              <w:rPr>
                <w:rFonts w:ascii="Times New Roman" w:hAnsi="Times New Roman" w:eastAsia="Times New Roman" w:cs="Times New Roman"/>
                <w:sz w:val="26"/>
                <w:szCs w:val="26"/>
              </w:rPr>
              <w:fldChar w:fldCharType="begin"/>
              <w:instrText xml:space="preserve">PAGEREF _Toc8 \h</w:instrText>
              <w:fldChar w:fldCharType="separate"/>
              <w:t xml:space="preserve">13</w:t>
              <w:fldChar w:fldCharType="end"/>
            </w:r>
          </w:hyperlink>
          <w:r>
            <w:rPr>
              <w:rFonts w:ascii="Times New Roman" w:hAnsi="Times New Roman" w:eastAsia="Times New Roman" w:cs="Times New Roman"/>
              <w:sz w:val="26"/>
              <w:szCs w:val="26"/>
            </w:rPr>
          </w:r>
          <w:r>
            <w:rPr>
              <w:rFonts w:ascii="Times New Roman" w:hAnsi="Times New Roman" w:cs="Times New Roman"/>
              <w:sz w:val="26"/>
              <w:szCs w:val="26"/>
            </w:rPr>
          </w:r>
        </w:p>
        <w:p w14:paraId="0523C76A">
          <w:pPr>
            <w:pStyle w:val="1096"/>
            <w:suppressLineNumbers w:val="false"/>
            <w:pBdr/>
            <w:tabs>
              <w:tab w:val="right" w:leader="dot" w:pos="9069"/>
            </w:tabs>
            <w:spacing/>
            <w:ind/>
            <w:rPr>
              <w:rFonts w:ascii="Times New Roman" w:hAnsi="Times New Roman" w:cs="Times New Roman"/>
              <w:sz w:val="26"/>
              <w:szCs w:val="26"/>
            </w:rPr>
          </w:pPr>
          <w:r/>
          <w:hyperlink w:tooltip="#_Toc9" w:anchor="_Toc9" w:history="1">
            <w:r>
              <w:rPr>
                <w:rFonts w:ascii="Times New Roman" w:hAnsi="Times New Roman" w:eastAsia="Times New Roman" w:cs="Times New Roman"/>
                <w:sz w:val="26"/>
                <w:szCs w:val="26"/>
              </w:rPr>
              <w:t xml:space="preserve">II.2.</w:t>
            </w:r>
            <w:r>
              <w:rPr>
                <w:rFonts w:ascii="Times New Roman" w:hAnsi="Times New Roman" w:eastAsia="Times New Roman" w:cs="Times New Roman"/>
                <w:sz w:val="26"/>
                <w:szCs w:val="26"/>
              </w:rPr>
              <w:t xml:space="preserve"> </w:t>
            </w:r>
            <w:r>
              <w:rPr>
                <w:rStyle w:val="1078"/>
                <w:rFonts w:ascii="Times New Roman" w:hAnsi="Times New Roman" w:eastAsia="Times New Roman" w:cs="Times New Roman"/>
                <w:sz w:val="26"/>
                <w:szCs w:val="26"/>
              </w:rPr>
            </w:r>
            <w:r>
              <w:rPr>
                <w:rStyle w:val="1078"/>
                <w:rFonts w:ascii="Times New Roman" w:hAnsi="Times New Roman" w:eastAsia="Times New Roman" w:cs="Times New Roman"/>
                <w:sz w:val="26"/>
                <w:szCs w:val="26"/>
              </w:rPr>
              <w:t xml:space="preserve">Phân tích thực trạng rủi ro an ninh mạng </w:t>
            </w:r>
            <w:r>
              <w:rPr>
                <w:rStyle w:val="1078"/>
                <w:rFonts w:ascii="Times New Roman" w:hAnsi="Times New Roman" w:eastAsia="Times New Roman" w:cs="Times New Roman"/>
                <w:sz w:val="26"/>
                <w:szCs w:val="26"/>
              </w:rPr>
              <w:t xml:space="preserve">ở VNPT-IT Chi nhánh Đồng Tháp </w:t>
            </w:r>
            <w:r>
              <w:rPr>
                <w:rStyle w:val="1078"/>
                <w:rFonts w:ascii="Times New Roman" w:hAnsi="Times New Roman" w:eastAsia="Times New Roman" w:cs="Times New Roman"/>
                <w:sz w:val="26"/>
                <w:szCs w:val="26"/>
              </w:rPr>
              <w:t xml:space="preserve">dưới góc nhìn Nhân - Quả</w:t>
            </w:r>
            <w:r>
              <w:rPr>
                <w:rStyle w:val="1078"/>
                <w:rFonts w:ascii="Times New Roman" w:hAnsi="Times New Roman" w:eastAsia="Times New Roman" w:cs="Times New Roman"/>
                <w:sz w:val="26"/>
                <w:szCs w:val="26"/>
              </w:rPr>
            </w:r>
            <w:r>
              <w:rPr>
                <w:rFonts w:ascii="Times New Roman" w:hAnsi="Times New Roman" w:eastAsia="Times New Roman" w:cs="Times New Roman"/>
                <w:sz w:val="26"/>
                <w:szCs w:val="26"/>
              </w:rPr>
              <w:tab/>
            </w:r>
            <w:r>
              <w:rPr>
                <w:rFonts w:ascii="Times New Roman" w:hAnsi="Times New Roman" w:eastAsia="Times New Roman" w:cs="Times New Roman"/>
                <w:sz w:val="26"/>
                <w:szCs w:val="26"/>
              </w:rPr>
              <w:fldChar w:fldCharType="begin"/>
              <w:instrText xml:space="preserve">PAGEREF _Toc9 \h</w:instrText>
              <w:fldChar w:fldCharType="separate"/>
              <w:t xml:space="preserve">14</w:t>
              <w:fldChar w:fldCharType="end"/>
            </w:r>
          </w:hyperlink>
          <w:r>
            <w:rPr>
              <w:rFonts w:ascii="Times New Roman" w:hAnsi="Times New Roman" w:eastAsia="Times New Roman" w:cs="Times New Roman"/>
              <w:sz w:val="26"/>
              <w:szCs w:val="26"/>
            </w:rPr>
          </w:r>
          <w:r>
            <w:rPr>
              <w:rFonts w:ascii="Times New Roman" w:hAnsi="Times New Roman" w:cs="Times New Roman"/>
              <w:sz w:val="26"/>
              <w:szCs w:val="26"/>
            </w:rPr>
          </w:r>
        </w:p>
        <w:p w14:paraId="14C58121">
          <w:pPr>
            <w:pStyle w:val="1096"/>
            <w:suppressLineNumbers w:val="false"/>
            <w:pBdr/>
            <w:tabs>
              <w:tab w:val="right" w:leader="dot" w:pos="9069"/>
            </w:tabs>
            <w:spacing/>
            <w:ind/>
            <w:rPr>
              <w:rFonts w:ascii="Times New Roman" w:hAnsi="Times New Roman" w:cs="Times New Roman"/>
              <w:sz w:val="26"/>
              <w:szCs w:val="26"/>
            </w:rPr>
          </w:pPr>
          <w:r/>
          <w:hyperlink w:tooltip="#_Toc10" w:anchor="_Toc10" w:history="1">
            <w:r>
              <w:rPr>
                <w:rFonts w:ascii="Times New Roman" w:hAnsi="Times New Roman" w:eastAsia="Times New Roman" w:cs="Times New Roman"/>
                <w:sz w:val="26"/>
                <w:szCs w:val="26"/>
              </w:rPr>
              <w:t xml:space="preserve">II.3.</w:t>
            </w:r>
            <w:r>
              <w:rPr>
                <w:rFonts w:ascii="Times New Roman" w:hAnsi="Times New Roman" w:eastAsia="Times New Roman" w:cs="Times New Roman"/>
                <w:sz w:val="26"/>
                <w:szCs w:val="26"/>
              </w:rPr>
              <w:t xml:space="preserve"> </w:t>
            </w:r>
            <w:r>
              <w:rPr>
                <w:rStyle w:val="1078"/>
                <w:rFonts w:ascii="Times New Roman" w:hAnsi="Times New Roman" w:eastAsia="Times New Roman" w:cs="Times New Roman"/>
                <w:sz w:val="26"/>
                <w:szCs w:val="26"/>
              </w:rPr>
            </w:r>
            <w:r>
              <w:rPr>
                <w:rStyle w:val="1078"/>
                <w:rFonts w:ascii="Times New Roman" w:hAnsi="Times New Roman" w:eastAsia="Times New Roman" w:cs="Times New Roman"/>
                <w:sz w:val="26"/>
                <w:szCs w:val="26"/>
              </w:rPr>
              <w:t xml:space="preserve">Vận dụng thuyết nhân quả trong Phật giáo đề xuất g</w:t>
            </w:r>
            <w:r>
              <w:rPr>
                <w:rStyle w:val="1078"/>
                <w:rFonts w:ascii="Times New Roman" w:hAnsi="Times New Roman" w:eastAsia="Times New Roman" w:cs="Times New Roman"/>
                <w:sz w:val="26"/>
                <w:szCs w:val="26"/>
              </w:rPr>
              <w:t xml:space="preserve">iải pháp hạn chế rủi ro an ninh mạng </w:t>
            </w:r>
            <w:r>
              <w:rPr>
                <w:rStyle w:val="1078"/>
                <w:rFonts w:ascii="Times New Roman" w:hAnsi="Times New Roman" w:eastAsia="Times New Roman" w:cs="Times New Roman"/>
                <w:sz w:val="26"/>
                <w:szCs w:val="26"/>
              </w:rPr>
              <w:t xml:space="preserve">ở VNPT-IT Chi nhánh Đồng Tháp</w:t>
            </w:r>
            <w:r>
              <w:rPr>
                <w:rStyle w:val="1078"/>
                <w:rFonts w:ascii="Times New Roman" w:hAnsi="Times New Roman" w:eastAsia="Times New Roman" w:cs="Times New Roman"/>
                <w:sz w:val="26"/>
                <w:szCs w:val="26"/>
              </w:rPr>
            </w:r>
            <w:r>
              <w:rPr>
                <w:rFonts w:ascii="Times New Roman" w:hAnsi="Times New Roman" w:eastAsia="Times New Roman" w:cs="Times New Roman"/>
                <w:sz w:val="26"/>
                <w:szCs w:val="26"/>
              </w:rPr>
              <w:tab/>
            </w:r>
            <w:r>
              <w:rPr>
                <w:rFonts w:ascii="Times New Roman" w:hAnsi="Times New Roman" w:eastAsia="Times New Roman" w:cs="Times New Roman"/>
                <w:sz w:val="26"/>
                <w:szCs w:val="26"/>
              </w:rPr>
              <w:fldChar w:fldCharType="begin"/>
              <w:instrText xml:space="preserve">PAGEREF _Toc10 \h</w:instrText>
              <w:fldChar w:fldCharType="separate"/>
              <w:t xml:space="preserve">18</w:t>
              <w:fldChar w:fldCharType="end"/>
            </w:r>
          </w:hyperlink>
          <w:r>
            <w:rPr>
              <w:rFonts w:ascii="Times New Roman" w:hAnsi="Times New Roman" w:eastAsia="Times New Roman" w:cs="Times New Roman"/>
              <w:sz w:val="26"/>
              <w:szCs w:val="26"/>
            </w:rPr>
          </w:r>
          <w:r>
            <w:rPr>
              <w:rFonts w:ascii="Times New Roman" w:hAnsi="Times New Roman" w:cs="Times New Roman"/>
              <w:sz w:val="26"/>
              <w:szCs w:val="26"/>
            </w:rPr>
          </w:r>
        </w:p>
        <w:p w14:paraId="32B5AA46">
          <w:pPr>
            <w:pStyle w:val="1095"/>
            <w:suppressLineNumbers w:val="false"/>
            <w:pBdr/>
            <w:tabs>
              <w:tab w:val="right" w:leader="dot" w:pos="9069"/>
            </w:tabs>
            <w:spacing/>
            <w:ind/>
            <w:rPr>
              <w:rFonts w:ascii="Times New Roman" w:hAnsi="Times New Roman" w:cs="Times New Roman"/>
              <w:sz w:val="26"/>
              <w:szCs w:val="26"/>
              <w:highlight w:val="none"/>
            </w:rPr>
          </w:pPr>
          <w:r/>
          <w:hyperlink w:tooltip="#_Toc11" w:anchor="_Toc11" w:history="1">
            <w:r>
              <w:rPr>
                <w:rStyle w:val="1078"/>
                <w:rFonts w:ascii="Times New Roman" w:hAnsi="Times New Roman" w:eastAsia="Times New Roman" w:cs="Times New Roman"/>
                <w:sz w:val="26"/>
                <w:szCs w:val="26"/>
              </w:rPr>
            </w:r>
            <w:r>
              <w:rPr>
                <w:rStyle w:val="1078"/>
                <w:rFonts w:ascii="Times New Roman" w:hAnsi="Times New Roman" w:eastAsia="Times New Roman" w:cs="Times New Roman"/>
                <w:sz w:val="26"/>
                <w:szCs w:val="26"/>
              </w:rPr>
              <w:t xml:space="preserve">KẾT LUẬN</w:t>
            </w:r>
            <w:r>
              <w:rPr>
                <w:rStyle w:val="1078"/>
                <w:rFonts w:ascii="Times New Roman" w:hAnsi="Times New Roman" w:eastAsia="Times New Roman" w:cs="Times New Roman"/>
                <w:sz w:val="26"/>
                <w:szCs w:val="26"/>
              </w:rPr>
            </w:r>
            <w:r>
              <w:rPr>
                <w:rFonts w:ascii="Times New Roman" w:hAnsi="Times New Roman" w:eastAsia="Times New Roman" w:cs="Times New Roman"/>
                <w:sz w:val="26"/>
                <w:szCs w:val="26"/>
              </w:rPr>
              <w:tab/>
            </w:r>
            <w:r>
              <w:rPr>
                <w:rFonts w:ascii="Times New Roman" w:hAnsi="Times New Roman" w:eastAsia="Times New Roman" w:cs="Times New Roman"/>
                <w:sz w:val="26"/>
                <w:szCs w:val="26"/>
              </w:rPr>
              <w:fldChar w:fldCharType="begin"/>
              <w:instrText xml:space="preserve">PAGEREF _Toc11 \h</w:instrText>
              <w:fldChar w:fldCharType="separate"/>
              <w:t xml:space="preserve">23</w:t>
              <w:fldChar w:fldCharType="end"/>
            </w:r>
          </w:hyperlink>
          <w:r>
            <w:rPr>
              <w:rFonts w:ascii="Times New Roman" w:hAnsi="Times New Roman" w:eastAsia="Times New Roman" w:cs="Times New Roman"/>
              <w:sz w:val="26"/>
              <w:szCs w:val="26"/>
              <w:highlight w:val="none"/>
            </w:rPr>
          </w:r>
          <w:r>
            <w:rPr>
              <w:rFonts w:ascii="Times New Roman" w:hAnsi="Times New Roman" w:cs="Times New Roman"/>
              <w:sz w:val="26"/>
              <w:szCs w:val="26"/>
              <w:highlight w:val="none"/>
            </w:rPr>
          </w:r>
        </w:p>
        <w:p w14:paraId="003B374C">
          <w:pPr>
            <w:pStyle w:val="1095"/>
            <w:pBdr/>
            <w:tabs>
              <w:tab w:val="right" w:leader="dot" w:pos="9069"/>
            </w:tabs>
            <w:spacing/>
            <w:ind/>
            <w:rPr>
              <w:rFonts w:ascii="Times New Roman" w:hAnsi="Times New Roman" w:cs="Times New Roman"/>
              <w:sz w:val="26"/>
              <w:szCs w:val="26"/>
              <w:highlight w:val="none"/>
            </w:rPr>
          </w:pPr>
          <w:r/>
          <w:hyperlink w:tooltip="#_Toc12" w:anchor="_Toc12" w:history="1">
            <w:r>
              <w:rPr>
                <w:rStyle w:val="1078"/>
                <w:rFonts w:ascii="Times New Roman" w:hAnsi="Times New Roman" w:eastAsia="Times New Roman" w:cs="Times New Roman"/>
                <w:sz w:val="26"/>
                <w:szCs w:val="26"/>
              </w:rPr>
            </w:r>
            <w:r>
              <w:rPr>
                <w:rStyle w:val="1078"/>
                <w:rFonts w:ascii="Times New Roman" w:hAnsi="Times New Roman" w:eastAsia="Times New Roman" w:cs="Times New Roman"/>
                <w:sz w:val="26"/>
                <w:szCs w:val="26"/>
              </w:rPr>
              <w:t xml:space="preserve">TÀI LIỆU THAM KHẢO</w:t>
            </w:r>
            <w:r>
              <w:rPr>
                <w:rStyle w:val="1078"/>
                <w:rFonts w:ascii="Times New Roman" w:hAnsi="Times New Roman" w:eastAsia="Times New Roman" w:cs="Times New Roman"/>
                <w:sz w:val="26"/>
                <w:szCs w:val="26"/>
              </w:rPr>
            </w:r>
            <w:r>
              <w:rPr>
                <w:rFonts w:ascii="Times New Roman" w:hAnsi="Times New Roman" w:eastAsia="Times New Roman" w:cs="Times New Roman"/>
                <w:sz w:val="26"/>
                <w:szCs w:val="26"/>
              </w:rPr>
              <w:tab/>
            </w:r>
            <w:r>
              <w:rPr>
                <w:rFonts w:ascii="Times New Roman" w:hAnsi="Times New Roman" w:eastAsia="Times New Roman" w:cs="Times New Roman"/>
                <w:sz w:val="26"/>
                <w:szCs w:val="26"/>
              </w:rPr>
              <w:fldChar w:fldCharType="begin"/>
              <w:instrText xml:space="preserve">PAGEREF _Toc12 \h</w:instrText>
              <w:fldChar w:fldCharType="separate"/>
              <w:t xml:space="preserve">25</w:t>
              <w:fldChar w:fldCharType="end"/>
            </w:r>
          </w:hyperlink>
          <w:r>
            <w:rPr>
              <w:rFonts w:ascii="Times New Roman" w:hAnsi="Times New Roman" w:eastAsia="Times New Roman" w:cs="Times New Roman"/>
              <w:sz w:val="26"/>
              <w:szCs w:val="26"/>
              <w:highlight w:val="none"/>
            </w:rPr>
          </w:r>
          <w:r>
            <w:rPr>
              <w:rFonts w:ascii="Times New Roman" w:hAnsi="Times New Roman" w:cs="Times New Roman"/>
              <w:sz w:val="26"/>
              <w:szCs w:val="26"/>
              <w:highlight w:val="none"/>
            </w:rPr>
          </w:r>
        </w:p>
        <w:p w14:paraId="2D2F523F">
          <w:pPr>
            <w:suppressLineNumbers w:val="false"/>
            <w:pBdr/>
            <w:spacing w:after="119" w:before="120"/>
            <w:ind w:right="0" w:firstLine="720" w:left="0"/>
            <w:rPr>
              <w:rFonts w:ascii="Times New Roman" w:hAnsi="Times New Roman" w:cs="Times New Roman"/>
              <w:b/>
              <w:bCs/>
              <w:color w:val="1f1f1f"/>
              <w:sz w:val="26"/>
              <w:szCs w:val="26"/>
              <w:highlight w:val="none"/>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fldChar w:fldCharType="end"/>
          </w:r>
          <w:r>
            <w:rPr>
              <w:rFonts w:ascii="Times New Roman" w:hAnsi="Times New Roman" w:cs="Times New Roman"/>
              <w:b/>
              <w:bCs/>
              <w:color w:val="1f1f1f"/>
              <w:sz w:val="26"/>
              <w:szCs w:val="26"/>
              <w:highlight w:val="none"/>
            </w:rPr>
          </w:r>
        </w:p>
      </w:sdtContent>
    </w:sdt>
    <w:p w14:paraId="75ED0685">
      <w:pPr>
        <w:pStyle w:val="1038"/>
        <w:numPr>
          <w:ilvl w:val="0"/>
          <w:numId w:val="0"/>
        </w:numPr>
        <w:suppressLineNumbers w:val="false"/>
        <w:pBdr/>
        <w:spacing w:after="119" w:before="120" w:line="360" w:lineRule="auto"/>
        <w:ind w:right="0" w:firstLine="720" w:left="0"/>
        <w:rPr/>
        <w:sectPr>
          <w:headerReference w:type="first" r:id="rId13"/>
          <w:footerReference w:type="first" r:id="rId22"/>
          <w:footnotePr/>
          <w:endnotePr/>
          <w:type w:val="nextPage"/>
          <w:pgSz w:h="16838" w:orient="portrait" w:w="11906"/>
          <w:pgMar w:top="1138" w:right="1138" w:bottom="1138" w:left="1699" w:header="709" w:footer="709" w:gutter="0"/>
          <w:pgNumType w:fmt="lowerRoman"/>
          <w:cols w:num="1" w:sep="0" w:space="1701" w:equalWidth="1"/>
          <w:titlePg/>
        </w:sectPr>
      </w:pPr>
      <w:r>
        <w:rPr>
          <w:rFonts w:eastAsia="Times New Roman" w:cs="Times New Roman"/>
          <w:szCs w:val="26"/>
        </w:rPr>
      </w:r>
      <w:r/>
    </w:p>
    <w:p w14:paraId="4BB2035A">
      <w:pPr>
        <w:pStyle w:val="1038"/>
        <w:numPr>
          <w:ilvl w:val="0"/>
          <w:numId w:val="0"/>
        </w:numPr>
        <w:suppressLineNumbers w:val="false"/>
        <w:pBdr/>
        <w:spacing w:after="119" w:before="120" w:line="360" w:lineRule="auto"/>
        <w:ind w:right="0" w:firstLine="720" w:left="0"/>
        <w:rPr>
          <w:rFonts w:eastAsia="Times New Roman" w:cs="Times New Roman"/>
        </w:rPr>
      </w:pPr>
      <w:r/>
      <w:bookmarkStart w:id="10" w:name="_Toc2"/>
      <w:r/>
      <w:bookmarkStart w:id="0" w:name="_vxo0q8gzfgcp"/>
      <w:r/>
      <w:bookmarkEnd w:id="0"/>
      <w:r>
        <w:rPr>
          <w:rFonts w:eastAsia="Times New Roman" w:cs="Times New Roman"/>
          <w:szCs w:val="26"/>
        </w:rPr>
        <w:t xml:space="preserve">MỞ ĐẦU</w:t>
      </w:r>
      <w:bookmarkEnd w:id="10"/>
      <w:r/>
      <w:r>
        <w:rPr>
          <w:rFonts w:eastAsia="Times New Roman" w:cs="Times New Roman"/>
        </w:rPr>
      </w:r>
    </w:p>
    <w:p>
      <w:pPr>
        <w:numPr>
          <w:ilvl w:val="0"/>
          <w:numId w:val="4"/>
        </w:numPr>
        <w:suppressLineNumbers w:val="false"/>
        <w:pBdr/>
        <w:spacing w:after="119" w:before="120" w:line="360" w:lineRule="auto"/>
        <w:ind w:right="0" w:firstLine="720" w:left="0"/>
        <w:rPr>
          <w:rFonts w:ascii="Times New Roman" w:hAnsi="Times New Roman" w:eastAsia="Times New Roman" w:cs="Times New Roman"/>
          <w:b/>
          <w:bCs/>
          <w:color w:val="1f1f1f"/>
          <w:sz w:val="26"/>
          <w:szCs w:val="26"/>
        </w:rPr>
      </w:pPr>
      <w:r>
        <w:rPr>
          <w:rFonts w:ascii="Times New Roman" w:hAnsi="Times New Roman" w:eastAsia="Times New Roman" w:cs="Times New Roman"/>
          <w:b/>
          <w:bCs/>
          <w:color w:val="1f1f1f"/>
          <w:sz w:val="26"/>
          <w:szCs w:val="26"/>
        </w:rPr>
        <w:t xml:space="preserve">Lý do chọn đề tài:</w:t>
      </w:r>
      <w:r>
        <w:rPr>
          <w:rFonts w:ascii="Times New Roman" w:hAnsi="Times New Roman" w:eastAsia="Times New Roman" w:cs="Times New Roman"/>
          <w:b/>
          <w:bCs/>
          <w:color w:val="1f1f1f"/>
          <w:sz w:val="26"/>
          <w:szCs w:val="26"/>
        </w:rPr>
      </w:r>
      <w:r>
        <w:rPr>
          <w:rFonts w:ascii="Times New Roman" w:hAnsi="Times New Roman" w:eastAsia="Times New Roman" w:cs="Times New Roman"/>
          <w:b/>
          <w:bCs/>
          <w:color w:val="1f1f1f"/>
          <w:sz w:val="26"/>
          <w:szCs w:val="26"/>
        </w:rPr>
      </w:r>
    </w:p>
    <w:p w14:paraId="78605E2C">
      <w:pPr>
        <w:suppressLineNumbers w:val="false"/>
        <w:pBdr/>
        <w:spacing w:after="119" w:before="120" w:line="360" w:lineRule="auto"/>
        <w:ind w:right="0" w:firstLine="720" w:left="0"/>
        <w:rPr>
          <w:rFonts w:ascii="Times New Roman" w:hAnsi="Times New Roman" w:eastAsia="Times New Roman" w:cs="Times New Roman"/>
          <w:color w:val="1f1f1f"/>
          <w:highlight w:val="none"/>
          <w14:ligatures w14:val="none"/>
        </w:rPr>
      </w:pPr>
      <w:r>
        <w:rPr>
          <w:rFonts w:ascii="Times New Roman" w:hAnsi="Times New Roman" w:eastAsia="Times New Roman" w:cs="Times New Roman"/>
          <w:color w:val="1f1f1f"/>
          <w:sz w:val="26"/>
          <w:szCs w:val="26"/>
          <w:highlight w:val="none"/>
        </w:rPr>
        <w:t xml:space="preserve">Triết học, với tư cách là hình thái ý thức xã hội đặc biệt, giữ vai trò quan trọng trong việc hình thành thế giới quan và phương pháp luận cho nhận thức và hoạt động thực tiễn của con người</w:t>
      </w:r>
      <w:r>
        <w:rPr>
          <w:rFonts w:ascii="Times New Roman" w:hAnsi="Times New Roman" w:eastAsia="Times New Roman" w:cs="Times New Roman"/>
          <w:color w:val="1f1f1f"/>
          <w:sz w:val="26"/>
          <w:szCs w:val="26"/>
          <w:highlight w:val="none"/>
          <w:lang w:val="en-US"/>
        </w:rPr>
        <w:t xml:space="preserve"> </w:t>
      </w:r>
      <w:r>
        <w:rPr>
          <w:rFonts w:ascii="Times New Roman" w:hAnsi="Times New Roman" w:eastAsia="Times New Roman" w:cs="Times New Roman"/>
          <w:color w:val="1f1f1f"/>
          <w:sz w:val="26"/>
          <w:szCs w:val="26"/>
          <w:highlight w:val="none"/>
          <w:lang w:val="en-US"/>
        </w:rPr>
        <w:t xml:space="preserve">(Bộ Giáo dục và Đào tạo, 2022)</w:t>
      </w:r>
      <w:r>
        <w:rPr>
          <w:rFonts w:ascii="Times New Roman" w:hAnsi="Times New Roman" w:eastAsia="Times New Roman" w:cs="Times New Roman"/>
          <w:color w:val="1f1f1f"/>
          <w:sz w:val="26"/>
          <w:szCs w:val="26"/>
          <w:highlight w:val="none"/>
        </w:rPr>
        <w:t xml:space="preserve">. Trong bối cảnh xã hội hiện đại với nhiều biến động phức tạp, những</w:t>
      </w:r>
      <w:r>
        <w:rPr>
          <w:rFonts w:ascii="Times New Roman" w:hAnsi="Times New Roman" w:eastAsia="Times New Roman" w:cs="Times New Roman"/>
          <w:color w:val="1f1f1f"/>
          <w:sz w:val="26"/>
          <w:szCs w:val="26"/>
          <w:highlight w:val="none"/>
        </w:rPr>
        <w:t xml:space="preserve"> vấn đề liên quan đến đạo đức, trách nhiệm và hành vi của con người ngày càng trở nên nổi bật, đòi hỏi phải được tiếp cận và giải quyết từ góc độ triết học.</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highlight w:val="none"/>
          <w14:ligatures w14:val="none"/>
        </w:rPr>
      </w:r>
    </w:p>
    <w:p w14:paraId="02E8A075">
      <w:pPr>
        <w:suppressLineNumbers w:val="false"/>
        <w:pBdr/>
        <w:spacing w:after="119" w:before="120" w:line="360" w:lineRule="auto"/>
        <w:ind w:right="0" w:firstLine="720" w:left="0"/>
        <w:rPr>
          <w:rFonts w:ascii="Times New Roman" w:hAnsi="Times New Roman" w:eastAsia="Times New Roman" w:cs="Times New Roman"/>
          <w:color w:val="1f1f1f"/>
          <w:highlight w:val="none"/>
          <w14:ligatures w14:val="none"/>
        </w:rPr>
      </w:pP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highlight w:val="none"/>
        </w:rPr>
        <w:t xml:space="preserve">T</w:t>
      </w:r>
      <w:r>
        <w:rPr>
          <w:rFonts w:ascii="Times New Roman" w:hAnsi="Times New Roman" w:eastAsia="Times New Roman" w:cs="Times New Roman"/>
          <w:color w:val="1f1f1f"/>
          <w:sz w:val="26"/>
          <w:szCs w:val="26"/>
          <w:highlight w:val="none"/>
        </w:rPr>
        <w:t xml:space="preserve">rong kho tàng triết học phương Đông, triết học Phật giáo chiếm vị trí đặc biệt với hệ thống tư tưởng nhân sinh sâu sắc, trong đó quan điểm Nhân – Quả giữ vai trò trung tâm, chi phối toàn bộ thế giới quan và nhân sinh quan của Phật giáo (</w:t>
      </w:r>
      <w:r>
        <w:rPr>
          <w:rFonts w:ascii="Times New Roman" w:hAnsi="Times New Roman" w:eastAsia="Times New Roman" w:cs="Times New Roman"/>
          <w:color w:val="1f1f1f"/>
          <w:sz w:val="26"/>
          <w:szCs w:val="26"/>
          <w:highlight w:val="none"/>
        </w:rPr>
        <w:t xml:space="preserve">Thích Thanh Kiểm, 2011</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highlight w:val="none"/>
        </w:rPr>
        <w:t xml:space="preserve">).</w:t>
      </w:r>
      <w:r>
        <w:rPr>
          <w:rFonts w:ascii="Times New Roman" w:hAnsi="Times New Roman" w:eastAsia="Times New Roman" w:cs="Times New Roman"/>
          <w:color w:val="1f1f1f"/>
          <w:sz w:val="26"/>
          <w:szCs w:val="26"/>
          <w:highlight w:val="none"/>
          <w:lang w:val="en-US"/>
        </w:rPr>
        <w:t xml:space="preserve"> </w:t>
      </w:r>
      <w:r>
        <w:rPr>
          <w:rFonts w:ascii="Times New Roman" w:hAnsi="Times New Roman" w:eastAsia="Times New Roman" w:cs="Times New Roman"/>
          <w:color w:val="1f1f1f"/>
          <w:sz w:val="26"/>
          <w:szCs w:val="26"/>
          <w:highlight w:val="none"/>
          <w:lang w:val="en-US"/>
        </w:rPr>
        <w:t xml:space="preserve">Q</w:t>
      </w:r>
      <w:r>
        <w:rPr>
          <w:rFonts w:ascii="Times New Roman" w:hAnsi="Times New Roman" w:eastAsia="Times New Roman" w:cs="Times New Roman"/>
          <w:color w:val="1f1f1f"/>
          <w:sz w:val="26"/>
          <w:szCs w:val="26"/>
          <w:highlight w:val="none"/>
          <w:lang w:val="en-US"/>
        </w:rPr>
        <w:t xml:space="preserve">uan điểm Nhân – Quả của Phật giáo khẳng định rằng mọi sự vật, hiện tượng đều không tồn tại một cách ngẫu nhiên, mà là kết quả của mối quan hệ Nhân – Duyên – Quả, trong đó con người là chủ thể tạo ra nguyên nhân và gánh chịu kết quả từ chính hành vi của mìn</w:t>
      </w:r>
      <w:r>
        <w:rPr>
          <w:rFonts w:ascii="Times New Roman" w:hAnsi="Times New Roman" w:eastAsia="Times New Roman" w:cs="Times New Roman"/>
          <w:color w:val="1f1f1f"/>
          <w:sz w:val="26"/>
          <w:szCs w:val="26"/>
          <w:highlight w:val="none"/>
          <w:lang w:val="en-US"/>
        </w:rPr>
        <w:t xml:space="preserve">h </w:t>
      </w:r>
      <w:r>
        <w:rPr>
          <w:rFonts w:ascii="Times New Roman" w:hAnsi="Times New Roman" w:eastAsia="Times New Roman" w:cs="Times New Roman"/>
          <w:color w:val="1f1f1f"/>
          <w:sz w:val="26"/>
          <w:szCs w:val="26"/>
          <w:highlight w:val="none"/>
          <w:lang w:val="en-US"/>
        </w:rPr>
        <w:t xml:space="preserve">(Thích Minh Châu, 2012)</w:t>
      </w:r>
      <w:r>
        <w:rPr>
          <w:rFonts w:ascii="Times New Roman" w:hAnsi="Times New Roman" w:eastAsia="Times New Roman" w:cs="Times New Roman"/>
          <w:color w:val="1f1f1f"/>
          <w:sz w:val="26"/>
          <w:szCs w:val="26"/>
          <w:highlight w:val="none"/>
          <w:lang w:val="en-US"/>
        </w:rPr>
        <w:t xml:space="preserve">.</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highlight w:val="none"/>
          <w14:ligatures w14:val="none"/>
        </w:rPr>
      </w:r>
    </w:p>
    <w:p>
      <w:pPr>
        <w:suppressLineNumbers w:val="false"/>
        <w:pBdr/>
        <w:spacing w:after="119" w:before="120" w:line="360" w:lineRule="auto"/>
        <w:ind w:right="0" w:firstLine="720" w:left="0"/>
        <w:rPr>
          <w:rFonts w:ascii="Times New Roman" w:hAnsi="Times New Roman" w:eastAsia="Times New Roman" w:cs="Times New Roman"/>
          <w:color w:val="1f1f1f"/>
          <w:sz w:val="26"/>
          <w:szCs w:val="26"/>
          <w:highlight w:val="none"/>
          <w14:ligatures w14:val="none"/>
        </w:rPr>
      </w:pPr>
      <w:r>
        <w:rPr>
          <w:rFonts w:ascii="Times New Roman" w:hAnsi="Times New Roman" w:eastAsia="Times New Roman" w:cs="Times New Roman"/>
          <w:color w:val="1f1f1f"/>
          <w:sz w:val="26"/>
          <w:szCs w:val="26"/>
          <w:highlight w:val="none"/>
        </w:rPr>
        <w:t xml:space="preserve">T</w:t>
      </w:r>
      <w:r>
        <w:rPr>
          <w:rFonts w:ascii="Times New Roman" w:hAnsi="Times New Roman" w:eastAsia="Times New Roman" w:cs="Times New Roman"/>
          <w:color w:val="1f1f1f"/>
          <w:sz w:val="26"/>
          <w:szCs w:val="26"/>
          <w:highlight w:val="none"/>
        </w:rPr>
        <w:t xml:space="preserve">rong bối cảnh chuyển đổi số hiện nay, an ninh mạng đã trở thành vấn đề cấp thiết đối với mọi tổ chức và doanh nghiệp</w:t>
      </w:r>
      <w:r>
        <w:rPr>
          <w:rFonts w:ascii="Times New Roman" w:hAnsi="Times New Roman" w:eastAsia="Times New Roman" w:cs="Times New Roman"/>
          <w:color w:val="1f1f1f"/>
          <w:sz w:val="26"/>
          <w:szCs w:val="26"/>
          <w:highlight w:val="none"/>
        </w:rPr>
        <w:t xml:space="preserve">, được Đảng và Nhà nước đặc biệt quan tâm (Bộ Chính trị, 2019)</w:t>
      </w:r>
      <w:r>
        <w:rPr>
          <w:rFonts w:ascii="Times New Roman" w:hAnsi="Times New Roman" w:eastAsia="Times New Roman" w:cs="Times New Roman"/>
          <w:color w:val="1f1f1f"/>
          <w:sz w:val="26"/>
          <w:szCs w:val="26"/>
          <w:highlight w:val="none"/>
        </w:rPr>
        <w:t xml:space="preserve">. Thực tiễn cho thấy, nhiều rủi ro an ninh mạng không chỉ xuất phát từ yếu tố kỹ thuật, mà còn bắt nguồn từ nhận thức, hành vi và đạo đức ng</w:t>
      </w:r>
      <w:r>
        <w:rPr>
          <w:rFonts w:ascii="Times New Roman" w:hAnsi="Times New Roman" w:eastAsia="Times New Roman" w:cs="Times New Roman"/>
          <w:color w:val="1f1f1f"/>
          <w:sz w:val="26"/>
          <w:szCs w:val="26"/>
          <w:highlight w:val="none"/>
        </w:rPr>
        <w:t xml:space="preserve">hề nghiệp của con người </w:t>
      </w:r>
      <w:r>
        <w:rPr>
          <w:rFonts w:ascii="Times New Roman" w:hAnsi="Times New Roman" w:eastAsia="Times New Roman" w:cs="Times New Roman"/>
          <w:color w:val="1f1f1f"/>
          <w:sz w:val="26"/>
          <w:szCs w:val="26"/>
          <w:highlight w:val="none"/>
        </w:rPr>
        <w:t xml:space="preserve">(Nguyễn Văn Thành, 2020)</w:t>
      </w:r>
      <w:r>
        <w:rPr>
          <w:rFonts w:ascii="Times New Roman" w:hAnsi="Times New Roman" w:eastAsia="Times New Roman" w:cs="Times New Roman"/>
          <w:color w:val="1f1f1f"/>
          <w:sz w:val="26"/>
          <w:szCs w:val="26"/>
          <w:highlight w:val="none"/>
        </w:rPr>
        <w:t xml:space="preserve">. Xuất phát từ thực tế đó, việc vận dụng quan điểm Nhân – Quả của Phật giáo để phân tích và đề xuất giải pháp hạn chế rủi ro an ninh mạng tại VNPT-IT Chi nhánh tỉnh Đồng Tháp có ý nghĩa lý luận và thực tiễn sâu sắc.</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highlight w:val="none"/>
          <w14:ligatures w14:val="none"/>
        </w:rPr>
      </w:r>
    </w:p>
    <w:p>
      <w:pPr>
        <w:numPr>
          <w:ilvl w:val="0"/>
          <w:numId w:val="4"/>
        </w:numPr>
        <w:suppressLineNumbers w:val="false"/>
        <w:pBdr/>
        <w:spacing w:after="119" w:before="120" w:line="360" w:lineRule="auto"/>
        <w:ind w:right="0" w:firstLine="720" w:left="0"/>
        <w:rPr>
          <w:rFonts w:ascii="Times New Roman" w:hAnsi="Times New Roman" w:eastAsia="Times New Roman" w:cs="Times New Roman"/>
          <w:b/>
          <w:bCs/>
          <w:color w:val="1f1f1f"/>
          <w:sz w:val="26"/>
          <w:szCs w:val="26"/>
        </w:rPr>
      </w:pPr>
      <w:r>
        <w:rPr>
          <w:rFonts w:ascii="Times New Roman" w:hAnsi="Times New Roman" w:eastAsia="Times New Roman" w:cs="Times New Roman"/>
          <w:b/>
          <w:bCs/>
          <w:color w:val="1f1f1f"/>
          <w:sz w:val="26"/>
          <w:szCs w:val="26"/>
        </w:rPr>
        <w:t xml:space="preserve">Mục đích và nhiệm vụ nghiên cứu:</w:t>
      </w:r>
      <w:r>
        <w:rPr>
          <w:rFonts w:ascii="Times New Roman" w:hAnsi="Times New Roman" w:eastAsia="Times New Roman" w:cs="Times New Roman"/>
          <w:b/>
          <w:bCs/>
          <w:color w:val="1f1f1f"/>
          <w:sz w:val="26"/>
          <w:szCs w:val="26"/>
        </w:rPr>
      </w:r>
      <w:r>
        <w:rPr>
          <w:rFonts w:ascii="Times New Roman" w:hAnsi="Times New Roman" w:eastAsia="Times New Roman" w:cs="Times New Roman"/>
          <w:b/>
          <w:bCs/>
          <w:color w:val="1f1f1f"/>
          <w:sz w:val="26"/>
          <w:szCs w:val="26"/>
        </w:rPr>
      </w:r>
    </w:p>
    <w:p w14:paraId="70C4BD98">
      <w:pPr>
        <w:suppressLineNumbers w:val="false"/>
        <w:pBdr/>
        <w:spacing w:after="119" w:before="120" w:line="360" w:lineRule="auto"/>
        <w:ind w:right="0" w:firstLine="720" w:left="0"/>
        <w:rPr>
          <w:rFonts w:ascii="Times New Roman" w:hAnsi="Times New Roman" w:eastAsia="Times New Roman" w:cs="Times New Roman"/>
          <w:color w:val="1f1f1f"/>
          <w:highlight w:val="none"/>
          <w14:ligatures w14:val="none"/>
        </w:rPr>
      </w:pPr>
      <w:r>
        <w:rPr>
          <w:rFonts w:ascii="Times New Roman" w:hAnsi="Times New Roman" w:eastAsia="Times New Roman" w:cs="Times New Roman"/>
          <w:color w:val="1f1f1f"/>
          <w:sz w:val="26"/>
          <w:szCs w:val="26"/>
          <w:highlight w:val="none"/>
        </w:rPr>
        <w:t xml:space="preserve">M</w:t>
      </w:r>
      <w:r>
        <w:rPr>
          <w:rFonts w:ascii="Times New Roman" w:hAnsi="Times New Roman" w:eastAsia="Times New Roman" w:cs="Times New Roman"/>
          <w:color w:val="1f1f1f"/>
          <w:sz w:val="26"/>
          <w:szCs w:val="26"/>
          <w:highlight w:val="none"/>
        </w:rPr>
        <w:t xml:space="preserve">ục đích của tiểu luận là làm rõ nội dung và giá trị của quan điểm Nhân – Quả trong Phật giáo, đồng thời vận dụng quan điểm này để phân tích thực trạng rủi ro an ninh mạng tại VNPT-IT Chi nhánh tỉnh Đồng Tháp, qua đó đề xuất một số giải pháp nhằm hạn chế rủ</w:t>
      </w:r>
      <w:r>
        <w:rPr>
          <w:rFonts w:ascii="Times New Roman" w:hAnsi="Times New Roman" w:eastAsia="Times New Roman" w:cs="Times New Roman"/>
          <w:color w:val="1f1f1f"/>
          <w:sz w:val="26"/>
          <w:szCs w:val="26"/>
          <w:highlight w:val="none"/>
        </w:rPr>
        <w:t xml:space="preserve">i ro an ninh mạng.</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highlight w:val="none"/>
          <w14:ligatures w14:val="none"/>
        </w:rPr>
      </w:r>
    </w:p>
    <w:p w14:paraId="11AFDEDA">
      <w:pPr>
        <w:suppressLineNumbers w:val="false"/>
        <w:pBdr/>
        <w:spacing w:after="119" w:before="120" w:line="360" w:lineRule="auto"/>
        <w:ind w:right="0" w:firstLine="720" w:left="0"/>
        <w:rPr>
          <w:rFonts w:ascii="Times New Roman" w:hAnsi="Times New Roman" w:eastAsia="Times New Roman" w:cs="Times New Roman"/>
          <w:color w:val="1f1f1f"/>
          <w:highlight w:val="none"/>
          <w14:ligatures w14:val="none"/>
        </w:rPr>
      </w:pPr>
      <w:r>
        <w:rPr>
          <w:rFonts w:ascii="Times New Roman" w:hAnsi="Times New Roman" w:eastAsia="Times New Roman" w:cs="Times New Roman"/>
          <w:color w:val="1f1f1f"/>
          <w:sz w:val="26"/>
          <w:szCs w:val="26"/>
          <w:highlight w:val="none"/>
        </w:rPr>
        <w:t xml:space="preserve">Để đạt được mục đích trên, tiểu luận tập trung thực hiện các nhiệm vụ nghiên cứu sau:</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highlight w:val="none"/>
          <w14:ligatures w14:val="none"/>
        </w:rPr>
      </w:r>
    </w:p>
    <w:p w14:paraId="6257ABD9">
      <w:pPr>
        <w:pStyle w:val="1087"/>
        <w:numPr>
          <w:ilvl w:val="0"/>
          <w:numId w:val="23"/>
        </w:numPr>
        <w:suppressLineNumbers w:val="false"/>
        <w:pBdr/>
        <w:spacing w:after="119" w:before="120" w:line="360" w:lineRule="auto"/>
        <w:ind w:right="0" w:firstLine="720" w:left="0"/>
        <w:rPr>
          <w:rFonts w:ascii="Times New Roman" w:hAnsi="Times New Roman" w:eastAsia="Times New Roman" w:cs="Times New Roman"/>
          <w:color w:val="1f1f1f"/>
          <w:highlight w:val="none"/>
          <w14:ligatures w14:val="none"/>
        </w:rPr>
      </w:pPr>
      <w:r>
        <w:rPr>
          <w:rFonts w:ascii="Times New Roman" w:hAnsi="Times New Roman" w:eastAsia="Times New Roman" w:cs="Times New Roman"/>
          <w:color w:val="1f1f1f"/>
          <w:sz w:val="26"/>
          <w:szCs w:val="26"/>
          <w:highlight w:val="none"/>
        </w:rPr>
        <w:t xml:space="preserve">Làm rõ điều kiện, tiền đề và nội dung cơ bản của quan điểm Nhân – Quả trong Phật giáo.</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highlight w:val="none"/>
          <w14:ligatures w14:val="none"/>
        </w:rPr>
      </w:r>
    </w:p>
    <w:p w14:paraId="632F960C">
      <w:pPr>
        <w:pStyle w:val="1087"/>
        <w:numPr>
          <w:ilvl w:val="0"/>
          <w:numId w:val="23"/>
        </w:numPr>
        <w:suppressLineNumbers w:val="false"/>
        <w:pBdr/>
        <w:spacing w:after="119" w:before="120" w:line="360" w:lineRule="auto"/>
        <w:ind w:right="0" w:firstLine="720" w:left="0"/>
        <w:rPr>
          <w:rFonts w:ascii="Times New Roman" w:hAnsi="Times New Roman" w:eastAsia="Times New Roman" w:cs="Times New Roman"/>
          <w:color w:val="1f1f1f"/>
          <w:highlight w:val="none"/>
          <w14:ligatures w14:val="none"/>
        </w:rPr>
      </w:pPr>
      <w:r>
        <w:rPr>
          <w:rFonts w:ascii="Times New Roman" w:hAnsi="Times New Roman" w:eastAsia="Times New Roman" w:cs="Times New Roman"/>
          <w:color w:val="1f1f1f"/>
          <w:sz w:val="26"/>
          <w:szCs w:val="26"/>
          <w:highlight w:val="none"/>
        </w:rPr>
        <w:t xml:space="preserve">Phân tích thực trạng rủi ro an ninh mạng tại VNPT-IT Chi nhánh tỉnh Đồng Tháp dưới góc nhìn Nhân – Quả.</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highlight w:val="none"/>
          <w14:ligatures w14:val="none"/>
        </w:rPr>
      </w:r>
    </w:p>
    <w:p>
      <w:pPr>
        <w:pStyle w:val="1087"/>
        <w:numPr>
          <w:ilvl w:val="0"/>
          <w:numId w:val="23"/>
        </w:numPr>
        <w:suppressLineNumbers w:val="false"/>
        <w:pBdr/>
        <w:spacing w:after="119" w:before="120" w:line="360" w:lineRule="auto"/>
        <w:ind w:right="0" w:firstLine="720" w:left="0"/>
        <w:rPr>
          <w:rFonts w:ascii="Times New Roman" w:hAnsi="Times New Roman" w:eastAsia="Times New Roman" w:cs="Times New Roman"/>
          <w:color w:val="1f1f1f"/>
          <w:sz w:val="26"/>
          <w:szCs w:val="26"/>
          <w:highlight w:val="none"/>
          <w14:ligatures w14:val="none"/>
        </w:rPr>
      </w:pPr>
      <w:r>
        <w:rPr>
          <w:rFonts w:ascii="Times New Roman" w:hAnsi="Times New Roman" w:eastAsia="Times New Roman" w:cs="Times New Roman"/>
          <w:color w:val="1f1f1f"/>
          <w:sz w:val="26"/>
          <w:szCs w:val="26"/>
          <w:highlight w:val="none"/>
        </w:rPr>
        <w:t xml:space="preserve">Đề xuất các giải pháp hạn chế rủi ro an ninh mạng theo tinh thần quan điểm Nhân – Quả của Phật giáo.</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highlight w:val="none"/>
          <w14:ligatures w14:val="none"/>
        </w:rPr>
      </w:r>
    </w:p>
    <w:p>
      <w:pPr>
        <w:numPr>
          <w:ilvl w:val="0"/>
          <w:numId w:val="4"/>
        </w:numPr>
        <w:suppressLineNumbers w:val="false"/>
        <w:pBdr/>
        <w:spacing w:after="119" w:before="120" w:line="360" w:lineRule="auto"/>
        <w:ind w:right="0" w:firstLine="720" w:left="0"/>
        <w:rPr>
          <w:rFonts w:ascii="Times New Roman" w:hAnsi="Times New Roman" w:eastAsia="Times New Roman" w:cs="Times New Roman"/>
          <w:b/>
          <w:bCs/>
          <w:color w:val="1f1f1f"/>
          <w:sz w:val="26"/>
          <w:szCs w:val="26"/>
        </w:rPr>
      </w:pPr>
      <w:r>
        <w:rPr>
          <w:rFonts w:ascii="Times New Roman" w:hAnsi="Times New Roman" w:eastAsia="Times New Roman" w:cs="Times New Roman"/>
          <w:b/>
          <w:bCs/>
          <w:color w:val="1f1f1f"/>
          <w:sz w:val="26"/>
          <w:szCs w:val="26"/>
        </w:rPr>
        <w:t xml:space="preserve">Đối tượng và phạm vi nghiên cứu:</w:t>
      </w:r>
      <w:r>
        <w:rPr>
          <w:rFonts w:ascii="Times New Roman" w:hAnsi="Times New Roman" w:eastAsia="Times New Roman" w:cs="Times New Roman"/>
          <w:b/>
          <w:bCs/>
          <w:color w:val="1f1f1f"/>
          <w:sz w:val="26"/>
          <w:szCs w:val="26"/>
        </w:rPr>
      </w:r>
      <w:r>
        <w:rPr>
          <w:rFonts w:ascii="Times New Roman" w:hAnsi="Times New Roman" w:eastAsia="Times New Roman" w:cs="Times New Roman"/>
          <w:b/>
          <w:bCs/>
          <w:color w:val="1f1f1f"/>
          <w:sz w:val="26"/>
          <w:szCs w:val="26"/>
        </w:rPr>
      </w:r>
    </w:p>
    <w:p w14:paraId="02F1D305">
      <w:pPr>
        <w:suppressLineNumbers w:val="false"/>
        <w:pBdr/>
        <w:spacing w:after="119" w:before="120" w:line="360" w:lineRule="auto"/>
        <w:ind w:right="0" w:firstLine="720" w:left="0"/>
        <w:rPr>
          <w:rFonts w:ascii="Times New Roman" w:hAnsi="Times New Roman" w:eastAsia="Times New Roman" w:cs="Times New Roman"/>
          <w:color w:val="1f1f1f"/>
          <w:highlight w:val="none"/>
          <w14:ligatures w14:val="none"/>
        </w:rPr>
      </w:pPr>
      <w:r>
        <w:rPr>
          <w:rFonts w:ascii="Times New Roman" w:hAnsi="Times New Roman" w:eastAsia="Times New Roman" w:cs="Times New Roman"/>
          <w:color w:val="1f1f1f"/>
          <w:sz w:val="26"/>
          <w:szCs w:val="26"/>
          <w:highlight w:val="none"/>
        </w:rPr>
        <w:t xml:space="preserve">Đối tượng nghiên cứu của tiểu luận là quan điểm Nhân – Quả trong Phật giáo và thực trạng rủi ro an ninh mạng tại VNPT-IT Chi nhánh tỉnh Đồng Tháp.</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highlight w:val="none"/>
          <w14:ligatures w14:val="none"/>
        </w:rPr>
      </w:r>
    </w:p>
    <w:p>
      <w:pPr>
        <w:suppressLineNumbers w:val="false"/>
        <w:pBdr/>
        <w:spacing w:after="119" w:before="120" w:line="360" w:lineRule="auto"/>
        <w:ind w:right="0" w:firstLine="720" w:left="0"/>
        <w:rPr>
          <w:rFonts w:ascii="Times New Roman" w:hAnsi="Times New Roman" w:eastAsia="Times New Roman" w:cs="Times New Roman"/>
          <w:color w:val="1f1f1f"/>
          <w:sz w:val="26"/>
          <w:szCs w:val="26"/>
          <w:highlight w:val="none"/>
          <w14:ligatures w14:val="none"/>
        </w:rPr>
      </w:pPr>
      <w:r>
        <w:rPr>
          <w:rFonts w:ascii="Times New Roman" w:hAnsi="Times New Roman" w:eastAsia="Times New Roman" w:cs="Times New Roman"/>
          <w:color w:val="1f1f1f"/>
          <w:sz w:val="26"/>
          <w:szCs w:val="26"/>
          <w:highlight w:val="none"/>
        </w:rPr>
        <w:t xml:space="preserve">Phạm vi nghiên cứu của tiểu luận tập trung vào việc phân tích những nội dung cơ bản của quan điểm Nhân – Quả trong Phật giáo và việc vận dụng quan điểm này trong phân tích, đề xuất giải pháp hạn chế rủi ro an ninh mạng tại VNPT-IT Chi nhánh tỉnh Đồng Tháp.</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highlight w:val="none"/>
          <w14:ligatures w14:val="none"/>
        </w:rPr>
      </w:r>
    </w:p>
    <w:p>
      <w:pPr>
        <w:numPr>
          <w:ilvl w:val="0"/>
          <w:numId w:val="4"/>
        </w:numPr>
        <w:suppressLineNumbers w:val="false"/>
        <w:pBdr/>
        <w:spacing w:after="119" w:before="120" w:line="360" w:lineRule="auto"/>
        <w:ind w:right="0" w:firstLine="720" w:left="0"/>
        <w:rPr/>
      </w:pPr>
      <w:r>
        <w:rPr>
          <w:rFonts w:ascii="Times New Roman" w:hAnsi="Times New Roman" w:eastAsia="Times New Roman" w:cs="Times New Roman"/>
          <w:b/>
          <w:bCs/>
          <w:color w:val="1f1f1f"/>
          <w:sz w:val="26"/>
          <w:szCs w:val="26"/>
        </w:rPr>
        <w:t xml:space="preserve">Phương pháp nghiên cứu:</w:t>
      </w:r>
      <w:r>
        <w:rPr>
          <w:rFonts w:ascii="Times New Roman" w:hAnsi="Times New Roman" w:eastAsia="Times New Roman" w:cs="Times New Roman"/>
          <w:color w:val="1f1f1f"/>
          <w:sz w:val="26"/>
          <w:szCs w:val="26"/>
        </w:rPr>
      </w:r>
      <w:r/>
    </w:p>
    <w:p w14:paraId="10923EE9">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highlight w:val="none"/>
        </w:rPr>
        <w:t xml:space="preserve">T</w:t>
      </w:r>
      <w:r>
        <w:rPr>
          <w:rFonts w:ascii="Times New Roman" w:hAnsi="Times New Roman" w:eastAsia="Times New Roman" w:cs="Times New Roman"/>
          <w:color w:val="1f1f1f"/>
          <w:sz w:val="26"/>
          <w:szCs w:val="26"/>
          <w:highlight w:val="none"/>
        </w:rPr>
        <w:t xml:space="preserve">iểu luận sử dụng các phương pháp nghiên cứu chủ yếu như phương pháp phân tích và tổng hợp nhằm làm rõ các vấn đề lý luận và thực tiễn; phương pháp lịch sử và logic </w:t>
      </w:r>
      <w:r>
        <w:rPr>
          <w:rFonts w:ascii="Times New Roman" w:hAnsi="Times New Roman" w:eastAsia="Times New Roman" w:cs="Times New Roman"/>
          <w:color w:val="1f1f1f"/>
          <w:sz w:val="26"/>
          <w:szCs w:val="26"/>
          <w:highlight w:val="none"/>
        </w:rPr>
        <w:t xml:space="preserve">(Bộ Giáo dục và Đào tạo, 2021)</w:t>
      </w:r>
      <w:r>
        <w:rPr>
          <w:rFonts w:ascii="Times New Roman" w:hAnsi="Times New Roman" w:eastAsia="Times New Roman" w:cs="Times New Roman"/>
          <w:color w:val="1f1f1f"/>
          <w:sz w:val="26"/>
          <w:szCs w:val="26"/>
          <w:highlight w:val="none"/>
        </w:rPr>
        <w:t xml:space="preserve"> để xem xét sự hình thành và phát triển của quan điểm Nhân – Quả trong Phật giáo; phương pháp</w:t>
      </w:r>
      <w:r>
        <w:rPr>
          <w:rFonts w:ascii="Times New Roman" w:hAnsi="Times New Roman" w:eastAsia="Times New Roman" w:cs="Times New Roman"/>
          <w:color w:val="1f1f1f"/>
          <w:sz w:val="26"/>
          <w:szCs w:val="26"/>
          <w:highlight w:val="none"/>
        </w:rPr>
        <w:t xml:space="preserve"> so sánh và liên hệ thực tiễn để vận dụng quan điểm Nhân – Quả vào phân tích rủi ro an ninh mạng tại đơn vị nghiên cứu.</w:t>
      </w:r>
      <w:r>
        <w:rPr>
          <w:rFonts w:ascii="Times New Roman" w:hAnsi="Times New Roman" w:eastAsia="Times New Roman" w:cs="Times New Roman"/>
          <w:color w:val="1f1f1f"/>
          <w:sz w:val="26"/>
          <w:szCs w:val="26"/>
          <w:highlight w:val="none"/>
        </w:rPr>
      </w:r>
      <w:r/>
    </w:p>
    <w:p>
      <w:pPr>
        <w:numPr>
          <w:ilvl w:val="0"/>
          <w:numId w:val="4"/>
        </w:numPr>
        <w:suppressLineNumbers w:val="false"/>
        <w:pBdr/>
        <w:spacing w:after="119" w:before="120" w:line="360" w:lineRule="auto"/>
        <w:ind w:right="0" w:firstLine="720" w:left="0"/>
        <w:rPr/>
      </w:pPr>
      <w:r>
        <w:rPr>
          <w:rFonts w:ascii="Times New Roman" w:hAnsi="Times New Roman" w:eastAsia="Times New Roman" w:cs="Times New Roman"/>
          <w:b/>
          <w:bCs/>
          <w:color w:val="1f1f1f"/>
          <w:sz w:val="26"/>
          <w:szCs w:val="26"/>
        </w:rPr>
        <w:t xml:space="preserve">Kết cấu của tiểu luận:</w:t>
      </w:r>
      <w:r>
        <w:rPr>
          <w:rFonts w:ascii="Times New Roman" w:hAnsi="Times New Roman" w:eastAsia="Times New Roman" w:cs="Times New Roman"/>
          <w:color w:val="1f1f1f"/>
          <w:sz w:val="26"/>
          <w:szCs w:val="26"/>
        </w:rPr>
      </w:r>
      <w:r/>
    </w:p>
    <w:p w14:paraId="04139582">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highlight w:val="none"/>
        </w:rPr>
        <w:t xml:space="preserve">N</w:t>
      </w:r>
      <w:r>
        <w:rPr>
          <w:rFonts w:ascii="Times New Roman" w:hAnsi="Times New Roman" w:eastAsia="Times New Roman" w:cs="Times New Roman"/>
          <w:color w:val="1f1f1f"/>
          <w:sz w:val="26"/>
          <w:szCs w:val="26"/>
          <w:highlight w:val="none"/>
        </w:rPr>
        <w:t xml:space="preserve">goài phần Mở đầu, Kết luận và Danh mục tài liệu tham khảo, nội dung của tiểu luận được kết cấu thành hai chương. Chương 1 trình bày điều kiện, tiền đề và nội dung cơ bản của quan điểm Nhân – Quả trong Phật giáo. Chương 2 phân tích thực trạng rủi ro an ninh</w:t>
      </w:r>
      <w:r>
        <w:rPr>
          <w:rFonts w:ascii="Times New Roman" w:hAnsi="Times New Roman" w:eastAsia="Times New Roman" w:cs="Times New Roman"/>
          <w:color w:val="1f1f1f"/>
          <w:sz w:val="26"/>
          <w:szCs w:val="26"/>
          <w:highlight w:val="none"/>
        </w:rPr>
        <w:t xml:space="preserve"> mạng tại VNPT-IT Chi nhánh tỉnh Đồng Tháp và đề xuất các giải pháp dựa trên quan điểm Nhân – Quả của Phật giáo.</w:t>
      </w:r>
      <w:r>
        <w:rPr>
          <w:highlight w:val="none"/>
        </w:rPr>
      </w:r>
      <w:bookmarkStart w:id="1" w:name="_6v119kv3hkue"/>
      <w:r>
        <w:rPr>
          <w:highlight w:val="none"/>
        </w:rPr>
      </w:r>
      <w:bookmarkStart w:id="2" w:name="_hu8m4mrndw2m"/>
      <w:r>
        <w:rPr>
          <w:highlight w:val="none"/>
        </w:rPr>
      </w:r>
      <w:bookmarkEnd w:id="1"/>
      <w:r>
        <w:rPr>
          <w:highlight w:val="none"/>
        </w:rPr>
      </w:r>
      <w:bookmarkEnd w:id="2"/>
      <w:r>
        <w:rPr>
          <w:highlight w:val="none"/>
        </w:rPr>
        <w:br w:type="page" w:clear="all"/>
      </w:r>
      <w:r>
        <w:rPr>
          <w:highlight w:val="none"/>
        </w:rPr>
      </w:r>
      <w:r/>
    </w:p>
    <w:p>
      <w:pPr>
        <w:pStyle w:val="1239"/>
        <w:suppressLineNumbers w:val="false"/>
        <w:pBdr/>
        <w:spacing w:after="119" w:before="120"/>
        <w:ind w:right="0" w:firstLine="720" w:left="0"/>
        <w:rPr>
          <w:highlight w:val="none"/>
          <w14:ligatures w14:val="none"/>
        </w:rPr>
      </w:pPr>
      <w:r/>
      <w:bookmarkStart w:id="11" w:name="_Toc3"/>
      <w:r>
        <w:t xml:space="preserve">ĐIỀU </w:t>
      </w:r>
      <w:r>
        <w:t xml:space="preserve">KIỆN, TIỀN ĐỀ VÀ NỘI DUNG CƠ BẢN </w:t>
      </w:r>
      <w:r>
        <w:t xml:space="preserve">TRONG</w:t>
      </w:r>
      <w:r>
        <w:t xml:space="preserve"> </w:t>
      </w:r>
      <w:bookmarkStart w:id="3" w:name="_GoBack"/>
      <w:r>
        <w:t xml:space="preserve">QUAN ĐIỂM NHÂN – QUẢ </w:t>
      </w:r>
      <w:r>
        <w:t xml:space="preserve">CỦA</w:t>
      </w:r>
      <w:r>
        <w:t xml:space="preserve"> PHẬT GIÁO</w:t>
      </w:r>
      <w:r>
        <w:t xml:space="preserve"> </w:t>
      </w:r>
      <w:bookmarkEnd w:id="3"/>
      <w:r/>
      <w:bookmarkEnd w:id="11"/>
      <w:r>
        <w:rPr>
          <w:highlight w:val="none"/>
        </w:rPr>
      </w:r>
      <w:r>
        <w:rPr>
          <w:highlight w:val="none"/>
          <w14:ligatures w14:val="none"/>
        </w:rPr>
      </w:r>
    </w:p>
    <w:p>
      <w:pPr>
        <w:pStyle w:val="1039"/>
        <w:numPr>
          <w:ilvl w:val="1"/>
          <w:numId w:val="29"/>
        </w:numPr>
        <w:suppressLineNumbers w:val="false"/>
        <w:pBdr/>
        <w:spacing w:after="119" w:before="120" w:line="360" w:lineRule="auto"/>
        <w:ind w:right="0" w:firstLine="720" w:left="0"/>
        <w:rPr>
          <w14:ligatures w14:val="none"/>
        </w:rPr>
      </w:pPr>
      <w:r/>
      <w:bookmarkStart w:id="12" w:name="_Toc4"/>
      <w:r>
        <w:t xml:space="preserve">Điều kiện, tiền đề hình thành </w:t>
      </w:r>
      <w:r>
        <w:t xml:space="preserve">quan điểm Nhân – Quả </w:t>
      </w:r>
      <w:r>
        <w:t xml:space="preserve">của</w:t>
      </w:r>
      <w:r>
        <w:t xml:space="preserve"> Phật giáo</w:t>
      </w:r>
      <w:r>
        <w:t xml:space="preserve"> </w:t>
      </w:r>
      <w:bookmarkEnd w:id="12"/>
      <w:r/>
      <w:r>
        <w:rPr>
          <w14:ligatures w14:val="none"/>
        </w:rPr>
      </w:r>
    </w:p>
    <w:p>
      <w:pPr>
        <w:pStyle w:val="1040"/>
        <w:suppressLineNumbers w:val="false"/>
        <w:pBdr/>
        <w:spacing w:after="119" w:before="120"/>
        <w:ind w:right="0" w:firstLine="720" w:left="0"/>
        <w:rPr>
          <w:rFonts w:ascii="Times New Roman" w:hAnsi="Times New Roman" w:cs="Times New Roman"/>
          <w:sz w:val="26"/>
          <w:szCs w:val="26"/>
        </w:rPr>
      </w:pPr>
      <w:r>
        <w:rPr>
          <w:rFonts w:ascii="Times New Roman" w:hAnsi="Times New Roman" w:cs="Times New Roman"/>
          <w:sz w:val="26"/>
          <w:szCs w:val="26"/>
        </w:rPr>
        <w:t xml:space="preserve">Điều kiện tự nhiên, kinh tế - xã hội Ấn Độ cổ đại – cơ sở thực tiễn hình thành </w:t>
      </w:r>
      <w:r>
        <w:rPr>
          <w:rFonts w:ascii="Times New Roman" w:hAnsi="Times New Roman" w:cs="Times New Roman"/>
          <w:b/>
          <w:sz w:val="26"/>
          <w:szCs w:val="26"/>
        </w:rPr>
        <w:t xml:space="preserve">quan điểm Nhân – Quả </w:t>
      </w:r>
      <w:r>
        <w:rPr>
          <w:rFonts w:ascii="Times New Roman" w:hAnsi="Times New Roman" w:cs="Times New Roman"/>
          <w:b/>
          <w:sz w:val="26"/>
          <w:szCs w:val="26"/>
        </w:rPr>
        <w:t xml:space="preserve">của</w:t>
      </w:r>
      <w:r>
        <w:rPr>
          <w:rFonts w:ascii="Times New Roman" w:hAnsi="Times New Roman" w:cs="Times New Roman"/>
          <w:b/>
          <w:sz w:val="26"/>
          <w:szCs w:val="26"/>
        </w:rPr>
        <w:t xml:space="preserve"> Phật giáo</w:t>
      </w:r>
      <w:r>
        <w:rPr>
          <w:rFonts w:ascii="Times New Roman" w:hAnsi="Times New Roman" w:cs="Times New Roman"/>
          <w:sz w:val="26"/>
          <w:szCs w:val="26"/>
        </w:rPr>
      </w:r>
      <w:r>
        <w:rPr>
          <w:rFonts w:ascii="Times New Roman" w:hAnsi="Times New Roman" w:cs="Times New Roman"/>
          <w:sz w:val="26"/>
          <w:szCs w:val="26"/>
        </w:rPr>
      </w:r>
    </w:p>
    <w:p w14:paraId="42C79EC0">
      <w:pPr>
        <w:suppressLineNumbers w:val="false"/>
        <w:pBdr/>
        <w:spacing w:after="119" w:before="120" w:line="360" w:lineRule="auto"/>
        <w:ind w:right="0" w:firstLine="720" w:left="0"/>
        <w:rPr/>
      </w:pPr>
      <w:r>
        <w:rPr>
          <w:rFonts w:ascii="Times New Roman" w:hAnsi="Times New Roman" w:cs="Times New Roman"/>
          <w:sz w:val="26"/>
          <w:szCs w:val="26"/>
        </w:rPr>
        <w:t xml:space="preserve">Q</w:t>
      </w:r>
      <w:r>
        <w:rPr>
          <w:rFonts w:ascii="Times New Roman" w:hAnsi="Times New Roman" w:cs="Times New Roman"/>
          <w:sz w:val="26"/>
          <w:szCs w:val="26"/>
        </w:rPr>
        <w:t xml:space="preserve">uan điểm Nhân – Quả của Phật giáo không phải là sản phẩm của tư duy siêu hình hay suy đoán trừu tượng thuần túy, mà được hình thành trên nền tảng những điều kiện lịch sử – xã hội cụ thể của Ấn Độ cổ đại vào khoảng thế kỷ VI trước Công nguyên </w:t>
      </w:r>
      <w:r>
        <w:rPr>
          <w:rFonts w:ascii="Times New Roman" w:hAnsi="Times New Roman" w:cs="Times New Roman"/>
          <w:sz w:val="26"/>
          <w:szCs w:val="26"/>
        </w:rPr>
        <w:t xml:space="preserve">(Doãn Chính, 2013)</w:t>
      </w:r>
      <w:r>
        <w:rPr>
          <w:rFonts w:ascii="Times New Roman" w:hAnsi="Times New Roman" w:cs="Times New Roman"/>
          <w:sz w:val="26"/>
          <w:szCs w:val="26"/>
        </w:rPr>
        <w:t xml:space="preserve">. Việc nhận thứ</w:t>
      </w:r>
      <w:r>
        <w:rPr>
          <w:rFonts w:ascii="Times New Roman" w:hAnsi="Times New Roman" w:cs="Times New Roman"/>
          <w:sz w:val="26"/>
          <w:szCs w:val="26"/>
        </w:rPr>
        <w:t xml:space="preserve">c rõ bối cảnh tự nhiên, kinh tế và xã hội của Ấn Độ cổ đại có ý nghĩa quan trọng trong việc lý giải vì sao Phật giáo lại xây dựng học thuyết Nhân – Quả như một nguyên lý trung tâm để giải thích thế giới và đời sống con người.</w:t>
      </w:r>
      <w:r>
        <w:rPr>
          <w:rFonts w:ascii="Times New Roman" w:hAnsi="Times New Roman" w:cs="Times New Roman"/>
          <w:sz w:val="26"/>
          <w:szCs w:val="26"/>
        </w:rPr>
      </w:r>
      <w:r/>
    </w:p>
    <w:p w14:paraId="1B0F98FC">
      <w:pPr>
        <w:suppressLineNumbers w:val="false"/>
        <w:pBdr/>
        <w:spacing w:after="119" w:before="120" w:line="360" w:lineRule="auto"/>
        <w:ind w:right="0" w:firstLine="720" w:left="0"/>
        <w:rPr/>
      </w:pPr>
      <w:r>
        <w:rPr>
          <w:rFonts w:ascii="Times New Roman" w:hAnsi="Times New Roman" w:cs="Times New Roman"/>
          <w:sz w:val="26"/>
          <w:szCs w:val="26"/>
        </w:rPr>
        <w:t xml:space="preserve">T</w:t>
      </w:r>
      <w:r>
        <w:rPr>
          <w:rFonts w:ascii="Times New Roman" w:hAnsi="Times New Roman" w:cs="Times New Roman"/>
          <w:sz w:val="26"/>
          <w:szCs w:val="26"/>
        </w:rPr>
        <w:t xml:space="preserve">rước hết, xét về điều kiện tự nhiên, Ấn Độ cổ đại là khu vực có địa hình và khí hậu hết sức đa dạng, phức tạp. Lãnh thổ Ấn Độ bao gồm các vùng đồng bằng màu mỡ ven sông Hằng và sông Ấn, xen kẽ với những khu vực rừng núi, cao nguyên và sa mạc rộng lớn. Khí </w:t>
      </w:r>
      <w:r>
        <w:rPr>
          <w:rFonts w:ascii="Times New Roman" w:hAnsi="Times New Roman" w:cs="Times New Roman"/>
          <w:sz w:val="26"/>
          <w:szCs w:val="26"/>
        </w:rPr>
        <w:t xml:space="preserve">h</w:t>
      </w:r>
      <w:r>
        <w:rPr>
          <w:rFonts w:ascii="Times New Roman" w:hAnsi="Times New Roman" w:cs="Times New Roman"/>
          <w:sz w:val="26"/>
          <w:szCs w:val="26"/>
        </w:rPr>
        <w:t xml:space="preserve">ậu nhiệt đới gió mùa với sự phân hóa rõ rệt giữa mùa mưa và mùa khô đã tạo nên những điều kiện sinh sống không ổn định, thường xuyên xảy ra hạn hán, lũ lụt và dịch bệnh. Những biến động khắc nghiệt của tự nhiên khiến đời sống vật chất của con người luôn bấ</w:t>
      </w:r>
      <w:r>
        <w:rPr>
          <w:rFonts w:ascii="Times New Roman" w:hAnsi="Times New Roman" w:cs="Times New Roman"/>
          <w:sz w:val="26"/>
          <w:szCs w:val="26"/>
        </w:rPr>
        <w:t xml:space="preserve">p bênh, phụ thuộc lớn vào các yếu tố ngoài tầm kiểm soát.</w:t>
      </w:r>
      <w:r>
        <w:rPr>
          <w:rFonts w:ascii="Times New Roman" w:hAnsi="Times New Roman" w:cs="Times New Roman"/>
          <w:sz w:val="26"/>
          <w:szCs w:val="26"/>
        </w:rPr>
      </w:r>
      <w:r/>
    </w:p>
    <w:p w14:paraId="2A0FE442">
      <w:pPr>
        <w:suppressLineNumbers w:val="false"/>
        <w:pBdr/>
        <w:spacing w:after="119" w:before="120" w:line="360" w:lineRule="auto"/>
        <w:ind w:right="0" w:firstLine="720" w:left="0"/>
        <w:rPr/>
      </w:pPr>
      <w:r>
        <w:rPr>
          <w:rFonts w:ascii="Times New Roman" w:hAnsi="Times New Roman" w:cs="Times New Roman"/>
          <w:sz w:val="26"/>
          <w:szCs w:val="26"/>
        </w:rPr>
        <w:t xml:space="preserve">C</w:t>
      </w:r>
      <w:r>
        <w:rPr>
          <w:rFonts w:ascii="Times New Roman" w:hAnsi="Times New Roman" w:cs="Times New Roman"/>
          <w:sz w:val="26"/>
          <w:szCs w:val="26"/>
        </w:rPr>
        <w:t xml:space="preserve">hính trong hoàn cảnh đó, con người Ấn Độ cổ đại sớm hình thành ý thức sâu sắc về sự vô thường của đời sống. Sự sống và cái chết, thịnh vượng và suy tàn diễn ra liên tục, khó dự đoán, khiến con người luôn phải đối mặt với nỗi lo âu và bất an thường trực. Đi</w:t>
      </w:r>
      <w:r>
        <w:rPr>
          <w:rFonts w:ascii="Times New Roman" w:hAnsi="Times New Roman" w:cs="Times New Roman"/>
          <w:sz w:val="26"/>
          <w:szCs w:val="26"/>
        </w:rPr>
        <w:t xml:space="preserve">ều này tạo tiền đề tâm lý – xã hội quan trọng cho việc hình thành những tư tưởng triết học mang tính hướng nội, tìm kiếm nguyên nhân của khổ đau không chỉ ở thế giới bên ngoài mà trong chính hành vi và nhận thức của con người </w:t>
      </w:r>
      <w:r>
        <w:rPr>
          <w:rFonts w:ascii="Times New Roman" w:hAnsi="Times New Roman" w:cs="Times New Roman"/>
          <w:sz w:val="26"/>
          <w:szCs w:val="26"/>
        </w:rPr>
        <w:t xml:space="preserve">(Lương Duy Thứ, 2000)</w:t>
      </w:r>
      <w:r>
        <w:rPr>
          <w:rFonts w:ascii="Times New Roman" w:hAnsi="Times New Roman" w:cs="Times New Roman"/>
          <w:sz w:val="26"/>
          <w:szCs w:val="26"/>
        </w:rPr>
      </w:r>
      <w:r>
        <w:rPr>
          <w:rFonts w:ascii="Times New Roman" w:hAnsi="Times New Roman" w:cs="Times New Roman"/>
          <w:sz w:val="26"/>
          <w:szCs w:val="26"/>
        </w:rPr>
        <w:t xml:space="preserve">.</w:t>
      </w:r>
      <w:r>
        <w:rPr>
          <w:rFonts w:ascii="Times New Roman" w:hAnsi="Times New Roman" w:cs="Times New Roman"/>
          <w:sz w:val="26"/>
          <w:szCs w:val="26"/>
        </w:rPr>
      </w:r>
      <w:r/>
    </w:p>
    <w:p w14:paraId="43327553">
      <w:pPr>
        <w:suppressLineNumbers w:val="false"/>
        <w:pBdr/>
        <w:spacing w:after="119" w:before="120" w:line="360" w:lineRule="auto"/>
        <w:ind w:right="0" w:firstLine="720" w:left="0"/>
        <w:rPr/>
      </w:pPr>
      <w:r>
        <w:rPr>
          <w:rFonts w:ascii="Times New Roman" w:hAnsi="Times New Roman" w:cs="Times New Roman"/>
          <w:sz w:val="26"/>
          <w:szCs w:val="26"/>
        </w:rPr>
        <w:t xml:space="preserve">V</w:t>
      </w:r>
      <w:r>
        <w:rPr>
          <w:rFonts w:ascii="Times New Roman" w:hAnsi="Times New Roman" w:cs="Times New Roman"/>
          <w:sz w:val="26"/>
          <w:szCs w:val="26"/>
        </w:rPr>
        <w:t xml:space="preserve">ề phương diện kinh tế – xã hội, xã hội Ấn Độ cổ đại bị chi phối mạnh mẽ bởi chế độ đẳng cấp (varna), được Bàlamôn giáo thần thánh hóa và bảo vệ bằng quyền lực tôn giáo. Con người sinh ra đã bị gắn chặt với một đẳng cấp nhất định, từ đó bị giới hạn nghiêm n</w:t>
      </w:r>
      <w:r>
        <w:rPr>
          <w:rFonts w:ascii="Times New Roman" w:hAnsi="Times New Roman" w:cs="Times New Roman"/>
          <w:sz w:val="26"/>
          <w:szCs w:val="26"/>
        </w:rPr>
        <w:t xml:space="preserve">gặt về quyền lợi, nghĩa vụ và cơ hội trong đời sống xã hội. Sự phân biệt đẳng cấp không chỉ tạo nên bất công kinh tế mà còn gây ra sự khổ đau tinh thần sâu sắc, khi con người bị tước đoạt khả năng tự quyết định số phận của chính mình.</w:t>
      </w:r>
      <w:r>
        <w:rPr>
          <w:rFonts w:ascii="Times New Roman" w:hAnsi="Times New Roman" w:cs="Times New Roman"/>
          <w:sz w:val="26"/>
          <w:szCs w:val="26"/>
        </w:rPr>
      </w:r>
      <w:r/>
    </w:p>
    <w:p w14:paraId="6578EF4B">
      <w:pPr>
        <w:suppressLineNumbers w:val="false"/>
        <w:pBdr/>
        <w:spacing w:after="119" w:before="120" w:line="360" w:lineRule="auto"/>
        <w:ind w:right="0" w:firstLine="720" w:left="0"/>
        <w:rPr/>
      </w:pPr>
      <w:r>
        <w:rPr>
          <w:rFonts w:ascii="Times New Roman" w:hAnsi="Times New Roman" w:cs="Times New Roman"/>
          <w:sz w:val="26"/>
          <w:szCs w:val="26"/>
        </w:rPr>
        <w:t xml:space="preserve">T</w:t>
      </w:r>
      <w:r>
        <w:rPr>
          <w:rFonts w:ascii="Times New Roman" w:hAnsi="Times New Roman" w:cs="Times New Roman"/>
          <w:sz w:val="26"/>
          <w:szCs w:val="26"/>
        </w:rPr>
        <w:t xml:space="preserve">rong bối cảnh xã hội ấy, những quan niệm truyền thống cho rằng số phận con người do thần linh an bài hoặc do nghiệp tiền định từ các kiếp trước ngày càng bộc lộ sự bất cập. Chúng không giải thích được vì sao con người phải chịu khổ đau kéo dài, cũng không </w:t>
      </w:r>
      <w:r>
        <w:rPr>
          <w:rFonts w:ascii="Times New Roman" w:hAnsi="Times New Roman" w:cs="Times New Roman"/>
          <w:sz w:val="26"/>
          <w:szCs w:val="26"/>
        </w:rPr>
        <w:t xml:space="preserve">c</w:t>
      </w:r>
      <w:r>
        <w:rPr>
          <w:rFonts w:ascii="Times New Roman" w:hAnsi="Times New Roman" w:cs="Times New Roman"/>
          <w:sz w:val="26"/>
          <w:szCs w:val="26"/>
        </w:rPr>
        <w:t xml:space="preserve">hỉ ra con đường cụ thể để con người tự cải biến hoàn cảnh sống của mình. Chính sự bế tắc về mặt tinh thần này đã tạo điều kiện cho sự xuất hiện của Phật giáo như một học thuyết triết học – nhân sinh mới, đặt trọng tâm vào trách nhiệm và hành vi của con ngư</w:t>
      </w:r>
      <w:r>
        <w:rPr>
          <w:rFonts w:ascii="Times New Roman" w:hAnsi="Times New Roman" w:cs="Times New Roman"/>
          <w:sz w:val="26"/>
          <w:szCs w:val="26"/>
        </w:rPr>
        <w:t xml:space="preserve">ời.</w:t>
      </w:r>
      <w:r>
        <w:rPr>
          <w:rFonts w:ascii="Times New Roman" w:hAnsi="Times New Roman" w:cs="Times New Roman"/>
          <w:sz w:val="26"/>
          <w:szCs w:val="26"/>
        </w:rPr>
      </w:r>
      <w:r/>
    </w:p>
    <w:p w14:paraId="4154A5EA">
      <w:pPr>
        <w:suppressLineNumbers w:val="false"/>
        <w:pBdr/>
        <w:spacing w:after="119" w:before="120" w:line="360" w:lineRule="auto"/>
        <w:ind w:right="0" w:firstLine="720" w:left="0"/>
        <w:rPr>
          <w:rFonts w:ascii="Times New Roman" w:hAnsi="Times New Roman" w:cs="Times New Roman"/>
          <w:sz w:val="26"/>
          <w:szCs w:val="26"/>
          <w:highlight w:val="none"/>
        </w:rPr>
      </w:pPr>
      <w:r>
        <w:rPr>
          <w:rFonts w:ascii="Times New Roman" w:hAnsi="Times New Roman" w:cs="Times New Roman"/>
          <w:sz w:val="26"/>
          <w:szCs w:val="26"/>
        </w:rPr>
        <w:t xml:space="preserve">P</w:t>
      </w:r>
      <w:r>
        <w:rPr>
          <w:rFonts w:ascii="Times New Roman" w:hAnsi="Times New Roman" w:cs="Times New Roman"/>
          <w:sz w:val="26"/>
          <w:szCs w:val="26"/>
        </w:rPr>
        <w:t xml:space="preserve">hật giáo ra đời trong bối cảnh đó đã đưa ra một cách lý giải mang tính đột phá: khổ đau không phải do thần linh hay định mệnh áp đặt, mà là kết quả của chính hành vi con người trong mối quan hệ Nhân – Quả. Mỗi hành động, lời nói và ý nghĩ đều được xem là m</w:t>
      </w:r>
      <w:r>
        <w:rPr>
          <w:rFonts w:ascii="Times New Roman" w:hAnsi="Times New Roman" w:cs="Times New Roman"/>
          <w:sz w:val="26"/>
          <w:szCs w:val="26"/>
        </w:rPr>
        <w:t xml:space="preserve">ộ</w:t>
      </w:r>
      <w:r>
        <w:rPr>
          <w:rFonts w:ascii="Times New Roman" w:hAnsi="Times New Roman" w:cs="Times New Roman"/>
          <w:sz w:val="26"/>
          <w:szCs w:val="26"/>
        </w:rPr>
        <w:t xml:space="preserve">t “Nhân”, và tất yếu sẽ dẫn đến những “Quả” tương ứng khi hội đủ các điều kiện cần thiết. Cách tiếp cận này không chỉ giải thích nguồn gốc của khổ đau một cách hợp lý, mà còn mở ra khả năng giải thoát cho con người thông qua việc thay đổi hành vi và nhận t</w:t>
      </w:r>
      <w:r>
        <w:rPr>
          <w:rFonts w:ascii="Times New Roman" w:hAnsi="Times New Roman" w:cs="Times New Roman"/>
          <w:sz w:val="26"/>
          <w:szCs w:val="26"/>
        </w:rPr>
        <w:t xml:space="preserve">hức của chính mình.</w:t>
      </w:r>
      <w:r>
        <w:rPr>
          <w:rFonts w:ascii="Times New Roman" w:hAnsi="Times New Roman" w:cs="Times New Roman"/>
          <w:sz w:val="26"/>
          <w:szCs w:val="26"/>
        </w:rPr>
      </w:r>
      <w:r>
        <w:rPr>
          <w:rFonts w:ascii="Times New Roman" w:hAnsi="Times New Roman" w:cs="Times New Roman"/>
          <w:sz w:val="26"/>
          <w:szCs w:val="26"/>
          <w:highlight w:val="none"/>
        </w:rPr>
      </w:r>
    </w:p>
    <w:p w14:paraId="501AE609">
      <w:pPr>
        <w:suppressLineNumbers w:val="false"/>
        <w:pBdr/>
        <w:spacing w:after="119" w:before="120" w:line="360" w:lineRule="auto"/>
        <w:ind w:right="0" w:firstLine="720" w:left="0"/>
        <w:rPr/>
      </w:pPr>
      <w:r>
        <w:rPr>
          <w:rFonts w:ascii="Times New Roman" w:hAnsi="Times New Roman" w:cs="Times New Roman"/>
          <w:sz w:val="26"/>
          <w:szCs w:val="26"/>
          <w:highlight w:val="none"/>
        </w:rPr>
        <w:t xml:space="preserve">B</w:t>
      </w:r>
      <w:r>
        <w:rPr>
          <w:rFonts w:ascii="Times New Roman" w:hAnsi="Times New Roman" w:cs="Times New Roman"/>
          <w:sz w:val="26"/>
          <w:szCs w:val="26"/>
          <w:highlight w:val="none"/>
        </w:rPr>
        <w:t xml:space="preserve">ên cạnh những tác động từ điều kiện tự nhiên, yếu tố có ảnh hưởng sâu sắc và trực tiếp hơn đến sự hình thành quan điểm Nhân – Quả của Phật giáo chính là kết cấu kinh tế – xã hội đặc thù của Ấn Độ cổ đại, đặc biệt là chế độ đẳng cấp được thiết lập và duy tr</w:t>
      </w:r>
      <w:r>
        <w:rPr>
          <w:rFonts w:ascii="Times New Roman" w:hAnsi="Times New Roman" w:cs="Times New Roman"/>
          <w:sz w:val="26"/>
          <w:szCs w:val="26"/>
          <w:highlight w:val="none"/>
        </w:rPr>
        <w:t xml:space="preserve">ì trong thời gian dài. Chế độ đẳng cấp không chỉ quy định địa vị xã hội của con người, mà còn chi phối mạnh mẽ đời sống tinh thần, tư duy và cách con người lý giải nguyên nhân của khổ đau trong cuộc sống.</w:t>
      </w:r>
      <w:r>
        <w:rPr>
          <w:rFonts w:ascii="Times New Roman" w:hAnsi="Times New Roman" w:cs="Times New Roman"/>
          <w:sz w:val="26"/>
          <w:szCs w:val="26"/>
          <w:highlight w:val="none"/>
        </w:rPr>
      </w:r>
      <w:r/>
    </w:p>
    <w:p w14:paraId="3DEC12AB">
      <w:pPr>
        <w:suppressLineNumbers w:val="false"/>
        <w:pBdr/>
        <w:spacing w:after="119" w:before="120" w:line="360" w:lineRule="auto"/>
        <w:ind w:right="0" w:firstLine="720" w:left="0"/>
        <w:rPr/>
      </w:pPr>
      <w:r>
        <w:rPr>
          <w:rFonts w:ascii="Times New Roman" w:hAnsi="Times New Roman" w:cs="Times New Roman"/>
          <w:sz w:val="26"/>
          <w:szCs w:val="26"/>
          <w:highlight w:val="none"/>
        </w:rPr>
        <w:t xml:space="preserve">T</w:t>
      </w:r>
      <w:r>
        <w:rPr>
          <w:rFonts w:ascii="Times New Roman" w:hAnsi="Times New Roman" w:cs="Times New Roman"/>
          <w:sz w:val="26"/>
          <w:szCs w:val="26"/>
          <w:highlight w:val="none"/>
        </w:rPr>
        <w:t xml:space="preserve">heo quan niệm truyền thống của Bàlamôn giáo, xã hội Ấn Độ được chia thành bốn đẳng cấp cơ bản: Bàlamôn (tăng lữ), Sát-đế-lỵ (quý tộc, chiến binh), Phệ-xá (thương nhân, nông dân tự do) và Thủ-đà-la (nô lệ, lao dịch). Sự phân chia này được xem là trật tự thi</w:t>
      </w:r>
      <w:r>
        <w:rPr>
          <w:rFonts w:ascii="Times New Roman" w:hAnsi="Times New Roman" w:cs="Times New Roman"/>
          <w:sz w:val="26"/>
          <w:szCs w:val="26"/>
          <w:highlight w:val="none"/>
        </w:rPr>
        <w:t xml:space="preserve">ê</w:t>
      </w:r>
      <w:r>
        <w:rPr>
          <w:rFonts w:ascii="Times New Roman" w:hAnsi="Times New Roman" w:cs="Times New Roman"/>
          <w:sz w:val="26"/>
          <w:szCs w:val="26"/>
          <w:highlight w:val="none"/>
        </w:rPr>
        <w:t xml:space="preserve">ng liêng do thần linh sắp đặt, không thể thay đổi. Con người sinh ra thuộc đẳng cấp nào thì phải chấp nhận địa vị đó suốt đời, bất kể năng lực, phẩm chất hay khát vọng cá nhân. Chính sự “đóng kín” của kết cấu xã hội này đã tước đoạt khả năng tự quyết định </w:t>
      </w:r>
      <w:r>
        <w:rPr>
          <w:rFonts w:ascii="Times New Roman" w:hAnsi="Times New Roman" w:cs="Times New Roman"/>
          <w:sz w:val="26"/>
          <w:szCs w:val="26"/>
          <w:highlight w:val="none"/>
        </w:rPr>
        <w:t xml:space="preserve">số phận của con người, khiến khổ đau trở thành trạng thái tồn tại thường trực </w:t>
      </w:r>
      <w:r>
        <w:rPr>
          <w:rFonts w:ascii="Times New Roman" w:hAnsi="Times New Roman" w:cs="Times New Roman"/>
          <w:sz w:val="26"/>
          <w:szCs w:val="26"/>
          <w:highlight w:val="none"/>
        </w:rPr>
        <w:t xml:space="preserve">(Bộ Giáo dục và Đào tạo, 2022).</w:t>
      </w:r>
      <w:r>
        <w:rPr>
          <w:rFonts w:ascii="Times New Roman" w:hAnsi="Times New Roman" w:cs="Times New Roman"/>
          <w:sz w:val="26"/>
          <w:szCs w:val="26"/>
          <w:highlight w:val="none"/>
        </w:rPr>
      </w:r>
      <w:r/>
    </w:p>
    <w:p w14:paraId="6A61178A">
      <w:pPr>
        <w:suppressLineNumbers w:val="false"/>
        <w:pBdr/>
        <w:spacing w:after="119" w:before="120" w:line="360" w:lineRule="auto"/>
        <w:ind w:right="0" w:firstLine="720" w:left="0"/>
        <w:rPr/>
      </w:pPr>
      <w:r>
        <w:rPr>
          <w:rFonts w:ascii="Times New Roman" w:hAnsi="Times New Roman" w:cs="Times New Roman"/>
          <w:sz w:val="26"/>
          <w:szCs w:val="26"/>
          <w:highlight w:val="none"/>
        </w:rPr>
        <w:t xml:space="preserve">T</w:t>
      </w:r>
      <w:r>
        <w:rPr>
          <w:rFonts w:ascii="Times New Roman" w:hAnsi="Times New Roman" w:cs="Times New Roman"/>
          <w:sz w:val="26"/>
          <w:szCs w:val="26"/>
          <w:highlight w:val="none"/>
        </w:rPr>
        <w:t xml:space="preserve">rong bối cảnh đó, các quan niệm truyền thống về nguyên nhân của khổ đau ngày càng bộc lộ tính bất cập. Khi mọi bất công xã hội đều được giải thích bằng ý chí của thần linh hoặc nghiệp tiền định từ kiếp trước, con người bị đẩy vào trạng thái cam chịu, thụ đ</w:t>
      </w:r>
      <w:r>
        <w:rPr>
          <w:rFonts w:ascii="Times New Roman" w:hAnsi="Times New Roman" w:cs="Times New Roman"/>
          <w:sz w:val="26"/>
          <w:szCs w:val="26"/>
          <w:highlight w:val="none"/>
        </w:rPr>
        <w:t xml:space="preserve">ộng và an phận. Cách lý giải này không chỉ làm tê liệt ý chí cải biến hoàn cảnh sống, mà còn củng cố quyền lực của tầng lớp thống trị, duy trì trật tự xã hội bất công trong thời gian dài.</w:t>
      </w:r>
      <w:r>
        <w:rPr>
          <w:rFonts w:ascii="Times New Roman" w:hAnsi="Times New Roman" w:cs="Times New Roman"/>
          <w:sz w:val="26"/>
          <w:szCs w:val="26"/>
          <w:highlight w:val="none"/>
        </w:rPr>
      </w:r>
      <w:r/>
    </w:p>
    <w:p w14:paraId="069994AB">
      <w:pPr>
        <w:suppressLineNumbers w:val="false"/>
        <w:pBdr/>
        <w:spacing w:after="119" w:before="120" w:line="360" w:lineRule="auto"/>
        <w:ind w:right="0" w:firstLine="720" w:left="0"/>
        <w:rPr/>
      </w:pPr>
      <w:r>
        <w:rPr>
          <w:rFonts w:ascii="Times New Roman" w:hAnsi="Times New Roman" w:cs="Times New Roman"/>
          <w:sz w:val="26"/>
          <w:szCs w:val="26"/>
          <w:highlight w:val="none"/>
        </w:rPr>
        <w:t xml:space="preserve">P</w:t>
      </w:r>
      <w:r>
        <w:rPr>
          <w:rFonts w:ascii="Times New Roman" w:hAnsi="Times New Roman" w:cs="Times New Roman"/>
          <w:sz w:val="26"/>
          <w:szCs w:val="26"/>
          <w:highlight w:val="none"/>
        </w:rPr>
        <w:t xml:space="preserve">hật giáo xuất hiện trong bối cảnh xã hội ấy đã đưa ra một cách tiếp cận hoàn toàn khác. Thay vì chấp nhận trật tự xã hội như một định mệnh bất biến, Phật giáo đặt trọng tâm vào hành vi và nhận thức của con người trong đời sống hiện tại. Quan điểm Nhân – Qu</w:t>
      </w:r>
      <w:r>
        <w:rPr>
          <w:rFonts w:ascii="Times New Roman" w:hAnsi="Times New Roman" w:cs="Times New Roman"/>
          <w:sz w:val="26"/>
          <w:szCs w:val="26"/>
          <w:highlight w:val="none"/>
        </w:rPr>
        <w:t xml:space="preserve">ả của Phật giáo khẳng định rằng khổ đau không phải là kết quả của ý chí thần linh hay số phận tiền định, mà là hệ quả tất yếu của những hành vi sai lầm do vô minh, tham lam và chấp trước của con người </w:t>
      </w:r>
      <w:r>
        <w:rPr>
          <w:rFonts w:ascii="Times New Roman" w:hAnsi="Times New Roman" w:cs="Times New Roman"/>
          <w:sz w:val="26"/>
          <w:szCs w:val="26"/>
          <w:highlight w:val="none"/>
        </w:rPr>
        <w:t xml:space="preserve">(Conze, 1962)</w:t>
      </w:r>
      <w:r>
        <w:rPr>
          <w:rFonts w:ascii="Times New Roman" w:hAnsi="Times New Roman" w:cs="Times New Roman"/>
          <w:sz w:val="26"/>
          <w:szCs w:val="26"/>
          <w:highlight w:val="none"/>
        </w:rPr>
        <w:t xml:space="preserve">. Cách lý giải này đã làm thay đổi căn bản cách con người</w:t>
      </w:r>
      <w:r>
        <w:rPr>
          <w:rFonts w:ascii="Times New Roman" w:hAnsi="Times New Roman" w:cs="Times New Roman"/>
          <w:sz w:val="26"/>
          <w:szCs w:val="26"/>
          <w:highlight w:val="none"/>
        </w:rPr>
        <w:t xml:space="preserve"> nhận thức về nguyên nhân của khổ đau, đồng thời mở ra khả năng giải thoát thông qua việc cải biến chính mình.</w:t>
      </w:r>
      <w:r>
        <w:rPr>
          <w:rFonts w:ascii="Times New Roman" w:hAnsi="Times New Roman" w:cs="Times New Roman"/>
          <w:sz w:val="26"/>
          <w:szCs w:val="26"/>
          <w:highlight w:val="none"/>
        </w:rPr>
      </w:r>
      <w:r/>
    </w:p>
    <w:p w14:paraId="5BC91AC4">
      <w:pPr>
        <w:suppressLineNumbers w:val="false"/>
        <w:pBdr/>
        <w:spacing w:after="119" w:before="120" w:line="360" w:lineRule="auto"/>
        <w:ind w:right="0" w:firstLine="720" w:left="0"/>
        <w:rPr/>
      </w:pPr>
      <w:r>
        <w:rPr>
          <w:rFonts w:ascii="Times New Roman" w:hAnsi="Times New Roman" w:cs="Times New Roman"/>
          <w:sz w:val="26"/>
          <w:szCs w:val="26"/>
          <w:highlight w:val="none"/>
        </w:rPr>
        <w:t xml:space="preserve">M</w:t>
      </w:r>
      <w:r>
        <w:rPr>
          <w:rFonts w:ascii="Times New Roman" w:hAnsi="Times New Roman" w:cs="Times New Roman"/>
          <w:sz w:val="26"/>
          <w:szCs w:val="26"/>
          <w:highlight w:val="none"/>
        </w:rPr>
        <w:t xml:space="preserve">ột điểm tiến bộ đặc biệt trong quan điểm Nhân – Quả của Phật giáo là việc gắn trách nhiệm của con người với hành vi cụ thể trong đời sống hàng ngày. Thay vì quy nguyên nhân của khổ đau cho các yếu tố siêu nhiên, Phật giáo cho rằng mỗi suy nghĩ, lời nói và </w:t>
      </w:r>
      <w:r>
        <w:rPr>
          <w:rFonts w:ascii="Times New Roman" w:hAnsi="Times New Roman" w:cs="Times New Roman"/>
          <w:sz w:val="26"/>
          <w:szCs w:val="26"/>
          <w:highlight w:val="none"/>
        </w:rPr>
        <w:t xml:space="preserve">h</w:t>
      </w:r>
      <w:r>
        <w:rPr>
          <w:rFonts w:ascii="Times New Roman" w:hAnsi="Times New Roman" w:cs="Times New Roman"/>
          <w:sz w:val="26"/>
          <w:szCs w:val="26"/>
          <w:highlight w:val="none"/>
        </w:rPr>
        <w:t xml:space="preserve">ành động đều góp phần tạo nên hoàn cảnh sống của con người. Nhân không phải là điều trừu tượng, mà chính là những hành vi cụ thể, có thể quan sát và kiểm soát. Chính vì vậy, con người không còn là nạn nhân thụ động của số phận, mà trở thành chủ thể có khả </w:t>
      </w:r>
      <w:r>
        <w:rPr>
          <w:rFonts w:ascii="Times New Roman" w:hAnsi="Times New Roman" w:cs="Times New Roman"/>
          <w:sz w:val="26"/>
          <w:szCs w:val="26"/>
          <w:highlight w:val="none"/>
        </w:rPr>
        <w:t xml:space="preserve">năng tạo ra sự thay đổi.</w:t>
      </w:r>
      <w:r>
        <w:rPr>
          <w:rFonts w:ascii="Times New Roman" w:hAnsi="Times New Roman" w:cs="Times New Roman"/>
          <w:sz w:val="26"/>
          <w:szCs w:val="26"/>
          <w:highlight w:val="none"/>
        </w:rPr>
      </w:r>
      <w:r/>
    </w:p>
    <w:p w14:paraId="639A8185">
      <w:pPr>
        <w:suppressLineNumbers w:val="false"/>
        <w:pBdr/>
        <w:spacing w:after="119" w:before="120" w:line="360" w:lineRule="auto"/>
        <w:ind w:right="0" w:firstLine="720" w:left="0"/>
        <w:rPr/>
      </w:pPr>
      <w:r>
        <w:rPr>
          <w:rFonts w:ascii="Times New Roman" w:hAnsi="Times New Roman" w:cs="Times New Roman"/>
          <w:sz w:val="26"/>
          <w:szCs w:val="26"/>
          <w:highlight w:val="none"/>
        </w:rPr>
        <w:t xml:space="preserve">T</w:t>
      </w:r>
      <w:r>
        <w:rPr>
          <w:rFonts w:ascii="Times New Roman" w:hAnsi="Times New Roman" w:cs="Times New Roman"/>
          <w:sz w:val="26"/>
          <w:szCs w:val="26"/>
          <w:highlight w:val="none"/>
        </w:rPr>
        <w:t xml:space="preserve">ừ góc độ xã hội, quan điểm Nhân – Quả của Phật giáo còn mang ý nghĩa phê phán sâu sắc đối với chế độ đẳng cấp. Khi khẳng định rằng mọi con người đều chịu sự chi phối của cùng một quy luật Nhân – Quả, Phật giáo đã gián tiếp phủ nhận tính thiêng liêng và bất</w:t>
      </w:r>
      <w:r>
        <w:rPr>
          <w:rFonts w:ascii="Times New Roman" w:hAnsi="Times New Roman" w:cs="Times New Roman"/>
          <w:sz w:val="26"/>
          <w:szCs w:val="26"/>
          <w:highlight w:val="none"/>
        </w:rPr>
        <w:t xml:space="preserve"> </w:t>
      </w:r>
      <w:r>
        <w:rPr>
          <w:rFonts w:ascii="Times New Roman" w:hAnsi="Times New Roman" w:cs="Times New Roman"/>
          <w:sz w:val="26"/>
          <w:szCs w:val="26"/>
          <w:highlight w:val="none"/>
        </w:rPr>
        <w:t xml:space="preserve">biến của trật tự đẳng cấp</w:t>
      </w:r>
      <w:r>
        <w:rPr>
          <w:rFonts w:ascii="Times New Roman" w:hAnsi="Times New Roman" w:cs="Times New Roman"/>
          <w:sz w:val="26"/>
          <w:szCs w:val="26"/>
          <w:highlight w:val="none"/>
        </w:rPr>
        <w:t xml:space="preserve"> (Nguyễn Đăng Thục, 2007)</w:t>
      </w:r>
      <w:r>
        <w:rPr>
          <w:rFonts w:ascii="Times New Roman" w:hAnsi="Times New Roman" w:cs="Times New Roman"/>
          <w:sz w:val="26"/>
          <w:szCs w:val="26"/>
          <w:highlight w:val="none"/>
        </w:rPr>
        <w:t xml:space="preserve">. Khổ đau không phải là đặc quyền hay số phận riêng của một đẳng cấp nào, mà là trạng thái chung của con người khi bị chi phối bởi vô minh và dục vọng. Đồng thời, khả năng giải thoát cũng không bị giới hạn bởi nguồn gốc xã hội, mà </w:t>
      </w:r>
      <w:r>
        <w:rPr>
          <w:rFonts w:ascii="Times New Roman" w:hAnsi="Times New Roman" w:cs="Times New Roman"/>
          <w:sz w:val="26"/>
          <w:szCs w:val="26"/>
          <w:highlight w:val="none"/>
        </w:rPr>
        <w:t xml:space="preserve">phụ thuộc vào nhận thức và hành vi của mỗi cá nhân.</w:t>
      </w:r>
      <w:r>
        <w:rPr>
          <w:rFonts w:ascii="Times New Roman" w:hAnsi="Times New Roman" w:cs="Times New Roman"/>
          <w:sz w:val="26"/>
          <w:szCs w:val="26"/>
          <w:highlight w:val="none"/>
        </w:rPr>
      </w:r>
      <w:r/>
    </w:p>
    <w:p w14:paraId="11CEAFE6">
      <w:pPr>
        <w:suppressLineNumbers w:val="false"/>
        <w:pBdr/>
        <w:spacing w:after="119" w:before="120" w:line="360" w:lineRule="auto"/>
        <w:ind w:right="0" w:firstLine="720" w:left="0"/>
        <w:rPr/>
      </w:pPr>
      <w:r>
        <w:rPr>
          <w:rFonts w:ascii="Times New Roman" w:hAnsi="Times New Roman" w:cs="Times New Roman"/>
          <w:sz w:val="26"/>
          <w:szCs w:val="26"/>
          <w:highlight w:val="none"/>
        </w:rPr>
        <w:t xml:space="preserve">N</w:t>
      </w:r>
      <w:r>
        <w:rPr>
          <w:rFonts w:ascii="Times New Roman" w:hAnsi="Times New Roman" w:cs="Times New Roman"/>
          <w:sz w:val="26"/>
          <w:szCs w:val="26"/>
          <w:highlight w:val="none"/>
        </w:rPr>
        <w:t xml:space="preserve">goài ra, sự phát triển của kinh tế hàng hóa và giao lưu xã hội trong giai đoạn này cũng góp phần làm lung lay những quan niệm truyền thống về số phận và trật tự xã hội. Khi con người ngày càng tiếp xúc với nhiều hoàn cảnh sống khác nhau, những bất công xã </w:t>
      </w:r>
      <w:r>
        <w:rPr>
          <w:rFonts w:ascii="Times New Roman" w:hAnsi="Times New Roman" w:cs="Times New Roman"/>
          <w:sz w:val="26"/>
          <w:szCs w:val="26"/>
          <w:highlight w:val="none"/>
        </w:rPr>
        <w:t xml:space="preserve">h</w:t>
      </w:r>
      <w:r>
        <w:rPr>
          <w:rFonts w:ascii="Times New Roman" w:hAnsi="Times New Roman" w:cs="Times New Roman"/>
          <w:sz w:val="26"/>
          <w:szCs w:val="26"/>
          <w:highlight w:val="none"/>
        </w:rPr>
        <w:t xml:space="preserve">ội trở nên rõ ràng hơn, đòi hỏi phải có một hệ tư tưởng mới để lý giải và định hướng hành động. Phật giáo, với quan điểm Nhân – Quả mang tính nhân sinh và thực tiễn, đã đáp ứng được nhu cầu đó, trở thành một hệ thống tư tưởng có sức lan tỏa mạnh mẽ trong x</w:t>
      </w:r>
      <w:r>
        <w:rPr>
          <w:rFonts w:ascii="Times New Roman" w:hAnsi="Times New Roman" w:cs="Times New Roman"/>
          <w:sz w:val="26"/>
          <w:szCs w:val="26"/>
          <w:highlight w:val="none"/>
        </w:rPr>
        <w:t xml:space="preserve">ã hội Ấn Độ cổ đại.</w:t>
      </w:r>
      <w:r>
        <w:rPr>
          <w:rFonts w:ascii="Times New Roman" w:hAnsi="Times New Roman" w:cs="Times New Roman"/>
          <w:sz w:val="26"/>
          <w:szCs w:val="26"/>
          <w:highlight w:val="none"/>
        </w:rPr>
      </w:r>
      <w:r/>
    </w:p>
    <w:p w14:paraId="7A1E261F">
      <w:pPr>
        <w:suppressLineNumbers w:val="false"/>
        <w:pBdr/>
        <w:spacing w:after="119" w:before="120" w:line="360" w:lineRule="auto"/>
        <w:ind w:right="0" w:firstLine="720" w:left="0"/>
        <w:rPr/>
      </w:pPr>
      <w:r>
        <w:rPr>
          <w:rFonts w:ascii="Times New Roman" w:hAnsi="Times New Roman" w:cs="Times New Roman"/>
          <w:sz w:val="26"/>
          <w:szCs w:val="26"/>
          <w:highlight w:val="none"/>
        </w:rPr>
        <w:t xml:space="preserve">N</w:t>
      </w:r>
      <w:r>
        <w:rPr>
          <w:rFonts w:ascii="Times New Roman" w:hAnsi="Times New Roman" w:cs="Times New Roman"/>
          <w:sz w:val="26"/>
          <w:szCs w:val="26"/>
          <w:highlight w:val="none"/>
        </w:rPr>
        <w:t xml:space="preserve">hư vậy, có thể thấy rằng chế độ đẳng cấp và những bất công xã hội kéo dài không chỉ là bối cảnh lịch sử, mà còn là động lực trực tiếp thúc đẩy sự hình thành quan điểm Nhân – Quả của Phật giáo. Bằng việc chuyển trọng tâm từ thần linh và định mệnh sang hành </w:t>
      </w:r>
      <w:r>
        <w:rPr>
          <w:rFonts w:ascii="Times New Roman" w:hAnsi="Times New Roman" w:cs="Times New Roman"/>
          <w:sz w:val="26"/>
          <w:szCs w:val="26"/>
          <w:highlight w:val="none"/>
        </w:rPr>
        <w:t xml:space="preserve">vi và trách nhiệm của con người, Phật giáo đã tạo ra một bước ngoặt quan trọng trong tư duy triết học phương Đông, góp phần hình thành một cách nhìn mới về con người và xã hội.</w:t>
      </w:r>
      <w:r>
        <w:rPr>
          <w:rFonts w:ascii="Times New Roman" w:hAnsi="Times New Roman" w:cs="Times New Roman"/>
          <w:sz w:val="26"/>
          <w:szCs w:val="26"/>
          <w:highlight w:val="none"/>
        </w:rPr>
      </w:r>
      <w:r/>
    </w:p>
    <w:p>
      <w:pPr>
        <w:pStyle w:val="1040"/>
        <w:suppressLineNumbers w:val="false"/>
        <w:pBdr/>
        <w:spacing w:after="119" w:before="120"/>
        <w:ind w:right="0" w:firstLine="720" w:left="0"/>
        <w:rPr>
          <w:rFonts w:ascii="Times New Roman" w:hAnsi="Times New Roman" w:cs="Times New Roman"/>
          <w:sz w:val="26"/>
          <w:szCs w:val="26"/>
        </w:rPr>
      </w:pPr>
      <w:r>
        <w:rPr>
          <w:rFonts w:ascii="Times New Roman" w:hAnsi="Times New Roman" w:cs="Times New Roman"/>
          <w:sz w:val="26"/>
          <w:szCs w:val="26"/>
        </w:rPr>
        <w:t xml:space="preserve">Tiền đề lý luận hình thành </w:t>
      </w:r>
      <w:r>
        <w:rPr>
          <w:rFonts w:ascii="Times New Roman" w:hAnsi="Times New Roman" w:cs="Times New Roman"/>
          <w:b/>
          <w:sz w:val="26"/>
          <w:szCs w:val="26"/>
        </w:rPr>
        <w:t xml:space="preserve">quan điểm Nhân – Quả </w:t>
      </w:r>
      <w:r>
        <w:rPr>
          <w:rFonts w:ascii="Times New Roman" w:hAnsi="Times New Roman" w:cs="Times New Roman"/>
          <w:b/>
          <w:sz w:val="26"/>
          <w:szCs w:val="26"/>
        </w:rPr>
        <w:t xml:space="preserve">của</w:t>
      </w:r>
      <w:r>
        <w:rPr>
          <w:rFonts w:ascii="Times New Roman" w:hAnsi="Times New Roman" w:cs="Times New Roman"/>
          <w:b/>
          <w:sz w:val="26"/>
          <w:szCs w:val="26"/>
        </w:rPr>
        <w:t xml:space="preserve"> Phật giáo</w:t>
      </w:r>
      <w:r>
        <w:rPr>
          <w:rFonts w:ascii="Times New Roman" w:hAnsi="Times New Roman" w:cs="Times New Roman"/>
          <w:sz w:val="26"/>
          <w:szCs w:val="26"/>
        </w:rPr>
      </w:r>
      <w:r>
        <w:rPr>
          <w:rFonts w:ascii="Times New Roman" w:hAnsi="Times New Roman" w:cs="Times New Roman"/>
          <w:sz w:val="26"/>
          <w:szCs w:val="26"/>
        </w:rPr>
      </w:r>
    </w:p>
    <w:p w14:paraId="15867AEF">
      <w:pPr>
        <w:suppressLineNumbers w:val="false"/>
        <w:pBdr/>
        <w:spacing w:after="119" w:before="120" w:line="360" w:lineRule="auto"/>
        <w:ind w:right="0" w:firstLine="720" w:left="0"/>
        <w:rPr/>
      </w:pPr>
      <w:r>
        <w:rPr>
          <w:rFonts w:ascii="Times New Roman" w:hAnsi="Times New Roman" w:cs="Times New Roman"/>
          <w:sz w:val="26"/>
          <w:szCs w:val="26"/>
        </w:rPr>
        <w:t xml:space="preserve">B</w:t>
      </w:r>
      <w:r>
        <w:rPr>
          <w:rFonts w:ascii="Times New Roman" w:hAnsi="Times New Roman" w:cs="Times New Roman"/>
          <w:sz w:val="26"/>
          <w:szCs w:val="26"/>
        </w:rPr>
        <w:t xml:space="preserve">ên cạnh những điều kiện lịch sử – xã hội cụ thể, quan điểm Nhân – Quả của Phật giáo còn được hình thành trên cơ sở kế thừa có chọn lọc và cải biến sâu sắc các tư tưởng triết học – tôn giáo đã tồn tại trước đó trong đời sống tinh thần của Ấn Độ cổ đại. Việc</w:t>
      </w:r>
      <w:r>
        <w:rPr>
          <w:rFonts w:ascii="Times New Roman" w:hAnsi="Times New Roman" w:cs="Times New Roman"/>
          <w:sz w:val="26"/>
          <w:szCs w:val="26"/>
        </w:rPr>
        <w:t xml:space="preserve"> phân tích tiền đề lý luận này cho thấy Phật giáo không ra đời trong sự đoạn tuyệt hoàn toàn với truyền thống tư tưởng cũ, mà là kết quả của một quá trình tiếp biến, phê phán và vượt qua những hạn chế nội tại của các hệ thống tư tưởng tiền Phật giáo.</w:t>
      </w:r>
      <w:r>
        <w:rPr>
          <w:rFonts w:ascii="Times New Roman" w:hAnsi="Times New Roman" w:cs="Times New Roman"/>
          <w:sz w:val="26"/>
          <w:szCs w:val="26"/>
        </w:rPr>
      </w:r>
      <w:r/>
    </w:p>
    <w:p w14:paraId="51C96413">
      <w:pPr>
        <w:suppressLineNumbers w:val="false"/>
        <w:pBdr/>
        <w:spacing w:after="119" w:before="120" w:line="360" w:lineRule="auto"/>
        <w:ind w:right="0" w:firstLine="720" w:left="0"/>
        <w:rPr/>
      </w:pPr>
      <w:r>
        <w:rPr>
          <w:rFonts w:ascii="Times New Roman" w:hAnsi="Times New Roman" w:cs="Times New Roman"/>
          <w:sz w:val="26"/>
          <w:szCs w:val="26"/>
        </w:rPr>
        <w:t xml:space="preserve">T</w:t>
      </w:r>
      <w:r>
        <w:rPr>
          <w:rFonts w:ascii="Times New Roman" w:hAnsi="Times New Roman" w:cs="Times New Roman"/>
          <w:sz w:val="26"/>
          <w:szCs w:val="26"/>
        </w:rPr>
        <w:t xml:space="preserve">rước khi Phật giáo xuất hiện, triết học Ấn Độ cổ đại đã hình thành nhiều trường phái khác nhau, cả chính thống và phi chính thống, cùng chung mối quan tâm đến những vấn đề cốt lõi của đời sống con người như khổ đau, luân hồi, nghiệp báo và con đường giải t</w:t>
      </w:r>
      <w:r>
        <w:rPr>
          <w:rFonts w:ascii="Times New Roman" w:hAnsi="Times New Roman" w:cs="Times New Roman"/>
          <w:sz w:val="26"/>
          <w:szCs w:val="26"/>
        </w:rPr>
        <w:t xml:space="preserve">hoát. Các trường phái này, dù khác nhau về lập trường, đều thừa nhận mối liên hệ nhất định giữa hành vi con người và kết quả mà con người phải gánh chịu trong cuộc sống. Tuy nhiên, sự khác biệt căn bản nằm ở cách lý giải bản chất của mối liên hệ đó.</w:t>
      </w:r>
      <w:r>
        <w:rPr>
          <w:rFonts w:ascii="Times New Roman" w:hAnsi="Times New Roman" w:cs="Times New Roman"/>
          <w:sz w:val="26"/>
          <w:szCs w:val="26"/>
        </w:rPr>
      </w:r>
      <w:r/>
    </w:p>
    <w:p w14:paraId="0A12AC4E">
      <w:pPr>
        <w:suppressLineNumbers w:val="false"/>
        <w:pBdr/>
        <w:spacing w:after="119" w:before="120" w:line="360" w:lineRule="auto"/>
        <w:ind w:right="0" w:firstLine="720" w:left="0"/>
        <w:rPr/>
      </w:pPr>
      <w:r>
        <w:rPr>
          <w:rFonts w:ascii="Times New Roman" w:hAnsi="Times New Roman" w:cs="Times New Roman"/>
          <w:sz w:val="26"/>
          <w:szCs w:val="26"/>
        </w:rPr>
        <w:t xml:space="preserve">T</w:t>
      </w:r>
      <w:r>
        <w:rPr>
          <w:rFonts w:ascii="Times New Roman" w:hAnsi="Times New Roman" w:cs="Times New Roman"/>
          <w:sz w:val="26"/>
          <w:szCs w:val="26"/>
        </w:rPr>
        <w:t xml:space="preserve">rong nhiều hệ thống tư tưởng tiền Phật giáo, mối quan hệ giữa hành vi và kết quả thường được giải thích thông qua ý chí của thần linh hoặc một trật tự siêu nhiên bất biến. Khổ đau của con người được xem là kết quả của nghiệp quá khứ hoặc sự trừng phạt của </w:t>
      </w:r>
      <w:r>
        <w:rPr>
          <w:rFonts w:ascii="Times New Roman" w:hAnsi="Times New Roman" w:cs="Times New Roman"/>
          <w:sz w:val="26"/>
          <w:szCs w:val="26"/>
        </w:rPr>
        <w:t xml:space="preserve">c</w:t>
      </w:r>
      <w:r>
        <w:rPr>
          <w:rFonts w:ascii="Times New Roman" w:hAnsi="Times New Roman" w:cs="Times New Roman"/>
          <w:sz w:val="26"/>
          <w:szCs w:val="26"/>
        </w:rPr>
        <w:t xml:space="preserve">ác lực lượng thần thánh, khiến con người rơi vào trạng thái thụ động, cam chịu và an phận. Cách tiếp cận này tuy có khả năng trấn an tinh thần trong một chừng mực nhất định, nhưng lại không chỉ ra con đường cụ thể để con người tự cải biến hoàn cảnh sống củ</w:t>
      </w:r>
      <w:r>
        <w:rPr>
          <w:rFonts w:ascii="Times New Roman" w:hAnsi="Times New Roman" w:cs="Times New Roman"/>
          <w:sz w:val="26"/>
          <w:szCs w:val="26"/>
        </w:rPr>
        <w:t xml:space="preserve">a mình trong hiện tại.</w:t>
      </w:r>
      <w:r>
        <w:rPr>
          <w:rFonts w:ascii="Times New Roman" w:hAnsi="Times New Roman" w:cs="Times New Roman"/>
          <w:sz w:val="26"/>
          <w:szCs w:val="26"/>
        </w:rPr>
      </w:r>
      <w:r/>
    </w:p>
    <w:p w14:paraId="6C6AB37C">
      <w:pPr>
        <w:suppressLineNumbers w:val="false"/>
        <w:pBdr/>
        <w:spacing w:after="119" w:before="120" w:line="360" w:lineRule="auto"/>
        <w:ind w:right="0" w:firstLine="720" w:left="0"/>
        <w:rPr/>
      </w:pPr>
      <w:r>
        <w:rPr>
          <w:rFonts w:ascii="Times New Roman" w:hAnsi="Times New Roman" w:cs="Times New Roman"/>
          <w:sz w:val="26"/>
          <w:szCs w:val="26"/>
        </w:rPr>
        <w:t xml:space="preserve">P</w:t>
      </w:r>
      <w:r>
        <w:rPr>
          <w:rFonts w:ascii="Times New Roman" w:hAnsi="Times New Roman" w:cs="Times New Roman"/>
          <w:sz w:val="26"/>
          <w:szCs w:val="26"/>
        </w:rPr>
        <w:t xml:space="preserve">hật giáo tiếp thu ý niệm về mối liên hệ giữa hành vi và kết quả, nhưng đồng thời thực hiện một bước chuyển mang tính đột phá về mặt lý luận. Thay vì giải thích khổ đau bằng ý chí thần linh hay định mệnh tiền định, Phật giáo đặt trọng tâm vào chuỗi quan hệ </w:t>
      </w:r>
      <w:r>
        <w:rPr>
          <w:rFonts w:ascii="Times New Roman" w:hAnsi="Times New Roman" w:cs="Times New Roman"/>
          <w:sz w:val="26"/>
          <w:szCs w:val="26"/>
        </w:rPr>
        <w:t xml:space="preserve">Nhân – Duyên – Quả mang tính nội tại và khách quan </w:t>
      </w:r>
      <w:r>
        <w:rPr>
          <w:rFonts w:ascii="Times New Roman" w:hAnsi="Times New Roman" w:cs="Times New Roman"/>
          <w:sz w:val="26"/>
          <w:szCs w:val="26"/>
        </w:rPr>
        <w:t xml:space="preserve">(Rahula, 1974)</w:t>
      </w:r>
      <w:r>
        <w:rPr>
          <w:rFonts w:ascii="Times New Roman" w:hAnsi="Times New Roman" w:cs="Times New Roman"/>
          <w:sz w:val="26"/>
          <w:szCs w:val="26"/>
        </w:rPr>
        <w:t xml:space="preserve">. Theo đó, Nhân không phải là yếu tố siêu nhiên, mà chính là những hành vi cụ thể của con người; Duyên là những điều kiện khách quan và chủ quan hỗ trợ; còn Quả là kết quả tất yếu phát sinh khi Nhân và Duyên</w:t>
      </w:r>
      <w:r>
        <w:rPr>
          <w:rFonts w:ascii="Times New Roman" w:hAnsi="Times New Roman" w:cs="Times New Roman"/>
          <w:sz w:val="26"/>
          <w:szCs w:val="26"/>
        </w:rPr>
        <w:t xml:space="preserve"> hội đủ. Cách lý giải này đã loại bỏ yếu tố thần bí, đồng thời tạo cơ sở lý luận cho việc khẳng định vai trò chủ động của con người trong đời sống.</w:t>
      </w:r>
      <w:r>
        <w:rPr>
          <w:rFonts w:ascii="Times New Roman" w:hAnsi="Times New Roman" w:cs="Times New Roman"/>
          <w:sz w:val="26"/>
          <w:szCs w:val="26"/>
        </w:rPr>
      </w:r>
      <w:r/>
    </w:p>
    <w:p w14:paraId="1092AA24">
      <w:pPr>
        <w:suppressLineNumbers w:val="false"/>
        <w:pBdr/>
        <w:spacing w:after="119" w:before="120" w:line="360" w:lineRule="auto"/>
        <w:ind w:right="0" w:firstLine="720" w:left="0"/>
        <w:rPr/>
      </w:pPr>
      <w:r>
        <w:rPr>
          <w:rFonts w:ascii="Times New Roman" w:hAnsi="Times New Roman" w:cs="Times New Roman"/>
          <w:sz w:val="26"/>
          <w:szCs w:val="26"/>
        </w:rPr>
        <w:t xml:space="preserve">M</w:t>
      </w:r>
      <w:r>
        <w:rPr>
          <w:rFonts w:ascii="Times New Roman" w:hAnsi="Times New Roman" w:cs="Times New Roman"/>
          <w:sz w:val="26"/>
          <w:szCs w:val="26"/>
        </w:rPr>
        <w:t xml:space="preserve">ột điểm nổi bật trong tiền đề lý luận của quan điểm Nhân – Quả Phật giáo là tư duy biện chứng sơ khai. Phật giáo không nhìn nhận thế giới như một tổng thể tĩnh tại, bất biến, mà nhấn mạnh tính vận động, biến đổi và phụ thuộc lẫn nhau của các sự vật, hiện t</w:t>
      </w:r>
      <w:r>
        <w:rPr>
          <w:rFonts w:ascii="Times New Roman" w:hAnsi="Times New Roman" w:cs="Times New Roman"/>
          <w:sz w:val="26"/>
          <w:szCs w:val="26"/>
        </w:rPr>
        <w:t xml:space="preserve">ư</w:t>
      </w:r>
      <w:r>
        <w:rPr>
          <w:rFonts w:ascii="Times New Roman" w:hAnsi="Times New Roman" w:cs="Times New Roman"/>
          <w:sz w:val="26"/>
          <w:szCs w:val="26"/>
        </w:rPr>
        <w:t xml:space="preserve">ợng. Không có sự vật nào tồn tại độc lập, cũng không có kết quả nào xuất hiện một cách ngẫu nhiên. Mọi hiện tượng đều nằm trong một chuỗi quan hệ nhân duyên chằng chịt, trong đó sự thay đổi của một yếu tố có thể kéo theo sự thay đổi của toàn bộ hệ thống. C</w:t>
      </w:r>
      <w:r>
        <w:rPr>
          <w:rFonts w:ascii="Times New Roman" w:hAnsi="Times New Roman" w:cs="Times New Roman"/>
          <w:sz w:val="26"/>
          <w:szCs w:val="26"/>
        </w:rPr>
        <w:t xml:space="preserve">ách tiếp cận này phản ánh trình độ khái quát và trừu tượng cao của tư duy triết học Phật giáo so với nhiều hệ thống tư tưởng đương thời </w:t>
      </w:r>
      <w:r>
        <w:rPr>
          <w:rFonts w:ascii="Times New Roman" w:hAnsi="Times New Roman" w:cs="Times New Roman"/>
          <w:sz w:val="26"/>
          <w:szCs w:val="26"/>
        </w:rPr>
        <w:t xml:space="preserve">(Harvey, 2013)</w:t>
      </w:r>
      <w:r>
        <w:rPr>
          <w:rFonts w:ascii="Times New Roman" w:hAnsi="Times New Roman" w:cs="Times New Roman"/>
          <w:sz w:val="26"/>
          <w:szCs w:val="26"/>
        </w:rPr>
        <w:t xml:space="preserve">.</w:t>
      </w:r>
      <w:r>
        <w:rPr>
          <w:rFonts w:ascii="Times New Roman" w:hAnsi="Times New Roman" w:cs="Times New Roman"/>
          <w:sz w:val="26"/>
          <w:szCs w:val="26"/>
        </w:rPr>
      </w:r>
      <w:r/>
    </w:p>
    <w:p w14:paraId="556D5B66">
      <w:pPr>
        <w:suppressLineNumbers w:val="false"/>
        <w:pBdr/>
        <w:spacing w:after="119" w:before="120" w:line="360" w:lineRule="auto"/>
        <w:ind w:right="0" w:firstLine="720" w:left="0"/>
        <w:rPr/>
      </w:pPr>
      <w:r>
        <w:rPr>
          <w:rFonts w:ascii="Times New Roman" w:hAnsi="Times New Roman" w:cs="Times New Roman"/>
          <w:sz w:val="26"/>
          <w:szCs w:val="26"/>
        </w:rPr>
        <w:t xml:space="preserve">S</w:t>
      </w:r>
      <w:r>
        <w:rPr>
          <w:rFonts w:ascii="Times New Roman" w:hAnsi="Times New Roman" w:cs="Times New Roman"/>
          <w:sz w:val="26"/>
          <w:szCs w:val="26"/>
        </w:rPr>
        <w:t xml:space="preserve">o với các trường phái triết học Ấn Độ cổ đại khác, quan điểm Nhân – Quả của Phật giáo thể hiện rõ tính nhất quán và logic hơn trong việc lý giải khổ đau và con đường giải thoát. Nếu một số trường phái nhấn mạnh nghi lễ, hiến tế hay sự can thiệp của thần li</w:t>
      </w:r>
      <w:r>
        <w:rPr>
          <w:rFonts w:ascii="Times New Roman" w:hAnsi="Times New Roman" w:cs="Times New Roman"/>
          <w:sz w:val="26"/>
          <w:szCs w:val="26"/>
        </w:rPr>
        <w:t xml:space="preserve">n</w:t>
      </w:r>
      <w:r>
        <w:rPr>
          <w:rFonts w:ascii="Times New Roman" w:hAnsi="Times New Roman" w:cs="Times New Roman"/>
          <w:sz w:val="26"/>
          <w:szCs w:val="26"/>
        </w:rPr>
        <w:t xml:space="preserve">h như phương thức giải thoát, thì Phật giáo khẳng định rằng giải thoát chỉ có thể đạt được thông qua sự chuyển hóa nhận thức và hành vi của chính con người. Chính sự chuyển hóa này làm thay đổi Nhân và Duyên, từ đó dẫn đến sự thay đổi của Quả. Như vậy, con</w:t>
      </w:r>
      <w:r>
        <w:rPr>
          <w:rFonts w:ascii="Times New Roman" w:hAnsi="Times New Roman" w:cs="Times New Roman"/>
          <w:sz w:val="26"/>
          <w:szCs w:val="26"/>
        </w:rPr>
        <w:t xml:space="preserve"> đường giải thoát trong Phật giáo không mang tính huyền bí, mà gắn liền với thực tiễn đời sống hàng ngày.</w:t>
      </w:r>
      <w:r>
        <w:rPr>
          <w:rFonts w:ascii="Times New Roman" w:hAnsi="Times New Roman" w:cs="Times New Roman"/>
          <w:sz w:val="26"/>
          <w:szCs w:val="26"/>
        </w:rPr>
      </w:r>
      <w:r/>
    </w:p>
    <w:p w14:paraId="77C5A31A">
      <w:pPr>
        <w:suppressLineNumbers w:val="false"/>
        <w:pBdr/>
        <w:spacing w:after="119" w:before="120" w:line="360" w:lineRule="auto"/>
        <w:ind w:right="0" w:firstLine="720" w:left="0"/>
        <w:rPr/>
      </w:pPr>
      <w:r>
        <w:rPr>
          <w:rFonts w:ascii="Times New Roman" w:hAnsi="Times New Roman" w:cs="Times New Roman"/>
          <w:sz w:val="26"/>
          <w:szCs w:val="26"/>
        </w:rPr>
        <w:t xml:space="preserve">B</w:t>
      </w:r>
      <w:r>
        <w:rPr>
          <w:rFonts w:ascii="Times New Roman" w:hAnsi="Times New Roman" w:cs="Times New Roman"/>
          <w:sz w:val="26"/>
          <w:szCs w:val="26"/>
        </w:rPr>
        <w:t xml:space="preserve">ên cạnh đó, Phật giáo còn tiếp thu và phát triển các phạm trù tư tưởng như vô thường và vô ngã, tạo thành nền tảng lý luận quan trọng cho quan điểm Nhân – Quả. Việc thừa nhận tính vô thường của vạn vật giúp Phật giáo tránh rơi vào chủ nghĩa định mệnh cứng </w:t>
      </w:r>
      <w:r>
        <w:rPr>
          <w:rFonts w:ascii="Times New Roman" w:hAnsi="Times New Roman" w:cs="Times New Roman"/>
          <w:sz w:val="26"/>
          <w:szCs w:val="26"/>
        </w:rPr>
        <w:t xml:space="preserve">n</w:t>
      </w:r>
      <w:r>
        <w:rPr>
          <w:rFonts w:ascii="Times New Roman" w:hAnsi="Times New Roman" w:cs="Times New Roman"/>
          <w:sz w:val="26"/>
          <w:szCs w:val="26"/>
        </w:rPr>
        <w:t xml:space="preserve">hắc, bởi nếu mọi sự vật đều biến đổi không ngừng thì không có kết quả nào là bất biến hay vĩnh viễn. Đồng thời, quan điểm vô ngã giúp Phật giáo phủ nhận sự tồn tại của một cái “tôi” bất biến, từ đó lý giải rằng chính sự chấp ngã là nguyên nhân sâu xa dẫn đ</w:t>
      </w:r>
      <w:r>
        <w:rPr>
          <w:rFonts w:ascii="Times New Roman" w:hAnsi="Times New Roman" w:cs="Times New Roman"/>
          <w:sz w:val="26"/>
          <w:szCs w:val="26"/>
        </w:rPr>
        <w:t xml:space="preserve">ến hành vi sai lầm và khổ đau. Hai phạm trù này kết hợp với học thuyết Nhân – Quả tạo nên một hệ thống lý luận chặt chẽ, giải thích một cách nhất quán mối quan hệ giữa con người và thế giới.</w:t>
      </w:r>
      <w:r>
        <w:rPr>
          <w:rFonts w:ascii="Times New Roman" w:hAnsi="Times New Roman" w:cs="Times New Roman"/>
          <w:sz w:val="26"/>
          <w:szCs w:val="26"/>
        </w:rPr>
      </w:r>
      <w:r/>
    </w:p>
    <w:p w14:paraId="60256A84">
      <w:pPr>
        <w:suppressLineNumbers w:val="false"/>
        <w:pBdr/>
        <w:spacing w:after="119" w:before="120" w:line="360" w:lineRule="auto"/>
        <w:ind w:right="0" w:firstLine="720" w:left="0"/>
        <w:rPr/>
      </w:pPr>
      <w:r>
        <w:rPr>
          <w:rFonts w:ascii="Times New Roman" w:hAnsi="Times New Roman" w:cs="Times New Roman"/>
          <w:sz w:val="26"/>
          <w:szCs w:val="26"/>
        </w:rPr>
        <w:t xml:space="preserve">C</w:t>
      </w:r>
      <w:r>
        <w:rPr>
          <w:rFonts w:ascii="Times New Roman" w:hAnsi="Times New Roman" w:cs="Times New Roman"/>
          <w:sz w:val="26"/>
          <w:szCs w:val="26"/>
        </w:rPr>
        <w:t xml:space="preserve">ó thể khẳng định rằng tiền đề lý luận hình thành quan điểm Nhân – Quả của Phật giáo không chỉ là sự kế thừa đơn thuần các tư tưởng tiền Phật giáo, mà là quá trình chọn lọc, phê phán và sáng tạo. Thông qua việc loại bỏ yếu tố thần quyền và định mệnh luận, đ</w:t>
      </w:r>
      <w:r>
        <w:rPr>
          <w:rFonts w:ascii="Times New Roman" w:hAnsi="Times New Roman" w:cs="Times New Roman"/>
          <w:sz w:val="26"/>
          <w:szCs w:val="26"/>
        </w:rPr>
        <w:t xml:space="preserve">ồng thời đề cao vai trò của nhận thức và hành vi con người, Phật giáo đã xây dựng nên một học thuyết Nhân – Quả mang tính nhân sinh sâu sắc và giá trị triết học bền vững.</w:t>
      </w:r>
      <w:r>
        <w:rPr>
          <w:rFonts w:ascii="Times New Roman" w:hAnsi="Times New Roman" w:cs="Times New Roman"/>
          <w:sz w:val="26"/>
          <w:szCs w:val="26"/>
        </w:rPr>
      </w:r>
      <w:r/>
    </w:p>
    <w:p>
      <w:pPr>
        <w:pStyle w:val="1039"/>
        <w:numPr>
          <w:ilvl w:val="1"/>
          <w:numId w:val="29"/>
        </w:numPr>
        <w:suppressLineNumbers w:val="false"/>
        <w:pBdr/>
        <w:spacing w:after="119" w:before="120" w:line="360" w:lineRule="auto"/>
        <w:ind w:right="0" w:firstLine="720" w:left="0"/>
        <w:rPr>
          <w:rFonts w:ascii="Times New Roman" w:hAnsi="Times New Roman" w:cs="Times New Roman"/>
          <w:b/>
          <w:sz w:val="26"/>
          <w:szCs w:val="26"/>
        </w:rPr>
      </w:pPr>
      <w:r/>
      <w:bookmarkStart w:id="13" w:name="_Toc5"/>
      <w:r>
        <w:rPr>
          <w:rFonts w:ascii="Times New Roman" w:hAnsi="Times New Roman" w:cs="Times New Roman"/>
          <w:b/>
          <w:sz w:val="26"/>
          <w:szCs w:val="26"/>
        </w:rPr>
        <w:t xml:space="preserve">Nội dung cơ bản </w:t>
      </w:r>
      <w:r>
        <w:rPr>
          <w:rFonts w:ascii="Times New Roman" w:hAnsi="Times New Roman" w:cs="Times New Roman"/>
          <w:b/>
          <w:sz w:val="26"/>
          <w:szCs w:val="26"/>
        </w:rPr>
        <w:t xml:space="preserve">trong </w:t>
      </w:r>
      <w:r>
        <w:rPr>
          <w:rFonts w:ascii="Times New Roman" w:hAnsi="Times New Roman" w:cs="Times New Roman"/>
          <w:b/>
          <w:sz w:val="26"/>
          <w:szCs w:val="26"/>
        </w:rPr>
        <w:t xml:space="preserve">quan điểm Nhân – Quả </w:t>
      </w:r>
      <w:r>
        <w:rPr>
          <w:rFonts w:ascii="Times New Roman" w:hAnsi="Times New Roman" w:cs="Times New Roman"/>
          <w:b/>
          <w:sz w:val="26"/>
          <w:szCs w:val="26"/>
        </w:rPr>
        <w:t xml:space="preserve">của</w:t>
      </w:r>
      <w:r>
        <w:rPr>
          <w:rFonts w:ascii="Times New Roman" w:hAnsi="Times New Roman" w:cs="Times New Roman"/>
          <w:b/>
          <w:sz w:val="26"/>
          <w:szCs w:val="26"/>
        </w:rPr>
        <w:t xml:space="preserve"> Phật giáo</w:t>
      </w:r>
      <w:bookmarkEnd w:id="13"/>
      <w:r>
        <w:rPr>
          <w:rFonts w:ascii="Times New Roman" w:hAnsi="Times New Roman" w:cs="Times New Roman"/>
          <w:b/>
          <w:sz w:val="26"/>
          <w:szCs w:val="26"/>
        </w:rPr>
      </w:r>
      <w:r>
        <w:rPr>
          <w:rFonts w:ascii="Times New Roman" w:hAnsi="Times New Roman" w:cs="Times New Roman"/>
          <w:b/>
          <w:sz w:val="26"/>
          <w:szCs w:val="26"/>
        </w:rPr>
      </w:r>
    </w:p>
    <w:p w14:paraId="47EF7C5F">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Q</w:t>
      </w:r>
      <w:r>
        <w:rPr>
          <w:rFonts w:ascii="Times New Roman" w:hAnsi="Times New Roman" w:cs="Times New Roman"/>
          <w:b w:val="0"/>
          <w:bCs w:val="0"/>
          <w:sz w:val="26"/>
          <w:szCs w:val="26"/>
        </w:rPr>
        <w:t xml:space="preserve">uan điểm Nhân – Quả của Phật giáo không phải là một mệnh đề đơn lẻ hay một quy luật mang tính giản đơn, mà là một hệ thống tư tưởng triết học hoàn chỉnh, phản ánh cách nhìn toàn diện về thế giới và con người. Nội dung của quan điểm này bao gồm nhiều phạm t</w:t>
      </w:r>
      <w:r>
        <w:rPr>
          <w:rFonts w:ascii="Times New Roman" w:hAnsi="Times New Roman" w:cs="Times New Roman"/>
          <w:b w:val="0"/>
          <w:bCs w:val="0"/>
          <w:sz w:val="26"/>
          <w:szCs w:val="26"/>
        </w:rPr>
        <w:t xml:space="preserve">r</w:t>
      </w:r>
      <w:r>
        <w:rPr>
          <w:rFonts w:ascii="Times New Roman" w:hAnsi="Times New Roman" w:cs="Times New Roman"/>
          <w:b w:val="0"/>
          <w:bCs w:val="0"/>
          <w:sz w:val="26"/>
          <w:szCs w:val="26"/>
        </w:rPr>
        <w:t xml:space="preserve">ù triết học có mối quan hệ chặt chẽ với nhau, trong đó nổi bật là học thuyết Nhân – Duyên – Quả, cùng các tư tưởng nền tảng như Vô thường và Vô ngã. </w:t>
      </w:r>
      <w:r>
        <w:rPr>
          <w:rFonts w:ascii="Times New Roman" w:hAnsi="Times New Roman" w:cs="Times New Roman"/>
          <w:b w:val="0"/>
          <w:bCs w:val="0"/>
          <w:sz w:val="26"/>
          <w:szCs w:val="26"/>
        </w:rPr>
        <w:t xml:space="preserve">Phật giáo tiếp thu khái niệm "Karma" (Nghiệp) nhưng loại bỏ tính chất định mệnh luận và sự can thiệp của thần linh (Thích Mãn Giác, 2004)</w:t>
      </w:r>
      <w:r>
        <w:rPr>
          <w:rFonts w:ascii="Times New Roman" w:hAnsi="Times New Roman" w:cs="Times New Roman"/>
          <w:b w:val="0"/>
          <w:bCs w:val="0"/>
          <w:sz w:val="26"/>
          <w:szCs w:val="26"/>
        </w:rPr>
        <w:t xml:space="preserve">. Việc phân tích đầy đủ các nội dung này cho thấy chiều sâu lý luận cũng như giá trị nhân </w:t>
      </w:r>
      <w:r>
        <w:rPr>
          <w:rFonts w:ascii="Times New Roman" w:hAnsi="Times New Roman" w:cs="Times New Roman"/>
          <w:b w:val="0"/>
          <w:bCs w:val="0"/>
          <w:sz w:val="26"/>
          <w:szCs w:val="26"/>
        </w:rPr>
        <w:t xml:space="preserve">sinh sâu sắc của triết học Phật giáo.</w:t>
      </w:r>
      <w:r>
        <w:rPr>
          <w:rFonts w:ascii="Times New Roman" w:hAnsi="Times New Roman" w:cs="Times New Roman"/>
          <w:b w:val="0"/>
          <w:bCs w:val="0"/>
          <w:sz w:val="26"/>
          <w:szCs w:val="26"/>
        </w:rPr>
      </w:r>
      <w:r/>
    </w:p>
    <w:p w14:paraId="1A3BFA5D">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T</w:t>
      </w:r>
      <w:r>
        <w:rPr>
          <w:rFonts w:ascii="Times New Roman" w:hAnsi="Times New Roman" w:cs="Times New Roman"/>
          <w:b w:val="0"/>
          <w:bCs w:val="0"/>
          <w:sz w:val="26"/>
          <w:szCs w:val="26"/>
        </w:rPr>
        <w:t xml:space="preserve">rước hết, nội dung cốt lõi của quan điểm Nhân – Quả trong Phật giáo là học thuyết Nhân – Duyên – Quả. Theo Phật giáo, mọi sự vật và hiện tượng trong thế giới đều không tồn tại một cách biệt lập, mà phát sinh, tồn tại và biến đổi trong mối quan hệ phụ thuộc</w:t>
      </w: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 xml:space="preserve">lẫn nhau</w:t>
      </w:r>
      <w:r>
        <w:rPr>
          <w:rFonts w:ascii="Times New Roman" w:hAnsi="Times New Roman" w:cs="Times New Roman"/>
          <w:b w:val="0"/>
          <w:bCs w:val="0"/>
          <w:sz w:val="26"/>
          <w:szCs w:val="26"/>
        </w:rPr>
        <w:t xml:space="preserve">, gọi là "Duyên khởi" (Paticca-samuppada) (Thích Minh Châu, 2012)</w:t>
      </w:r>
      <w:r>
        <w:rPr>
          <w:rFonts w:ascii="Times New Roman" w:hAnsi="Times New Roman" w:cs="Times New Roman"/>
          <w:b w:val="0"/>
          <w:bCs w:val="0"/>
          <w:sz w:val="26"/>
          <w:szCs w:val="26"/>
        </w:rPr>
        <w:t xml:space="preserve">. Nhân là nguyên nhân trực tiếp, Duyên là những điều kiện cần thiết, còn Quả là kết quả tất yếu khi Nhân và Duyên hội đủ. Cách lý giải này cho thấy Phật giáo không nhìn nhận mối quan hệ nhân quả theo lối cơ giới, tuyến tính, mà theo cách tiếp cận l</w:t>
      </w:r>
      <w:r>
        <w:rPr>
          <w:rFonts w:ascii="Times New Roman" w:hAnsi="Times New Roman" w:cs="Times New Roman"/>
          <w:b w:val="0"/>
          <w:bCs w:val="0"/>
          <w:sz w:val="26"/>
          <w:szCs w:val="26"/>
        </w:rPr>
        <w:t xml:space="preserve">inh hoạt, đa chiều</w:t>
      </w:r>
      <w:r>
        <w:rPr>
          <w:rFonts w:ascii="Times New Roman" w:hAnsi="Times New Roman" w:cs="Times New Roman"/>
          <w:b w:val="0"/>
          <w:bCs w:val="0"/>
          <w:sz w:val="26"/>
          <w:szCs w:val="26"/>
        </w:rPr>
        <w:t xml:space="preserve">.</w:t>
      </w:r>
      <w:r>
        <w:rPr>
          <w:rFonts w:ascii="Times New Roman" w:hAnsi="Times New Roman" w:cs="Times New Roman"/>
          <w:b w:val="0"/>
          <w:bCs w:val="0"/>
          <w:sz w:val="26"/>
          <w:szCs w:val="26"/>
        </w:rPr>
      </w:r>
      <w:r/>
    </w:p>
    <w:p w14:paraId="6442EC2E">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Đ</w:t>
      </w:r>
      <w:r>
        <w:rPr>
          <w:rFonts w:ascii="Times New Roman" w:hAnsi="Times New Roman" w:cs="Times New Roman"/>
          <w:b w:val="0"/>
          <w:bCs w:val="0"/>
          <w:sz w:val="26"/>
          <w:szCs w:val="26"/>
        </w:rPr>
        <w:t xml:space="preserve">iểm đặc sắc của học thuyết Nhân – Duyên – Quả là ở chỗ Phật giáo không tuyệt đối hóa vai trò của Nhân. Một Nhân dù tồn tại nhưng nếu không có Duyên phù hợp thì Quả vẫn chưa thể phát sinh. Ngược lại, khi Duyên thay đổi thì Quả cũng thay đổi theo, ngay cả kh</w:t>
      </w:r>
      <w:r>
        <w:rPr>
          <w:rFonts w:ascii="Times New Roman" w:hAnsi="Times New Roman" w:cs="Times New Roman"/>
          <w:b w:val="0"/>
          <w:bCs w:val="0"/>
          <w:sz w:val="26"/>
          <w:szCs w:val="26"/>
        </w:rPr>
        <w:t xml:space="preserve">i</w:t>
      </w:r>
      <w:r>
        <w:rPr>
          <w:rFonts w:ascii="Times New Roman" w:hAnsi="Times New Roman" w:cs="Times New Roman"/>
          <w:b w:val="0"/>
          <w:bCs w:val="0"/>
          <w:sz w:val="26"/>
          <w:szCs w:val="26"/>
        </w:rPr>
        <w:t xml:space="preserve"> Nhân ban đầu vẫn còn đó. Điều này giúp Phật giáo tránh rơi vào chủ nghĩa định mệnh cứng nhắc, đồng thời khẳng định khả năng cải biến hoàn cảnh sống của con người thông qua việc thay đổi điều kiện và hành vi trong hiện tại</w:t>
      </w:r>
      <w:r>
        <w:rPr>
          <w:rFonts w:ascii="Times New Roman" w:hAnsi="Times New Roman" w:cs="Times New Roman"/>
          <w:b w:val="0"/>
          <w:bCs w:val="0"/>
          <w:sz w:val="26"/>
          <w:szCs w:val="26"/>
        </w:rPr>
        <w:t xml:space="preserve"> (Walpola Rahula, 2001)</w:t>
      </w:r>
      <w:r>
        <w:rPr>
          <w:rFonts w:ascii="Times New Roman" w:hAnsi="Times New Roman" w:cs="Times New Roman"/>
          <w:b w:val="0"/>
          <w:bCs w:val="0"/>
          <w:sz w:val="26"/>
          <w:szCs w:val="26"/>
        </w:rPr>
        <w:t xml:space="preserve">. Như vậy, số phận không phải là m</w:t>
      </w:r>
      <w:r>
        <w:rPr>
          <w:rFonts w:ascii="Times New Roman" w:hAnsi="Times New Roman" w:cs="Times New Roman"/>
          <w:b w:val="0"/>
          <w:bCs w:val="0"/>
          <w:sz w:val="26"/>
          <w:szCs w:val="26"/>
        </w:rPr>
        <w:t xml:space="preserve">ột thực thể bất biến, mà là kết quả của một quá trình vận động liên tục.</w:t>
      </w:r>
      <w:r>
        <w:rPr>
          <w:rFonts w:ascii="Times New Roman" w:hAnsi="Times New Roman" w:cs="Times New Roman"/>
          <w:b w:val="0"/>
          <w:bCs w:val="0"/>
          <w:sz w:val="26"/>
          <w:szCs w:val="26"/>
        </w:rPr>
      </w:r>
      <w:r/>
    </w:p>
    <w:p w14:paraId="233DC976">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T</w:t>
      </w:r>
      <w:r>
        <w:rPr>
          <w:rFonts w:ascii="Times New Roman" w:hAnsi="Times New Roman" w:cs="Times New Roman"/>
          <w:b w:val="0"/>
          <w:bCs w:val="0"/>
          <w:sz w:val="26"/>
          <w:szCs w:val="26"/>
        </w:rPr>
        <w:t xml:space="preserve">ừ học thuyết Nhân – Duyên – Quả, Phật giáo phát triển học thuyết Nghiệp</w:t>
      </w:r>
      <w:r>
        <w:rPr>
          <w:rFonts w:ascii="Times New Roman" w:hAnsi="Times New Roman" w:cs="Times New Roman"/>
          <w:b w:val="0"/>
          <w:bCs w:val="0"/>
          <w:sz w:val="26"/>
          <w:szCs w:val="26"/>
        </w:rPr>
        <w:t xml:space="preserve"> (Karma)</w:t>
      </w:r>
      <w:r>
        <w:rPr>
          <w:rFonts w:ascii="Times New Roman" w:hAnsi="Times New Roman" w:cs="Times New Roman"/>
          <w:b w:val="0"/>
          <w:bCs w:val="0"/>
          <w:sz w:val="26"/>
          <w:szCs w:val="26"/>
        </w:rPr>
        <w:t xml:space="preserve"> như một sự cụ thể hóa mối quan hệ nhân quả trong đời sống con người. Nghiệp được hiểu là toàn bộ hành vi có chủ ý</w:t>
      </w:r>
      <w:r>
        <w:rPr>
          <w:rFonts w:ascii="Times New Roman" w:hAnsi="Times New Roman" w:cs="Times New Roman"/>
          <w:b w:val="0"/>
          <w:bCs w:val="0"/>
          <w:sz w:val="26"/>
          <w:szCs w:val="26"/>
        </w:rPr>
        <w:t xml:space="preserve"> (cetana)</w:t>
      </w:r>
      <w:r>
        <w:rPr>
          <w:rFonts w:ascii="Times New Roman" w:hAnsi="Times New Roman" w:cs="Times New Roman"/>
          <w:b w:val="0"/>
          <w:bCs w:val="0"/>
          <w:sz w:val="26"/>
          <w:szCs w:val="26"/>
        </w:rPr>
        <w:t xml:space="preserve"> của con người, bao gồm </w:t>
      </w:r>
      <w:r>
        <w:rPr>
          <w:rFonts w:ascii="Times New Roman" w:hAnsi="Times New Roman" w:cs="Times New Roman"/>
          <w:b w:val="0"/>
          <w:bCs w:val="0"/>
          <w:sz w:val="26"/>
          <w:szCs w:val="26"/>
        </w:rPr>
        <w:t xml:space="preserve">Thân nghiệp, Khẩu nghiệp và Ý nghiệp (Thích Thiện Siêu, 2002)</w:t>
      </w:r>
      <w:r>
        <w:rPr>
          <w:rFonts w:ascii="Times New Roman" w:hAnsi="Times New Roman" w:cs="Times New Roman"/>
          <w:b w:val="0"/>
          <w:bCs w:val="0"/>
          <w:sz w:val="26"/>
          <w:szCs w:val="26"/>
        </w:rPr>
        <w:t xml:space="preserve">. Mỗi hành</w:t>
      </w: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 xml:space="preserve">vi đều để lại dấu ấn nhất định, tạo thành những khuynh hướng dẫn đến các kết quả tương ứng trong hiện tại hoặc tương lai. Học thuyết Nghiệp nhấn mạnh rằng con người không chỉ chịu trách nhiệm về hành động bên ngoài, mà còn phải chịu trách nhiệm về đời sống</w:t>
      </w:r>
      <w:r>
        <w:rPr>
          <w:rFonts w:ascii="Times New Roman" w:hAnsi="Times New Roman" w:cs="Times New Roman"/>
          <w:b w:val="0"/>
          <w:bCs w:val="0"/>
          <w:sz w:val="26"/>
          <w:szCs w:val="26"/>
        </w:rPr>
        <w:t xml:space="preserve"> tinh thần và động cơ bên trong của mình </w:t>
      </w:r>
      <w:r>
        <w:rPr>
          <w:rFonts w:ascii="Times New Roman" w:hAnsi="Times New Roman" w:cs="Times New Roman"/>
          <w:b w:val="0"/>
          <w:bCs w:val="0"/>
          <w:sz w:val="26"/>
          <w:szCs w:val="26"/>
        </w:rPr>
        <w:t xml:space="preserve">(Harvey, 2013)</w:t>
      </w:r>
      <w:r>
        <w:rPr>
          <w:rFonts w:ascii="Times New Roman" w:hAnsi="Times New Roman" w:cs="Times New Roman"/>
          <w:b w:val="0"/>
          <w:bCs w:val="0"/>
          <w:sz w:val="26"/>
          <w:szCs w:val="26"/>
        </w:rPr>
        <w:t xml:space="preserve">.</w:t>
      </w:r>
      <w:r>
        <w:rPr>
          <w:rFonts w:ascii="Times New Roman" w:hAnsi="Times New Roman" w:cs="Times New Roman"/>
          <w:b w:val="0"/>
          <w:bCs w:val="0"/>
          <w:sz w:val="26"/>
          <w:szCs w:val="26"/>
        </w:rPr>
      </w:r>
      <w:r/>
    </w:p>
    <w:p w14:paraId="0B704E5A">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Đ</w:t>
      </w:r>
      <w:r>
        <w:rPr>
          <w:rFonts w:ascii="Times New Roman" w:hAnsi="Times New Roman" w:cs="Times New Roman"/>
          <w:b w:val="0"/>
          <w:bCs w:val="0"/>
          <w:sz w:val="26"/>
          <w:szCs w:val="26"/>
        </w:rPr>
        <w:t xml:space="preserve">iểm tiến bộ trong quan niệm về Nghiệp của Phật giáo là ở chỗ nó không đồng nhất Nghiệp với sự trừng phạt hay ban thưởng của các lực lượng siêu nhiên. Nghiệp vận hành như một quy luật khách quan, gắn liền với hành vi của con người, không phụ thuộc vào ý chí</w:t>
      </w:r>
      <w:r>
        <w:rPr>
          <w:rFonts w:ascii="Times New Roman" w:hAnsi="Times New Roman" w:cs="Times New Roman"/>
          <w:b w:val="0"/>
          <w:bCs w:val="0"/>
          <w:sz w:val="26"/>
          <w:szCs w:val="26"/>
        </w:rPr>
        <w:t xml:space="preserve"> của bất kỳ thần linh nào. Điều này làm cho học thuyết Nghiệp mang tính đạo đức – nhân sinh rõ rệt, khuyến khích con người tự giác điều chỉnh hành vi của mình thay vì trông chờ vào sự cứu rỗi từ bên ngoài.</w:t>
      </w:r>
      <w:r>
        <w:rPr>
          <w:rFonts w:ascii="Times New Roman" w:hAnsi="Times New Roman" w:cs="Times New Roman"/>
          <w:b w:val="0"/>
          <w:bCs w:val="0"/>
          <w:sz w:val="26"/>
          <w:szCs w:val="26"/>
        </w:rPr>
      </w:r>
      <w:r/>
    </w:p>
    <w:p w14:paraId="095C8A5D">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B</w:t>
      </w:r>
      <w:r>
        <w:rPr>
          <w:rFonts w:ascii="Times New Roman" w:hAnsi="Times New Roman" w:cs="Times New Roman"/>
          <w:b w:val="0"/>
          <w:bCs w:val="0"/>
          <w:sz w:val="26"/>
          <w:szCs w:val="26"/>
        </w:rPr>
        <w:t xml:space="preserve">ên cạnh học thuyết Nhân – Duyên – Quả và Nghiệp, tư tưởng Vô thường giữ vai trò nền tảng trong hệ thống quan điểm Nhân – Quả của Phật giáo. Vô thường khẳng định rằng mọi sự vật, hiện tượng đều vận động và biến đổi không ngừng, không có gì tồn tại vĩnh viễn</w:t>
      </w:r>
      <w:r>
        <w:rPr>
          <w:rFonts w:ascii="Times New Roman" w:hAnsi="Times New Roman" w:cs="Times New Roman"/>
          <w:b w:val="0"/>
          <w:bCs w:val="0"/>
          <w:sz w:val="26"/>
          <w:szCs w:val="26"/>
        </w:rPr>
        <w:t xml:space="preserve">. Từ góc độ triết học, tư tưởng này phản ánh nhận thức sâu sắc về tính vận động của thế giới, đồng thời tạo cơ sở lý luận cho việc phủ nhận quan niệm về một số phận bất biến hay một kết quả vĩnh viễn</w:t>
      </w:r>
      <w:r>
        <w:rPr>
          <w:rFonts w:ascii="Times New Roman" w:hAnsi="Times New Roman" w:cs="Times New Roman"/>
          <w:b w:val="0"/>
          <w:bCs w:val="0"/>
          <w:sz w:val="26"/>
          <w:szCs w:val="26"/>
        </w:rPr>
        <w:t xml:space="preserve"> (Nguyễn Thế Đăng, 2015)</w:t>
      </w:r>
      <w:r>
        <w:rPr>
          <w:rFonts w:ascii="Times New Roman" w:hAnsi="Times New Roman" w:cs="Times New Roman"/>
          <w:b w:val="0"/>
          <w:bCs w:val="0"/>
          <w:sz w:val="26"/>
          <w:szCs w:val="26"/>
        </w:rPr>
      </w:r>
      <w:r>
        <w:rPr>
          <w:rFonts w:ascii="Times New Roman" w:hAnsi="Times New Roman" w:cs="Times New Roman"/>
          <w:b w:val="0"/>
          <w:bCs w:val="0"/>
          <w:sz w:val="26"/>
          <w:szCs w:val="26"/>
        </w:rPr>
        <w:t xml:space="preserve">.</w:t>
      </w:r>
      <w:r>
        <w:rPr>
          <w:rFonts w:ascii="Times New Roman" w:hAnsi="Times New Roman" w:cs="Times New Roman"/>
          <w:b w:val="0"/>
          <w:bCs w:val="0"/>
          <w:sz w:val="26"/>
          <w:szCs w:val="26"/>
        </w:rPr>
      </w:r>
      <w:r/>
    </w:p>
    <w:p w14:paraId="4D2C311D">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Nhận thức được tính vô thường giúp con người không chấp trước vào những trạng thái nhất thời của đời sống, dù là khổ đau hay hạnh phúc. Khi hiểu rằng mọi kết quả đều có thể thay đổi, con người có động lực để cải biến hành vi và điều kiện sống của mình. Tư</w:t>
      </w: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 xml:space="preserve">tưởng vô thường vì vậy gắn bó chặt chẽ với quan điểm Nhân – Quả, bởi nếu thế giới là bất biến thì mọi nỗ lực thay đổi Nhân và Duyên đều trở nên vô nghĩa. Ngược lại, chính vì thế giới luôn biến đổi nên con người có khả năng tác động vào quá trình hình thành</w:t>
      </w:r>
      <w:r>
        <w:rPr>
          <w:rFonts w:ascii="Times New Roman" w:hAnsi="Times New Roman" w:cs="Times New Roman"/>
          <w:b w:val="0"/>
          <w:bCs w:val="0"/>
          <w:sz w:val="26"/>
          <w:szCs w:val="26"/>
        </w:rPr>
        <w:t xml:space="preserve"> Quả thông qua hành vi của mình.</w:t>
      </w:r>
      <w:r>
        <w:rPr>
          <w:rFonts w:ascii="Times New Roman" w:hAnsi="Times New Roman" w:cs="Times New Roman"/>
          <w:b w:val="0"/>
          <w:bCs w:val="0"/>
          <w:sz w:val="26"/>
          <w:szCs w:val="26"/>
        </w:rPr>
      </w:r>
      <w:r/>
    </w:p>
    <w:p w14:paraId="690443BF">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C</w:t>
      </w:r>
      <w:r>
        <w:rPr>
          <w:rFonts w:ascii="Times New Roman" w:hAnsi="Times New Roman" w:cs="Times New Roman"/>
          <w:b w:val="0"/>
          <w:bCs w:val="0"/>
          <w:sz w:val="26"/>
          <w:szCs w:val="26"/>
        </w:rPr>
        <w:t xml:space="preserve">ùng với vô thường, tư tưởng Vô ngã là một nội dung quan trọng khác trong hệ thống quan điểm Nhân – Quả của Phật giáo. Vô ngã phủ nhận sự tồn tại của một cái “tôi” bất biến, cho rằng con người chỉ là sự kết hợp tạm thời của các yếu tố vật chất và tinh thần.</w:t>
      </w: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 xml:space="preserve">Chính sự chấp ngã, coi cái “tôi” là trung tâm tuyệt đối, là nguyên nhân sâu xa dẫn đến tham lam, ích kỷ và xung đột trong đời sống xã hội. Từ đó, vô ngã trở thành cơ sở lý luận để Phật giáo giải thích vì sao những hành vi xuất phát từ lòng tham và sự chấp </w:t>
      </w:r>
      <w:r>
        <w:rPr>
          <w:rFonts w:ascii="Times New Roman" w:hAnsi="Times New Roman" w:cs="Times New Roman"/>
          <w:b w:val="0"/>
          <w:bCs w:val="0"/>
          <w:sz w:val="26"/>
          <w:szCs w:val="26"/>
        </w:rPr>
        <w:t xml:space="preserve">trước lại dẫn đến khổ đau.</w:t>
      </w:r>
      <w:r>
        <w:rPr>
          <w:rFonts w:ascii="Times New Roman" w:hAnsi="Times New Roman" w:cs="Times New Roman"/>
          <w:b w:val="0"/>
          <w:bCs w:val="0"/>
          <w:sz w:val="26"/>
          <w:szCs w:val="26"/>
        </w:rPr>
      </w:r>
      <w:r/>
    </w:p>
    <w:p w14:paraId="3FF20F96">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T</w:t>
      </w:r>
      <w:r>
        <w:rPr>
          <w:rFonts w:ascii="Times New Roman" w:hAnsi="Times New Roman" w:cs="Times New Roman"/>
          <w:b w:val="0"/>
          <w:bCs w:val="0"/>
          <w:sz w:val="26"/>
          <w:szCs w:val="26"/>
        </w:rPr>
        <w:t xml:space="preserve">rong mối quan hệ với quan điểm Nhân – Quả, vô ngã giúp làm rõ rằng không có một chủ thể bất biến đứng ngoài quy luật nhân quả. Con người vừa là người tạo ra Nhân, vừa là người chịu Quả trong một quá trình vận động liên tục của đời sống. Nhận thức được điều</w:t>
      </w:r>
      <w:r>
        <w:rPr>
          <w:rFonts w:ascii="Times New Roman" w:hAnsi="Times New Roman" w:cs="Times New Roman"/>
          <w:b w:val="0"/>
          <w:bCs w:val="0"/>
          <w:sz w:val="26"/>
          <w:szCs w:val="26"/>
        </w:rPr>
        <w:t xml:space="preserve"> này giúp con người giảm bớt thái độ đổ lỗi cho hoàn cảnh hoặc cho người khác, thay vào đó là ý thức tự chịu trách nhiệm về hành vi của mình. Đây chính là giá trị đạo đức – nhân sinh sâu sắc của triết học Phật giáo.</w:t>
      </w:r>
      <w:r>
        <w:rPr>
          <w:rFonts w:ascii="Times New Roman" w:hAnsi="Times New Roman" w:cs="Times New Roman"/>
          <w:b w:val="0"/>
          <w:bCs w:val="0"/>
          <w:sz w:val="26"/>
          <w:szCs w:val="26"/>
        </w:rPr>
      </w:r>
      <w:r/>
    </w:p>
    <w:p w14:paraId="203C87B7">
      <w:pPr>
        <w:suppressLineNumbers w:val="false"/>
        <w:pBdr/>
        <w:spacing w:after="119" w:before="120" w:line="360" w:lineRule="auto"/>
        <w:ind w:right="0" w:firstLine="720" w:left="0"/>
        <w:rPr>
          <w:b w:val="0"/>
          <w:bCs w:val="0"/>
        </w:rPr>
      </w:pPr>
      <w:r>
        <w:rPr>
          <w:rFonts w:ascii="Times New Roman" w:hAnsi="Times New Roman" w:cs="Times New Roman"/>
          <w:b w:val="0"/>
          <w:bCs w:val="0"/>
          <w:sz w:val="26"/>
          <w:szCs w:val="26"/>
        </w:rPr>
        <w:t xml:space="preserve">N</w:t>
      </w:r>
      <w:r>
        <w:rPr>
          <w:rFonts w:ascii="Times New Roman" w:hAnsi="Times New Roman" w:cs="Times New Roman"/>
          <w:b w:val="0"/>
          <w:bCs w:val="0"/>
          <w:sz w:val="26"/>
          <w:szCs w:val="26"/>
        </w:rPr>
        <w:t xml:space="preserve">hư vậy, các nội dung cơ bản của quan điểm Nhân – Quả trong Phật giáo không tồn tại rời rạc, mà gắn bó chặt chẽ với nhau trong một chỉnh thể thống nhất. Học thuyết Nhân – Duyên – Quả cung cấp khung lý luận tổng quát, học thuyết Nghiệp cụ thể hóa mối quan hệ</w:t>
      </w: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 xml:space="preserve">nhân quả trong đời sống con người, còn các tư tưởng vô thường và vô ngã tạo nền tảng triết học cho việc lý giải sự vận động của thế giới và hành vi của con người. Chính sự kết hợp này đã làm nên chiều sâu và sức sống bền vững của quan điểm Nhân – Quả trong</w:t>
      </w:r>
      <w:r>
        <w:rPr>
          <w:rFonts w:ascii="Times New Roman" w:hAnsi="Times New Roman" w:cs="Times New Roman"/>
          <w:b w:val="0"/>
          <w:bCs w:val="0"/>
          <w:sz w:val="26"/>
          <w:szCs w:val="26"/>
        </w:rPr>
        <w:t xml:space="preserve"> triết học Phật giáo.</w:t>
      </w:r>
      <w:r>
        <w:rPr>
          <w:b w:val="0"/>
          <w:bCs w:val="0"/>
        </w:rPr>
      </w:r>
      <w:r>
        <w:rPr>
          <w:b w:val="0"/>
          <w:bCs w:val="0"/>
        </w:rPr>
      </w:r>
    </w:p>
    <w:p>
      <w:pPr>
        <w:pStyle w:val="1039"/>
        <w:numPr>
          <w:ilvl w:val="1"/>
          <w:numId w:val="29"/>
        </w:numPr>
        <w:suppressLineNumbers w:val="false"/>
        <w:pBdr/>
        <w:spacing w:after="119" w:before="120" w:line="360" w:lineRule="auto"/>
        <w:ind w:right="0" w:firstLine="720" w:left="0"/>
        <w:rPr>
          <w:rFonts w:ascii="Times New Roman" w:hAnsi="Times New Roman" w:cs="Times New Roman"/>
          <w:b/>
          <w:sz w:val="26"/>
          <w:szCs w:val="26"/>
        </w:rPr>
      </w:pPr>
      <w:r/>
      <w:bookmarkStart w:id="14" w:name="_Toc6"/>
      <w:r>
        <w:rPr>
          <w:rFonts w:ascii="Times New Roman" w:hAnsi="Times New Roman" w:cs="Times New Roman"/>
          <w:b/>
          <w:sz w:val="26"/>
          <w:szCs w:val="26"/>
        </w:rPr>
        <w:t xml:space="preserve">Giá trị và hạn chế </w:t>
      </w:r>
      <w:r>
        <w:rPr>
          <w:rFonts w:ascii="Times New Roman" w:hAnsi="Times New Roman" w:cs="Times New Roman"/>
          <w:b/>
          <w:sz w:val="26"/>
          <w:szCs w:val="26"/>
        </w:rPr>
        <w:t xml:space="preserve">quan điểm Nhân – Quả </w:t>
      </w:r>
      <w:r>
        <w:rPr>
          <w:rFonts w:ascii="Times New Roman" w:hAnsi="Times New Roman" w:cs="Times New Roman"/>
          <w:b/>
          <w:sz w:val="26"/>
          <w:szCs w:val="26"/>
        </w:rPr>
        <w:t xml:space="preserve">của</w:t>
      </w:r>
      <w:r>
        <w:rPr>
          <w:rFonts w:ascii="Times New Roman" w:hAnsi="Times New Roman" w:cs="Times New Roman"/>
          <w:b/>
          <w:sz w:val="26"/>
          <w:szCs w:val="26"/>
        </w:rPr>
        <w:t xml:space="preserve"> Phật giáo</w:t>
      </w:r>
      <w:bookmarkEnd w:id="14"/>
      <w:r>
        <w:rPr>
          <w:rFonts w:ascii="Times New Roman" w:hAnsi="Times New Roman" w:cs="Times New Roman"/>
          <w:b/>
          <w:sz w:val="26"/>
          <w:szCs w:val="26"/>
        </w:rPr>
      </w:r>
      <w:r>
        <w:rPr>
          <w:rFonts w:ascii="Times New Roman" w:hAnsi="Times New Roman" w:cs="Times New Roman"/>
          <w:b/>
          <w:sz w:val="26"/>
          <w:szCs w:val="26"/>
        </w:rPr>
      </w:r>
    </w:p>
    <w:p w14:paraId="299EB712">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Q</w:t>
      </w:r>
      <w:r>
        <w:rPr>
          <w:rFonts w:ascii="Times New Roman" w:hAnsi="Times New Roman" w:cs="Times New Roman"/>
          <w:b w:val="0"/>
          <w:bCs w:val="0"/>
          <w:sz w:val="26"/>
          <w:szCs w:val="26"/>
        </w:rPr>
        <w:t xml:space="preserve">u</w:t>
      </w:r>
      <w:r>
        <w:rPr>
          <w:rFonts w:ascii="Times New Roman" w:hAnsi="Times New Roman" w:cs="Times New Roman"/>
          <w:b w:val="0"/>
          <w:bCs w:val="0"/>
          <w:sz w:val="26"/>
          <w:szCs w:val="26"/>
        </w:rPr>
        <w:t xml:space="preserve">an điểm Nhân – Quả của Phật giáo không chỉ có ý nghĩa trong phạm vi tôn giáo hay đạo đức cá nhân, mà còn mang giá trị triết học và nhân sinh sâu sắc, góp phần hình thành một cách nhìn toàn diện về con người, xã hội và thế giới. Việc đánh giá giá trị và hạn</w:t>
      </w:r>
      <w:r>
        <w:rPr>
          <w:rFonts w:ascii="Times New Roman" w:hAnsi="Times New Roman" w:cs="Times New Roman"/>
          <w:b w:val="0"/>
          <w:bCs w:val="0"/>
          <w:sz w:val="26"/>
          <w:szCs w:val="26"/>
        </w:rPr>
        <w:t xml:space="preserve"> chế của quan điểm này là cần thiết để làm rõ ý nghĩa lý luận cũng như khả năng vận dụng của nó trong bối cảnh xã hội hiện đại.</w:t>
      </w:r>
      <w:r>
        <w:rPr>
          <w:rFonts w:ascii="Times New Roman" w:hAnsi="Times New Roman" w:cs="Times New Roman"/>
          <w:b w:val="0"/>
          <w:bCs w:val="0"/>
          <w:sz w:val="26"/>
          <w:szCs w:val="26"/>
        </w:rPr>
      </w:r>
      <w:r/>
    </w:p>
    <w:p w14:paraId="029DF9DA">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Trước hết, giá trị nổi bật của quan điểm Nhân – Quả của Phật giáo thể hiện ở việc đề cao vai trò chủ thể của con người trong việc kiến tạo cuộc sống của chính mình</w:t>
      </w:r>
      <w:r>
        <w:rPr>
          <w:rFonts w:ascii="Times New Roman" w:hAnsi="Times New Roman" w:cs="Times New Roman"/>
          <w:b w:val="0"/>
          <w:bCs w:val="0"/>
          <w:sz w:val="26"/>
          <w:szCs w:val="26"/>
        </w:rPr>
        <w:t xml:space="preserve">. Phật giáo khẳng định rằng con người không phải là nạn nhân thụ động của số phận hay ý chí th</w:t>
      </w:r>
      <w:r>
        <w:rPr>
          <w:rFonts w:ascii="Times New Roman" w:hAnsi="Times New Roman" w:cs="Times New Roman"/>
          <w:b w:val="0"/>
          <w:bCs w:val="0"/>
          <w:sz w:val="26"/>
          <w:szCs w:val="26"/>
        </w:rPr>
        <w:t xml:space="preserve">ầ</w:t>
      </w:r>
      <w:r>
        <w:rPr>
          <w:rFonts w:ascii="Times New Roman" w:hAnsi="Times New Roman" w:cs="Times New Roman"/>
          <w:b w:val="0"/>
          <w:bCs w:val="0"/>
          <w:sz w:val="26"/>
          <w:szCs w:val="26"/>
        </w:rPr>
        <w:t xml:space="preserve">n linh, mà là chủ thể tạo ra nguyên nhân và gánh chịu kết quả từ chính hành vi của mình. Quan điểm này góp phần xây dựng ý thức trách nhiệm cá nhân, khuyến khích con người tự giác điều chỉnh hành vi, sống hướng thiện và có trách nhiệm hơn với bản thân và c</w:t>
      </w:r>
      <w:r>
        <w:rPr>
          <w:rFonts w:ascii="Times New Roman" w:hAnsi="Times New Roman" w:cs="Times New Roman"/>
          <w:b w:val="0"/>
          <w:bCs w:val="0"/>
          <w:sz w:val="26"/>
          <w:szCs w:val="26"/>
        </w:rPr>
        <w:t xml:space="preserve">ộng đồng.</w:t>
      </w:r>
      <w:r>
        <w:rPr>
          <w:rFonts w:ascii="Times New Roman" w:hAnsi="Times New Roman" w:cs="Times New Roman"/>
          <w:b w:val="0"/>
          <w:bCs w:val="0"/>
          <w:sz w:val="26"/>
          <w:szCs w:val="26"/>
        </w:rPr>
      </w:r>
      <w:r/>
    </w:p>
    <w:p w14:paraId="6FBFCDD7">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B</w:t>
      </w:r>
      <w:r>
        <w:rPr>
          <w:rFonts w:ascii="Times New Roman" w:hAnsi="Times New Roman" w:cs="Times New Roman"/>
          <w:b w:val="0"/>
          <w:bCs w:val="0"/>
          <w:sz w:val="26"/>
          <w:szCs w:val="26"/>
        </w:rPr>
        <w:t xml:space="preserve">ên cạnh đó, quan điểm Nhân – Quả mang giá trị phương pháp luận sâu sắc trong việc nhận thức và giải quyết các vấn đề xã hội. Thay vì chỉ tập trung vào hiện tượng bề ngoài hoặc xử lý hậu quả, tư duy Nhân – Quả hướng con người truy tìm nguyên nhân sâu xa của</w:t>
      </w:r>
      <w:r>
        <w:rPr>
          <w:rFonts w:ascii="Times New Roman" w:hAnsi="Times New Roman" w:cs="Times New Roman"/>
          <w:b w:val="0"/>
          <w:bCs w:val="0"/>
          <w:sz w:val="26"/>
          <w:szCs w:val="26"/>
        </w:rPr>
        <w:t xml:space="preserve"> </w:t>
      </w:r>
      <w:r>
        <w:rPr>
          <w:rFonts w:ascii="Times New Roman" w:hAnsi="Times New Roman" w:cs="Times New Roman"/>
          <w:b w:val="0"/>
          <w:bCs w:val="0"/>
          <w:sz w:val="26"/>
          <w:szCs w:val="26"/>
        </w:rPr>
        <w:t xml:space="preserve">các hiện tượng xã hội, từ đó đề xuất các giải pháp mang tính căn bản và lâu dài. Cách tiếp cận này có thể được vận dụng trong nhiều lĩnh vực như giáo dục, quản trị, kinh tế và khoa học – công nghệ, đặc biệt trong việc phòng ngừa rủi ro và xây dựng các chiế</w:t>
      </w:r>
      <w:r>
        <w:rPr>
          <w:rFonts w:ascii="Times New Roman" w:hAnsi="Times New Roman" w:cs="Times New Roman"/>
          <w:b w:val="0"/>
          <w:bCs w:val="0"/>
          <w:sz w:val="26"/>
          <w:szCs w:val="26"/>
        </w:rPr>
        <w:t xml:space="preserve">n lược phát triển bền vững.</w:t>
      </w:r>
      <w:r>
        <w:rPr>
          <w:rFonts w:ascii="Times New Roman" w:hAnsi="Times New Roman" w:cs="Times New Roman"/>
          <w:b w:val="0"/>
          <w:bCs w:val="0"/>
          <w:sz w:val="26"/>
          <w:szCs w:val="26"/>
        </w:rPr>
      </w:r>
      <w:r/>
    </w:p>
    <w:p w14:paraId="1EBB4448">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M</w:t>
      </w:r>
      <w:r>
        <w:rPr>
          <w:rFonts w:ascii="Times New Roman" w:hAnsi="Times New Roman" w:cs="Times New Roman"/>
          <w:b w:val="0"/>
          <w:bCs w:val="0"/>
          <w:sz w:val="26"/>
          <w:szCs w:val="26"/>
        </w:rPr>
        <w:t xml:space="preserve">ột giá trị quan trọng khác của quan điểm Nhân – Quả là ý nghĩa đạo đức – nhân sinh sâu sắc. Thông qua học thuyết Nghiệp, Phật giáo nhấn mạnh mối liên hệ chặt chẽ giữa hành vi đạo đức và kết quả mà con người phải gánh chịu. Điều này góp phần hình thành hệ c</w:t>
      </w:r>
      <w:r>
        <w:rPr>
          <w:rFonts w:ascii="Times New Roman" w:hAnsi="Times New Roman" w:cs="Times New Roman"/>
          <w:b w:val="0"/>
          <w:bCs w:val="0"/>
          <w:sz w:val="26"/>
          <w:szCs w:val="26"/>
        </w:rPr>
        <w:t xml:space="preserve">h</w:t>
      </w:r>
      <w:r>
        <w:rPr>
          <w:rFonts w:ascii="Times New Roman" w:hAnsi="Times New Roman" w:cs="Times New Roman"/>
          <w:b w:val="0"/>
          <w:bCs w:val="0"/>
          <w:sz w:val="26"/>
          <w:szCs w:val="26"/>
        </w:rPr>
        <w:t xml:space="preserve">uẩn mực đạo đức hướng con người đến lối sống lành mạnh, vị tha, hạn chế tham lam, ích kỷ và bạo lực. Trong bối cảnh xã hội hiện đại với nhiều áp lực và xung đột, giá trị đạo đức của quan điểm Nhân – Quả càng trở nên cần thiết trong việc ổn định đời sống ti</w:t>
      </w:r>
      <w:r>
        <w:rPr>
          <w:rFonts w:ascii="Times New Roman" w:hAnsi="Times New Roman" w:cs="Times New Roman"/>
          <w:b w:val="0"/>
          <w:bCs w:val="0"/>
          <w:sz w:val="26"/>
          <w:szCs w:val="26"/>
        </w:rPr>
        <w:t xml:space="preserve">nh thần và xây dựng mối quan hệ xã hội hài hòa</w:t>
      </w:r>
      <w:r>
        <w:rPr>
          <w:rFonts w:ascii="Times New Roman" w:hAnsi="Times New Roman" w:cs="Times New Roman"/>
          <w:b w:val="0"/>
          <w:bCs w:val="0"/>
          <w:sz w:val="26"/>
          <w:szCs w:val="26"/>
        </w:rPr>
        <w:t xml:space="preserve"> (Thích Nhật Từ, 2019)</w:t>
      </w:r>
      <w:r>
        <w:rPr>
          <w:rFonts w:ascii="Times New Roman" w:hAnsi="Times New Roman" w:cs="Times New Roman"/>
          <w:b w:val="0"/>
          <w:bCs w:val="0"/>
          <w:sz w:val="26"/>
          <w:szCs w:val="26"/>
        </w:rPr>
        <w:t xml:space="preserve">.</w:t>
      </w:r>
      <w:r>
        <w:rPr>
          <w:rFonts w:ascii="Times New Roman" w:hAnsi="Times New Roman" w:cs="Times New Roman"/>
          <w:b w:val="0"/>
          <w:bCs w:val="0"/>
          <w:sz w:val="26"/>
          <w:szCs w:val="26"/>
        </w:rPr>
      </w:r>
      <w:r/>
    </w:p>
    <w:p w14:paraId="619652BE">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S</w:t>
      </w:r>
      <w:r>
        <w:rPr>
          <w:rFonts w:ascii="Times New Roman" w:hAnsi="Times New Roman" w:cs="Times New Roman"/>
          <w:b w:val="0"/>
          <w:bCs w:val="0"/>
          <w:sz w:val="26"/>
          <w:szCs w:val="26"/>
        </w:rPr>
        <w:t xml:space="preserve">o sánh với quan điểm nhân quả trong triết học Mác – Lênin cho thấy những điểm tương đồng và khác biệt đáng chú ý. Cả hai đều thừa nhận mối liên hệ nhân – quả khách quan chi phối sự vận động và phát triển của thế giới. Tuy nhiên, nếu triết học Mác – Lênin t</w:t>
      </w:r>
      <w:r>
        <w:rPr>
          <w:rFonts w:ascii="Times New Roman" w:hAnsi="Times New Roman" w:cs="Times New Roman"/>
          <w:b w:val="0"/>
          <w:bCs w:val="0"/>
          <w:sz w:val="26"/>
          <w:szCs w:val="26"/>
        </w:rPr>
        <w:t xml:space="preserve">i</w:t>
      </w:r>
      <w:r>
        <w:rPr>
          <w:rFonts w:ascii="Times New Roman" w:hAnsi="Times New Roman" w:cs="Times New Roman"/>
          <w:b w:val="0"/>
          <w:bCs w:val="0"/>
          <w:sz w:val="26"/>
          <w:szCs w:val="26"/>
        </w:rPr>
        <w:t xml:space="preserve">ếp cận mối quan hệ nhân quả từ góc độ duy vật biện chứng, nhấn mạnh vai trò của các điều kiện vật chất và quy luật khách quan, thì Phật giáo tiếp cận từ góc độ nhân sinh, đạo đức và nhận thức, nhấn mạnh vai trò của hành vi và ý thức con người. Sự khác biệt</w:t>
      </w:r>
      <w:r>
        <w:rPr>
          <w:rFonts w:ascii="Times New Roman" w:hAnsi="Times New Roman" w:cs="Times New Roman"/>
          <w:b w:val="0"/>
          <w:bCs w:val="0"/>
          <w:sz w:val="26"/>
          <w:szCs w:val="26"/>
        </w:rPr>
        <w:t xml:space="preserve"> này không mang tính đối lập tuyệt đối, mà có thể bổ sung cho nhau trong việc lý giải và giải quyết các vấn đề phức tạp của đời sống xã hội.</w:t>
      </w:r>
      <w:r>
        <w:rPr>
          <w:rFonts w:ascii="Times New Roman" w:hAnsi="Times New Roman" w:cs="Times New Roman"/>
          <w:b w:val="0"/>
          <w:bCs w:val="0"/>
          <w:sz w:val="26"/>
          <w:szCs w:val="26"/>
        </w:rPr>
      </w:r>
      <w:r/>
    </w:p>
    <w:p w14:paraId="0B2687E8">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T</w:t>
      </w:r>
      <w:r>
        <w:rPr>
          <w:rFonts w:ascii="Times New Roman" w:hAnsi="Times New Roman" w:cs="Times New Roman"/>
          <w:b w:val="0"/>
          <w:bCs w:val="0"/>
          <w:sz w:val="26"/>
          <w:szCs w:val="26"/>
        </w:rPr>
        <w:t xml:space="preserve">uy nhiên, bên cạnh những giá trị tích cực, quan điểm Nhân – Quả của Phật giáo cũng tồn tại những hạn chế nhất định. Do ra đời trong bối cảnh lịch sử – xã hội cụ thể, học thuyết này còn mang yếu tố tâm linh và tôn giáo, chưa thể thay thế hoàn toàn các phươn</w:t>
      </w:r>
      <w:r>
        <w:rPr>
          <w:rFonts w:ascii="Times New Roman" w:hAnsi="Times New Roman" w:cs="Times New Roman"/>
          <w:b w:val="0"/>
          <w:bCs w:val="0"/>
          <w:sz w:val="26"/>
          <w:szCs w:val="26"/>
        </w:rPr>
        <w:t xml:space="preserve">g</w:t>
      </w:r>
      <w:r>
        <w:rPr>
          <w:rFonts w:ascii="Times New Roman" w:hAnsi="Times New Roman" w:cs="Times New Roman"/>
          <w:b w:val="0"/>
          <w:bCs w:val="0"/>
          <w:sz w:val="26"/>
          <w:szCs w:val="26"/>
        </w:rPr>
        <w:t xml:space="preserve"> pháp khoa học hiện đại trong việc giải thích các hiện tượng tự nhiên và xã hội mang tính kỹ thuật – công nghệ. Nếu vận dụng một cách giản đơn hoặc tuyệt đối hóa, quan điểm Nhân – Quả có thể dẫn đến thái độ quy giản các vấn đề xã hội phức tạp về hành vi cá</w:t>
      </w:r>
      <w:r>
        <w:rPr>
          <w:rFonts w:ascii="Times New Roman" w:hAnsi="Times New Roman" w:cs="Times New Roman"/>
          <w:b w:val="0"/>
          <w:bCs w:val="0"/>
          <w:sz w:val="26"/>
          <w:szCs w:val="26"/>
        </w:rPr>
        <w:t xml:space="preserve"> nhân, bỏ qua vai trò của các yếu tố cấu trúc như kinh tế, chính trị và thể chế </w:t>
      </w:r>
      <w:r>
        <w:rPr>
          <w:rFonts w:ascii="Times New Roman" w:hAnsi="Times New Roman" w:cs="Times New Roman"/>
          <w:b w:val="0"/>
          <w:bCs w:val="0"/>
          <w:sz w:val="26"/>
          <w:szCs w:val="26"/>
        </w:rPr>
        <w:t xml:space="preserve">(Bộ Giáo dục và Đào tạo, 2022)</w:t>
      </w:r>
      <w:r>
        <w:rPr>
          <w:rFonts w:ascii="Times New Roman" w:hAnsi="Times New Roman" w:cs="Times New Roman"/>
          <w:b w:val="0"/>
          <w:bCs w:val="0"/>
          <w:sz w:val="26"/>
          <w:szCs w:val="26"/>
        </w:rPr>
        <w:t xml:space="preserve">.</w:t>
      </w:r>
      <w:r>
        <w:rPr>
          <w:rFonts w:ascii="Times New Roman" w:hAnsi="Times New Roman" w:cs="Times New Roman"/>
          <w:b w:val="0"/>
          <w:bCs w:val="0"/>
          <w:sz w:val="26"/>
          <w:szCs w:val="26"/>
        </w:rPr>
      </w:r>
      <w:r/>
    </w:p>
    <w:p w14:paraId="6C719AD3">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M</w:t>
      </w:r>
      <w:r>
        <w:rPr>
          <w:rFonts w:ascii="Times New Roman" w:hAnsi="Times New Roman" w:cs="Times New Roman"/>
          <w:b w:val="0"/>
          <w:bCs w:val="0"/>
          <w:sz w:val="26"/>
          <w:szCs w:val="26"/>
        </w:rPr>
        <w:t xml:space="preserve">ột hạn chế khác của quan điểm Nhân – Quả là nguy cơ bị hiểu sai theo hướng định mệnh hoặc an phận nếu không được giải thích đầy đủ. Khi nhấn mạnh mối liên hệ giữa hành vi quá khứ và kết quả hiện tại, một số cách diễn giải cực đoan có thể khiến con người ch</w:t>
      </w:r>
      <w:r>
        <w:rPr>
          <w:rFonts w:ascii="Times New Roman" w:hAnsi="Times New Roman" w:cs="Times New Roman"/>
          <w:b w:val="0"/>
          <w:bCs w:val="0"/>
          <w:sz w:val="26"/>
          <w:szCs w:val="26"/>
        </w:rPr>
        <w:t xml:space="preserve">ấp nhận khổ đau như điều tất yếu, thay vì chủ động cải biến hoàn cảnh sống. Điều này đòi hỏi việc vận dụng quan điểm Nhân – Quả phải gắn liền với tinh thần vô thường và khả năng chuyển hóa, tránh rơi vào chủ nghĩa định mệnh trá hình.</w:t>
      </w:r>
      <w:r>
        <w:rPr>
          <w:rFonts w:ascii="Times New Roman" w:hAnsi="Times New Roman" w:cs="Times New Roman"/>
          <w:b w:val="0"/>
          <w:bCs w:val="0"/>
          <w:sz w:val="26"/>
          <w:szCs w:val="26"/>
        </w:rPr>
      </w:r>
      <w:r/>
    </w:p>
    <w:p w14:paraId="0072C7D0">
      <w:pPr>
        <w:suppressLineNumbers w:val="false"/>
        <w:pBdr/>
        <w:spacing w:after="119" w:before="120" w:line="360" w:lineRule="auto"/>
        <w:ind w:right="0" w:firstLine="720" w:left="0"/>
        <w:rPr/>
      </w:pPr>
      <w:r>
        <w:rPr>
          <w:rFonts w:ascii="Times New Roman" w:hAnsi="Times New Roman" w:cs="Times New Roman"/>
          <w:b w:val="0"/>
          <w:bCs w:val="0"/>
          <w:sz w:val="26"/>
          <w:szCs w:val="26"/>
        </w:rPr>
        <w:t xml:space="preserve">T</w:t>
      </w:r>
      <w:r>
        <w:rPr>
          <w:rFonts w:ascii="Times New Roman" w:hAnsi="Times New Roman" w:cs="Times New Roman"/>
          <w:b w:val="0"/>
          <w:bCs w:val="0"/>
          <w:sz w:val="26"/>
          <w:szCs w:val="26"/>
        </w:rPr>
        <w:t xml:space="preserve">ừ góc độ triết học hiện đại, có thể thấy rằng quan điểm Nhân – Quả của Phật giáo không đối lập với khoa học, mà có thể bổ sung cho cách tiếp cận khoa học trong việc giải quyết các vấn đề liên quan đến con người và xã hội. Khi được vận dụng một cách chọn lọ</w:t>
      </w:r>
      <w:r>
        <w:rPr>
          <w:rFonts w:ascii="Times New Roman" w:hAnsi="Times New Roman" w:cs="Times New Roman"/>
          <w:b w:val="0"/>
          <w:bCs w:val="0"/>
          <w:sz w:val="26"/>
          <w:szCs w:val="26"/>
        </w:rPr>
        <w:t xml:space="preserve">c và phê phán, quan điểm này có thể góp phần làm phong phú thêm thế giới quan và phương pháp luận của con người, đặc biệt trong việc định hướng hành vi đạo đức và xây dựng lối sống bền vững </w:t>
      </w:r>
      <w:r>
        <w:rPr>
          <w:rFonts w:ascii="Times New Roman" w:hAnsi="Times New Roman" w:cs="Times New Roman"/>
          <w:b w:val="0"/>
          <w:bCs w:val="0"/>
          <w:sz w:val="26"/>
          <w:szCs w:val="26"/>
        </w:rPr>
        <w:t xml:space="preserve">(Bộ Giáo dục và Đào tạo, 2022)</w:t>
      </w:r>
      <w:r>
        <w:rPr>
          <w:rFonts w:ascii="Times New Roman" w:hAnsi="Times New Roman" w:cs="Times New Roman"/>
          <w:b w:val="0"/>
          <w:bCs w:val="0"/>
          <w:sz w:val="26"/>
          <w:szCs w:val="26"/>
        </w:rPr>
        <w:t xml:space="preserve">.</w:t>
      </w:r>
      <w:r>
        <w:rPr>
          <w:rFonts w:ascii="Times New Roman" w:hAnsi="Times New Roman" w:cs="Times New Roman"/>
          <w:b w:val="0"/>
          <w:bCs w:val="0"/>
          <w:sz w:val="26"/>
          <w:szCs w:val="26"/>
        </w:rPr>
      </w:r>
      <w:r/>
    </w:p>
    <w:p w14:paraId="16B9BEA6">
      <w:pPr>
        <w:suppressLineNumbers w:val="false"/>
        <w:pBdr/>
        <w:spacing w:after="119" w:before="120" w:line="360" w:lineRule="auto"/>
        <w:ind w:right="0" w:firstLine="720" w:left="0"/>
        <w:rPr>
          <w:rFonts w:ascii="Times New Roman" w:hAnsi="Times New Roman" w:cs="Times New Roman"/>
          <w:b w:val="0"/>
          <w:bCs w:val="0"/>
          <w:sz w:val="26"/>
          <w:szCs w:val="26"/>
        </w:rPr>
      </w:pPr>
      <w:r>
        <w:rPr>
          <w:rFonts w:ascii="Times New Roman" w:hAnsi="Times New Roman" w:cs="Times New Roman"/>
          <w:b w:val="0"/>
          <w:bCs w:val="0"/>
          <w:sz w:val="26"/>
          <w:szCs w:val="26"/>
        </w:rPr>
        <w:t xml:space="preserve">N</w:t>
      </w:r>
      <w:r>
        <w:rPr>
          <w:rFonts w:ascii="Times New Roman" w:hAnsi="Times New Roman" w:cs="Times New Roman"/>
          <w:b w:val="0"/>
          <w:bCs w:val="0"/>
          <w:sz w:val="26"/>
          <w:szCs w:val="26"/>
        </w:rPr>
        <w:t xml:space="preserve">hư vậy, việc đánh giá giá trị và hạn chế của quan điểm Nhân – Quả của Phật giáo cho thấy đây là một học thuyết có giá trị nhân sinh sâu sắc và ý nghĩa phương pháp luận nhất định, nhưng cần được vận dụng một cách khoa học, linh hoạt và phù hợp với bối cảnh </w:t>
      </w:r>
      <w:r>
        <w:rPr>
          <w:rFonts w:ascii="Times New Roman" w:hAnsi="Times New Roman" w:cs="Times New Roman"/>
          <w:b w:val="0"/>
          <w:bCs w:val="0"/>
          <w:sz w:val="26"/>
          <w:szCs w:val="26"/>
        </w:rPr>
        <w:t xml:space="preserve">lịch sử – xã hội cụ thể. Chính sự kết hợp giữa tinh thần Nhân – Quả của Phật giáo và các thành tựu của triết học và khoa học hiện đại sẽ tạo nên cơ sở vững chắc cho việc giải quyết những vấn đề phức tạp của đời sống con người trong thời đại ngày nay.</w:t>
      </w:r>
      <w:r>
        <w:rPr>
          <w:rFonts w:ascii="Times New Roman" w:hAnsi="Times New Roman" w:cs="Times New Roman"/>
          <w:b w:val="0"/>
          <w:bCs w:val="0"/>
          <w:sz w:val="26"/>
          <w:szCs w:val="26"/>
        </w:rPr>
      </w:r>
      <w:r>
        <w:rPr>
          <w:rFonts w:ascii="Times New Roman" w:hAnsi="Times New Roman" w:cs="Times New Roman"/>
          <w:b w:val="0"/>
          <w:bCs w:val="0"/>
          <w:sz w:val="26"/>
          <w:szCs w:val="26"/>
        </w:rPr>
      </w:r>
    </w:p>
    <w:p w14:paraId="1B5BEE7D">
      <w:pPr>
        <w:suppressLineNumbers w:val="false"/>
        <w:pBdr/>
        <w:shd w:val="nil" w:color="auto"/>
        <w:spacing w:after="119" w:before="120" w:line="360" w:lineRule="auto"/>
        <w:ind w:right="0" w:firstLine="720" w:left="0"/>
        <w:rPr>
          <w:b w:val="0"/>
          <w:bCs w:val="0"/>
        </w:rPr>
      </w:pPr>
      <w:r>
        <w:rPr>
          <w:b w:val="0"/>
          <w:bCs w:val="0"/>
        </w:rPr>
        <w:br w:type="page" w:clear="all"/>
      </w:r>
      <w:r>
        <w:rPr>
          <w:b w:val="0"/>
          <w:bCs w:val="0"/>
        </w:rPr>
      </w:r>
      <w:r>
        <w:rPr>
          <w:b w:val="0"/>
          <w:bCs w:val="0"/>
        </w:rPr>
      </w:r>
    </w:p>
    <w:p>
      <w:pPr>
        <w:pStyle w:val="1239"/>
        <w:suppressLineNumbers w:val="false"/>
        <w:pBdr/>
        <w:spacing w:after="119" w:before="120"/>
        <w:ind w:right="0" w:firstLine="720" w:left="0"/>
        <w:rPr>
          <w:rFonts w:eastAsia="Times New Roman" w:cs="Times New Roman"/>
          <w:szCs w:val="26"/>
        </w:rPr>
      </w:pPr>
      <w:r/>
      <w:bookmarkStart w:id="15" w:name="_Toc7"/>
      <w:r>
        <w:rPr>
          <w:rFonts w:eastAsia="Times New Roman" w:cs="Times New Roman"/>
          <w:szCs w:val="26"/>
        </w:rPr>
        <w:t xml:space="preserve">THỰC TRẠNG RỦI RO AN NINH MẠNG </w:t>
      </w:r>
      <w:r>
        <w:rPr>
          <w:rFonts w:eastAsia="Times New Roman" w:cs="Times New Roman"/>
          <w:szCs w:val="26"/>
        </w:rPr>
        <w:t xml:space="preserve">Ở</w:t>
      </w:r>
      <w:r>
        <w:rPr>
          <w:rFonts w:eastAsia="Times New Roman" w:cs="Times New Roman"/>
          <w:szCs w:val="26"/>
        </w:rPr>
        <w:t xml:space="preserve"> VNPT-IT </w:t>
      </w:r>
      <w:r>
        <w:rPr>
          <w:rFonts w:eastAsia="Times New Roman" w:cs="Times New Roman"/>
          <w:szCs w:val="26"/>
        </w:rPr>
        <w:t xml:space="preserve">CHI NHÁNH ĐỒNG THÁP VÀ GIẢI PHÁP DỰA TRÊN QUAN ĐIỂM NHÂN - QUẢ</w:t>
      </w:r>
      <w:r>
        <w:rPr>
          <w:rFonts w:eastAsia="Times New Roman" w:cs="Times New Roman"/>
          <w:szCs w:val="26"/>
        </w:rPr>
        <w:t xml:space="preserve"> CỦA PHẬT GIÁO</w:t>
      </w:r>
      <w:bookmarkEnd w:id="15"/>
      <w:r>
        <w:rPr>
          <w:rFonts w:eastAsia="Times New Roman" w:cs="Times New Roman"/>
          <w:szCs w:val="26"/>
        </w:rPr>
      </w:r>
      <w:r>
        <w:rPr>
          <w:rFonts w:eastAsia="Times New Roman" w:cs="Times New Roman"/>
          <w:szCs w:val="26"/>
        </w:rPr>
      </w:r>
    </w:p>
    <w:p>
      <w:pPr>
        <w:pStyle w:val="1039"/>
        <w:numPr>
          <w:ilvl w:val="1"/>
          <w:numId w:val="35"/>
        </w:numPr>
        <w:suppressLineNumbers w:val="false"/>
        <w:pBdr/>
        <w:spacing w:after="119" w:before="120"/>
        <w:ind w:right="0" w:firstLine="720" w:left="0"/>
        <w:rPr>
          <w:rFonts w:eastAsia="Times New Roman" w:cs="Times New Roman"/>
          <w:szCs w:val="26"/>
        </w:rPr>
      </w:pPr>
      <w:r/>
      <w:bookmarkStart w:id="16" w:name="_Toc8"/>
      <w:r/>
      <w:bookmarkStart w:id="4" w:name="_nm0do5soouiq"/>
      <w:r/>
      <w:bookmarkEnd w:id="4"/>
      <w:r>
        <w:rPr>
          <w:rFonts w:eastAsia="Times New Roman" w:cs="Times New Roman"/>
          <w:szCs w:val="26"/>
        </w:rPr>
        <w:t xml:space="preserve">Khái quát về VNPT-I</w:t>
      </w:r>
      <w:r>
        <w:rPr>
          <w:rFonts w:eastAsia="Times New Roman" w:cs="Times New Roman"/>
          <w:szCs w:val="26"/>
        </w:rPr>
        <w:t xml:space="preserve">T chi nhánh tỉnh Đồng Tháp và công tác bảo mật thông tin</w:t>
      </w:r>
      <w:bookmarkEnd w:id="16"/>
      <w:r>
        <w:rPr>
          <w:rFonts w:eastAsia="Times New Roman" w:cs="Times New Roman"/>
          <w:szCs w:val="26"/>
        </w:rPr>
      </w:r>
      <w:r>
        <w:rPr>
          <w:rFonts w:eastAsia="Times New Roman" w:cs="Times New Roman"/>
          <w:szCs w:val="26"/>
        </w:rPr>
      </w:r>
    </w:p>
    <w:p w14:paraId="52DD787F">
      <w:pPr>
        <w:suppressLineNumbers w:val="false"/>
        <w:pBdr/>
        <w:spacing w:after="119" w:before="120" w:line="360" w:lineRule="auto"/>
        <w:ind w:right="0" w:firstLine="720" w:left="0"/>
        <w:rPr/>
      </w:pPr>
      <w:r>
        <w:rPr>
          <w:rFonts w:ascii="Times New Roman" w:hAnsi="Times New Roman" w:eastAsia="Times New Roman" w:cs="Times New Roman"/>
          <w:b w:val="0"/>
          <w:bCs w:val="0"/>
          <w:color w:val="1f1f1f"/>
          <w:sz w:val="26"/>
          <w:szCs w:val="26"/>
          <w:highlight w:val="none"/>
          <w:lang w:val="en-US"/>
        </w:rPr>
        <w:t xml:space="preserve">T</w:t>
      </w:r>
      <w:r>
        <w:rPr>
          <w:rFonts w:ascii="Times New Roman" w:hAnsi="Times New Roman" w:eastAsia="Times New Roman" w:cs="Times New Roman"/>
          <w:b w:val="0"/>
          <w:bCs w:val="0"/>
          <w:color w:val="1f1f1f"/>
          <w:sz w:val="26"/>
          <w:szCs w:val="26"/>
          <w:highlight w:val="none"/>
        </w:rPr>
        <w:t xml:space="preserve">r</w:t>
      </w:r>
      <w:r>
        <w:rPr>
          <w:rFonts w:ascii="Times New Roman" w:hAnsi="Times New Roman" w:eastAsia="Times New Roman" w:cs="Times New Roman"/>
          <w:b w:val="0"/>
          <w:bCs w:val="0"/>
          <w:color w:val="1f1f1f"/>
          <w:sz w:val="26"/>
          <w:szCs w:val="26"/>
          <w:highlight w:val="none"/>
        </w:rPr>
        <w:t xml:space="preserve">ong bối cảnh cuộc cách mạng công nghiệp lần thứ tư đang diễn ra mạnh mẽ, chuyển đổi số đã trở thành xu thế tất yếu đối với mọi quốc gia, tổ chức và doanh nghiệp. Công nghệ thông tin không chỉ đóng vai trò là công cụ hỗ trợ, mà đã trở thành nền tảng cốt lõi</w:t>
      </w:r>
      <w:r>
        <w:rPr>
          <w:rFonts w:ascii="Times New Roman" w:hAnsi="Times New Roman" w:eastAsia="Times New Roman" w:cs="Times New Roman"/>
          <w:b w:val="0"/>
          <w:bCs w:val="0"/>
          <w:color w:val="1f1f1f"/>
          <w:sz w:val="26"/>
          <w:szCs w:val="26"/>
          <w:highlight w:val="none"/>
        </w:rPr>
        <w:t xml:space="preserve"> </w:t>
      </w:r>
      <w:r>
        <w:rPr>
          <w:rFonts w:ascii="Times New Roman" w:hAnsi="Times New Roman" w:eastAsia="Times New Roman" w:cs="Times New Roman"/>
          <w:b w:val="0"/>
          <w:bCs w:val="0"/>
          <w:color w:val="1f1f1f"/>
          <w:sz w:val="26"/>
          <w:szCs w:val="26"/>
          <w:highlight w:val="none"/>
        </w:rPr>
        <w:t xml:space="preserve">cho hoạt động quản lý, điều hành và cung cấp dịch vụ. Cùng với sự phát triển đó, vấn đề an toàn thông tin và an ninh mạng ngày càng trở nên cấp thiết, bởi mọi sự cố liên quan đến dữ liệu và hệ thống thông tin đều có thể gây ra những hậu quả nghiêm trọng về</w:t>
      </w:r>
      <w:r>
        <w:rPr>
          <w:rFonts w:ascii="Times New Roman" w:hAnsi="Times New Roman" w:eastAsia="Times New Roman" w:cs="Times New Roman"/>
          <w:b w:val="0"/>
          <w:bCs w:val="0"/>
          <w:color w:val="1f1f1f"/>
          <w:sz w:val="26"/>
          <w:szCs w:val="26"/>
          <w:highlight w:val="none"/>
        </w:rPr>
        <w:t xml:space="preserve"> kinh tế, chính trị và xã hội.</w:t>
      </w:r>
      <w:r>
        <w:rPr>
          <w:rFonts w:ascii="Times New Roman" w:hAnsi="Times New Roman" w:eastAsia="Times New Roman" w:cs="Times New Roman"/>
          <w:b w:val="0"/>
          <w:bCs w:val="0"/>
          <w:color w:val="1f1f1f"/>
          <w:sz w:val="26"/>
          <w:szCs w:val="26"/>
          <w:highlight w:val="none"/>
        </w:rPr>
      </w:r>
      <w:r/>
    </w:p>
    <w:p w14:paraId="2CE215A4">
      <w:pPr>
        <w:suppressLineNumbers w:val="false"/>
        <w:pBdr/>
        <w:spacing w:after="119" w:before="120" w:line="360" w:lineRule="auto"/>
        <w:ind w:right="0" w:firstLine="720" w:left="0"/>
        <w:rPr/>
      </w:pPr>
      <w:r>
        <w:rPr>
          <w:rFonts w:ascii="Times New Roman" w:hAnsi="Times New Roman" w:eastAsia="Times New Roman" w:cs="Times New Roman"/>
          <w:b w:val="0"/>
          <w:bCs w:val="0"/>
          <w:color w:val="1f1f1f"/>
          <w:sz w:val="26"/>
          <w:szCs w:val="26"/>
          <w:highlight w:val="none"/>
        </w:rPr>
        <w:t xml:space="preserve">L</w:t>
      </w:r>
      <w:r>
        <w:rPr>
          <w:rFonts w:ascii="Times New Roman" w:hAnsi="Times New Roman" w:eastAsia="Times New Roman" w:cs="Times New Roman"/>
          <w:b w:val="0"/>
          <w:bCs w:val="0"/>
          <w:color w:val="1f1f1f"/>
          <w:sz w:val="26"/>
          <w:szCs w:val="26"/>
          <w:highlight w:val="none"/>
        </w:rPr>
        <w:t xml:space="preserve">à đơn vị trực thuộc Tập đoàn Bưu chính Viễn thông Việt Nam, VNPT-IT Chi nhánh tỉnh Đồng Tháp có chức năng triển khai, vận hành và bảo đảm an toàn cho các hệ thống công nghệ thông tin phục vụ hoạt động của chính quyền địa phương, doanh nghiệp và người dân t</w:t>
      </w:r>
      <w:r>
        <w:rPr>
          <w:rFonts w:ascii="Times New Roman" w:hAnsi="Times New Roman" w:eastAsia="Times New Roman" w:cs="Times New Roman"/>
          <w:b w:val="0"/>
          <w:bCs w:val="0"/>
          <w:color w:val="1f1f1f"/>
          <w:sz w:val="26"/>
          <w:szCs w:val="26"/>
          <w:highlight w:val="none"/>
        </w:rPr>
        <w:t xml:space="preserve">rên địa bàn tỉnh. Các hệ thống này bao gồm nhiều lĩnh vực nhạy cảm như hạ tầng chính quyền điện tử, nền tảng chuyển đổi số, cơ sở dữ liệu hành chính công, dữ liệu khách hàng viễn thông – công nghệ thông tin và các hệ thống dịch vụ công trực tuyến </w:t>
      </w:r>
      <w:r>
        <w:rPr>
          <w:rFonts w:ascii="Times New Roman" w:hAnsi="Times New Roman" w:eastAsia="Times New Roman" w:cs="Times New Roman"/>
          <w:b w:val="0"/>
          <w:bCs w:val="0"/>
          <w:color w:val="1f1f1f"/>
          <w:sz w:val="26"/>
          <w:szCs w:val="26"/>
          <w:highlight w:val="none"/>
        </w:rPr>
        <w:t xml:space="preserve">(VNPT, 2023)</w:t>
      </w:r>
      <w:r>
        <w:rPr>
          <w:rFonts w:ascii="Times New Roman" w:hAnsi="Times New Roman" w:eastAsia="Times New Roman" w:cs="Times New Roman"/>
          <w:b w:val="0"/>
          <w:bCs w:val="0"/>
          <w:color w:val="1f1f1f"/>
          <w:sz w:val="26"/>
          <w:szCs w:val="26"/>
          <w:highlight w:val="none"/>
        </w:rPr>
        <w:t xml:space="preserve">.</w:t>
      </w:r>
      <w:r>
        <w:rPr>
          <w:rFonts w:ascii="Times New Roman" w:hAnsi="Times New Roman" w:eastAsia="Times New Roman" w:cs="Times New Roman"/>
          <w:b w:val="0"/>
          <w:bCs w:val="0"/>
          <w:color w:val="1f1f1f"/>
          <w:sz w:val="26"/>
          <w:szCs w:val="26"/>
          <w:highlight w:val="none"/>
        </w:rPr>
      </w:r>
      <w:r/>
    </w:p>
    <w:p w14:paraId="1AB9DB90">
      <w:pPr>
        <w:suppressLineNumbers w:val="false"/>
        <w:pBdr/>
        <w:spacing w:after="119" w:before="120" w:line="360" w:lineRule="auto"/>
        <w:ind w:right="0" w:firstLine="720" w:left="0"/>
        <w:rPr/>
      </w:pPr>
      <w:r>
        <w:rPr>
          <w:rFonts w:ascii="Times New Roman" w:hAnsi="Times New Roman" w:eastAsia="Times New Roman" w:cs="Times New Roman"/>
          <w:b w:val="0"/>
          <w:bCs w:val="0"/>
          <w:color w:val="1f1f1f"/>
          <w:sz w:val="26"/>
          <w:szCs w:val="26"/>
          <w:highlight w:val="none"/>
        </w:rPr>
        <w:t xml:space="preserve">T</w:t>
      </w:r>
      <w:r>
        <w:rPr>
          <w:rFonts w:ascii="Times New Roman" w:hAnsi="Times New Roman" w:eastAsia="Times New Roman" w:cs="Times New Roman"/>
          <w:b w:val="0"/>
          <w:bCs w:val="0"/>
          <w:color w:val="1f1f1f"/>
          <w:sz w:val="26"/>
          <w:szCs w:val="26"/>
          <w:highlight w:val="none"/>
        </w:rPr>
        <w:t xml:space="preserve">rong điều kiện đó, công tác bảo mật thông tin tại VNPT-IT Chi nhánh Đồng Tháp không chỉ mang ý nghĩa kỹ thuật, mà còn gắn liền với trách nhiệm pháp lý, uy tín tổ chức và niềm tin của xã hội. Mọi sơ hở trong công tác bảo mật đều có thể trở thành “điểm yếu” </w:t>
      </w:r>
      <w:r>
        <w:rPr>
          <w:rFonts w:ascii="Times New Roman" w:hAnsi="Times New Roman" w:eastAsia="Times New Roman" w:cs="Times New Roman"/>
          <w:b w:val="0"/>
          <w:bCs w:val="0"/>
          <w:color w:val="1f1f1f"/>
          <w:sz w:val="26"/>
          <w:szCs w:val="26"/>
          <w:highlight w:val="none"/>
        </w:rPr>
        <w:t xml:space="preserve">bị khai thác, dẫn đến các sự cố an ninh mạng với hậu quả khó lường. Chính vì vậy, việc nhận diện đầy đủ các nguy cơ rủi ro an ninh mạng và phân tích nguyên nhân của chúng là yêu cầu cấp thiết đối với đơn vị trong quá trình thực hiện nhiệm vụ.</w:t>
      </w:r>
      <w:r>
        <w:rPr>
          <w:rFonts w:ascii="Times New Roman" w:hAnsi="Times New Roman" w:eastAsia="Times New Roman" w:cs="Times New Roman"/>
          <w:b w:val="0"/>
          <w:bCs w:val="0"/>
          <w:color w:val="1f1f1f"/>
          <w:sz w:val="26"/>
          <w:szCs w:val="26"/>
          <w:highlight w:val="none"/>
        </w:rPr>
      </w:r>
      <w:r/>
    </w:p>
    <w:p w14:paraId="4DFB7E3F">
      <w:pPr>
        <w:suppressLineNumbers w:val="false"/>
        <w:pBdr/>
        <w:spacing w:after="119" w:before="120" w:line="360" w:lineRule="auto"/>
        <w:ind w:right="0" w:firstLine="720" w:left="0"/>
        <w:rPr/>
      </w:pPr>
      <w:r>
        <w:rPr>
          <w:rFonts w:ascii="Times New Roman" w:hAnsi="Times New Roman" w:eastAsia="Times New Roman" w:cs="Times New Roman"/>
          <w:b w:val="0"/>
          <w:bCs w:val="0"/>
          <w:color w:val="1f1f1f"/>
          <w:sz w:val="26"/>
          <w:szCs w:val="26"/>
          <w:highlight w:val="none"/>
        </w:rPr>
        <w:t xml:space="preserve">T</w:t>
      </w:r>
      <w:r>
        <w:rPr>
          <w:rFonts w:ascii="Times New Roman" w:hAnsi="Times New Roman" w:eastAsia="Times New Roman" w:cs="Times New Roman"/>
          <w:b w:val="0"/>
          <w:bCs w:val="0"/>
          <w:color w:val="1f1f1f"/>
          <w:sz w:val="26"/>
          <w:szCs w:val="26"/>
          <w:highlight w:val="none"/>
        </w:rPr>
        <w:t xml:space="preserve">hực tiễn cho thấy, cùng với sự gia tăng về quy mô và mức độ phức tạp của các hệ thống công nghệ thông tin, các mối đe dọa an ninh mạng cũng ngày càng tinh vi và khó kiểm soát hơn. Những nguy cơ này không chỉ đến từ các đối tượng tấn công mạng bên ngoài như</w:t>
      </w:r>
      <w:r>
        <w:rPr>
          <w:rFonts w:ascii="Times New Roman" w:hAnsi="Times New Roman" w:eastAsia="Times New Roman" w:cs="Times New Roman"/>
          <w:b w:val="0"/>
          <w:bCs w:val="0"/>
          <w:color w:val="1f1f1f"/>
          <w:sz w:val="26"/>
          <w:szCs w:val="26"/>
          <w:highlight w:val="none"/>
        </w:rPr>
        <w:t xml:space="preserve"> </w:t>
      </w:r>
      <w:r>
        <w:rPr>
          <w:rFonts w:ascii="Times New Roman" w:hAnsi="Times New Roman" w:eastAsia="Times New Roman" w:cs="Times New Roman"/>
          <w:b w:val="0"/>
          <w:bCs w:val="0"/>
          <w:color w:val="1f1f1f"/>
          <w:sz w:val="26"/>
          <w:szCs w:val="26"/>
          <w:highlight w:val="none"/>
        </w:rPr>
        <w:t xml:space="preserve">hacker, mã độc, lừa đảo trực tuyến, mà còn tiềm ẩn từ chính bên trong tổ chức thông qua các hành vi vô ý hoặc thiếu ý thức của người sử dụng hệ thống. Điều này cho thấy rằng rủi ro an ninh mạng không đơn thuần là vấn đề công nghệ, mà là vấn đề tổng hợp của</w:t>
      </w:r>
      <w:r>
        <w:rPr>
          <w:rFonts w:ascii="Times New Roman" w:hAnsi="Times New Roman" w:eastAsia="Times New Roman" w:cs="Times New Roman"/>
          <w:b w:val="0"/>
          <w:bCs w:val="0"/>
          <w:color w:val="1f1f1f"/>
          <w:sz w:val="26"/>
          <w:szCs w:val="26"/>
          <w:highlight w:val="none"/>
        </w:rPr>
        <w:t xml:space="preserve"> con người, quy trình và hệ thống </w:t>
      </w:r>
      <w:r>
        <w:rPr>
          <w:rFonts w:ascii="Times New Roman" w:hAnsi="Times New Roman" w:eastAsia="Times New Roman" w:cs="Times New Roman"/>
          <w:b w:val="0"/>
          <w:bCs w:val="0"/>
          <w:color w:val="1f1f1f"/>
          <w:sz w:val="26"/>
          <w:szCs w:val="26"/>
          <w:highlight w:val="none"/>
        </w:rPr>
        <w:t xml:space="preserve">(Phạm Quang Huy, 2019)</w:t>
      </w:r>
      <w:r>
        <w:rPr>
          <w:rFonts w:ascii="Times New Roman" w:hAnsi="Times New Roman" w:eastAsia="Times New Roman" w:cs="Times New Roman"/>
          <w:b w:val="0"/>
          <w:bCs w:val="0"/>
          <w:color w:val="1f1f1f"/>
          <w:sz w:val="26"/>
          <w:szCs w:val="26"/>
          <w:highlight w:val="none"/>
        </w:rPr>
        <w:t xml:space="preserve">.</w:t>
      </w:r>
      <w:r>
        <w:rPr>
          <w:rFonts w:ascii="Times New Roman" w:hAnsi="Times New Roman" w:eastAsia="Times New Roman" w:cs="Times New Roman"/>
          <w:b w:val="0"/>
          <w:bCs w:val="0"/>
          <w:color w:val="1f1f1f"/>
          <w:sz w:val="26"/>
          <w:szCs w:val="26"/>
          <w:highlight w:val="none"/>
        </w:rPr>
      </w:r>
      <w:r/>
    </w:p>
    <w:p w14:paraId="5F5D1E4A">
      <w:pPr>
        <w:suppressLineNumbers w:val="false"/>
        <w:pBdr/>
        <w:spacing w:after="119" w:before="120" w:line="360" w:lineRule="auto"/>
        <w:ind w:right="0" w:firstLine="720" w:left="0"/>
        <w:rPr/>
      </w:pPr>
      <w:r>
        <w:rPr>
          <w:rFonts w:ascii="Times New Roman" w:hAnsi="Times New Roman" w:eastAsia="Times New Roman" w:cs="Times New Roman"/>
          <w:b w:val="0"/>
          <w:bCs w:val="0"/>
          <w:color w:val="1f1f1f"/>
          <w:sz w:val="26"/>
          <w:szCs w:val="26"/>
          <w:highlight w:val="none"/>
        </w:rPr>
        <w:t xml:space="preserve">T</w:t>
      </w:r>
      <w:r>
        <w:rPr>
          <w:rFonts w:ascii="Times New Roman" w:hAnsi="Times New Roman" w:eastAsia="Times New Roman" w:cs="Times New Roman"/>
          <w:b w:val="0"/>
          <w:bCs w:val="0"/>
          <w:color w:val="1f1f1f"/>
          <w:sz w:val="26"/>
          <w:szCs w:val="26"/>
          <w:highlight w:val="none"/>
        </w:rPr>
        <w:t xml:space="preserve">rong bối cảnh đó, việc tiếp cận công tác bảo mật thông tin chỉ từ góc độ kỹ thuật là chưa đủ. Nhiều sự cố an ninh mạng xảy ra không phải do thiếu giải pháp công nghệ, mà do yếu tố con người chưa được quan tâm đúng mức. Việc thiếu nhận thức về an toàn thông</w:t>
      </w:r>
      <w:r>
        <w:rPr>
          <w:rFonts w:ascii="Times New Roman" w:hAnsi="Times New Roman" w:eastAsia="Times New Roman" w:cs="Times New Roman"/>
          <w:b w:val="0"/>
          <w:bCs w:val="0"/>
          <w:color w:val="1f1f1f"/>
          <w:sz w:val="26"/>
          <w:szCs w:val="26"/>
          <w:highlight w:val="none"/>
        </w:rPr>
        <w:t xml:space="preserve"> tin, xem nhẹ quy trình bảo mật, hoặc đặt lợi ích cá nhân lên trên lợi ích tổ chức có thể trở thành những “Nhân xấu”, dẫn đến các “Quả xấu” khi gặp điều kiện thuận lợi từ môi trường hệ thống.</w:t>
      </w:r>
      <w:r>
        <w:rPr>
          <w:rFonts w:ascii="Times New Roman" w:hAnsi="Times New Roman" w:eastAsia="Times New Roman" w:cs="Times New Roman"/>
          <w:b w:val="0"/>
          <w:bCs w:val="0"/>
          <w:color w:val="1f1f1f"/>
          <w:sz w:val="26"/>
          <w:szCs w:val="26"/>
          <w:highlight w:val="none"/>
        </w:rPr>
      </w:r>
      <w:r/>
    </w:p>
    <w:p w14:paraId="7CF25B40">
      <w:pPr>
        <w:suppressLineNumbers w:val="false"/>
        <w:pBdr/>
        <w:spacing w:after="119" w:before="120" w:line="360" w:lineRule="auto"/>
        <w:ind w:right="0" w:firstLine="720" w:left="0"/>
        <w:rPr/>
      </w:pPr>
      <w:r>
        <w:rPr>
          <w:rFonts w:ascii="Times New Roman" w:hAnsi="Times New Roman" w:eastAsia="Times New Roman" w:cs="Times New Roman"/>
          <w:b w:val="0"/>
          <w:bCs w:val="0"/>
          <w:color w:val="1f1f1f"/>
          <w:sz w:val="26"/>
          <w:szCs w:val="26"/>
          <w:highlight w:val="none"/>
        </w:rPr>
        <w:t xml:space="preserve">C</w:t>
      </w:r>
      <w:r>
        <w:rPr>
          <w:rFonts w:ascii="Times New Roman" w:hAnsi="Times New Roman" w:eastAsia="Times New Roman" w:cs="Times New Roman"/>
          <w:b w:val="0"/>
          <w:bCs w:val="0"/>
          <w:color w:val="1f1f1f"/>
          <w:sz w:val="26"/>
          <w:szCs w:val="26"/>
          <w:highlight w:val="none"/>
        </w:rPr>
        <w:t xml:space="preserve">hính từ thực tiễn này, việc vận dụng quan điểm Nhân – Quả của Phật giáo vào phân tích rủi ro an ninh mạng tại VNPT-IT Chi nhánh Đồng Tháp trở nên có ý nghĩa đặc biệt. Quan điểm Nhân – Quả cho phép nhìn nhận các sự cố an ninh mạng không phải là những tai nạ</w:t>
      </w:r>
      <w:r>
        <w:rPr>
          <w:rFonts w:ascii="Times New Roman" w:hAnsi="Times New Roman" w:eastAsia="Times New Roman" w:cs="Times New Roman"/>
          <w:b w:val="0"/>
          <w:bCs w:val="0"/>
          <w:color w:val="1f1f1f"/>
          <w:sz w:val="26"/>
          <w:szCs w:val="26"/>
          <w:highlight w:val="none"/>
        </w:rPr>
        <w:t xml:space="preserve">n ngẫu nhiên, mà là kết quả của một chuỗi các nguyên nhân và điều kiện tích lũy trong quá trình vận hành hệ thống. Thông qua cách tiếp cận này, có thể truy tìm nguyên nhân gốc rễ của rủi ro, từ đó đề xuất các giải pháp mang tính phòng ngừa và bền vững.</w:t>
      </w:r>
      <w:r>
        <w:rPr>
          <w:rFonts w:ascii="Times New Roman" w:hAnsi="Times New Roman" w:eastAsia="Times New Roman" w:cs="Times New Roman"/>
          <w:b w:val="0"/>
          <w:bCs w:val="0"/>
          <w:color w:val="1f1f1f"/>
          <w:sz w:val="26"/>
          <w:szCs w:val="26"/>
          <w:highlight w:val="none"/>
        </w:rPr>
      </w:r>
      <w:r/>
    </w:p>
    <w:p w14:paraId="7B406BED">
      <w:pPr>
        <w:suppressLineNumbers w:val="false"/>
        <w:pBdr/>
        <w:spacing w:after="119" w:before="120" w:line="360" w:lineRule="auto"/>
        <w:ind w:right="0" w:firstLine="720" w:left="0"/>
        <w:rPr>
          <w:rFonts w:ascii="Times New Roman" w:hAnsi="Times New Roman" w:eastAsia="Times New Roman" w:cs="Times New Roman"/>
          <w:b w:val="0"/>
          <w:bCs w:val="0"/>
          <w:color w:val="1f1f1f"/>
          <w:sz w:val="26"/>
          <w:szCs w:val="26"/>
          <w:highlight w:val="none"/>
          <w14:ligatures w14:val="none"/>
        </w:rPr>
      </w:pPr>
      <w:r>
        <w:rPr>
          <w:rFonts w:ascii="Times New Roman" w:hAnsi="Times New Roman" w:eastAsia="Times New Roman" w:cs="Times New Roman"/>
          <w:b w:val="0"/>
          <w:bCs w:val="0"/>
          <w:color w:val="1f1f1f"/>
          <w:sz w:val="26"/>
          <w:szCs w:val="26"/>
          <w:highlight w:val="none"/>
        </w:rPr>
        <w:t xml:space="preserve">V</w:t>
      </w:r>
      <w:r>
        <w:rPr>
          <w:rFonts w:ascii="Times New Roman" w:hAnsi="Times New Roman" w:eastAsia="Times New Roman" w:cs="Times New Roman"/>
          <w:b w:val="0"/>
          <w:bCs w:val="0"/>
          <w:color w:val="1f1f1f"/>
          <w:sz w:val="26"/>
          <w:szCs w:val="26"/>
          <w:highlight w:val="none"/>
        </w:rPr>
        <w:t xml:space="preserve">iệc phân tích công tác bảo mật thông tin tại VNPT-IT Chi nhánh Đồng Tháp dưới góc nhìn Nhân – Quả cũng góp phần làm rõ mối quan hệ giữa đạo đức nghề nghiệp, ý thức trách nhiệm cá nhân và hiệu quả quản trị rủi ro an ninh mạng. Khi con người ý thức được rằng</w:t>
      </w:r>
      <w:r>
        <w:rPr>
          <w:rFonts w:ascii="Times New Roman" w:hAnsi="Times New Roman" w:eastAsia="Times New Roman" w:cs="Times New Roman"/>
          <w:b w:val="0"/>
          <w:bCs w:val="0"/>
          <w:color w:val="1f1f1f"/>
          <w:sz w:val="26"/>
          <w:szCs w:val="26"/>
          <w:highlight w:val="none"/>
        </w:rPr>
        <w:t xml:space="preserve"> mọi hành vi của mình đều có thể dẫn đến những hệ quả nhất định, họ sẽ chủ động hơn trong việc tuân thủ quy trình, bảo vệ dữ liệu và hệ thống thông tin. Đây chính là cơ sở lý luận quan trọng để triển khai các nội dung tiếp theo của Chương 2.</w:t>
      </w:r>
      <w:r>
        <w:rPr>
          <w:rFonts w:ascii="Times New Roman" w:hAnsi="Times New Roman" w:eastAsia="Times New Roman" w:cs="Times New Roman"/>
          <w:b w:val="0"/>
          <w:bCs w:val="0"/>
          <w:color w:val="1f1f1f"/>
          <w:sz w:val="26"/>
          <w:szCs w:val="26"/>
          <w:highlight w:val="none"/>
        </w:rPr>
      </w:r>
      <w:r>
        <w:rPr>
          <w:rFonts w:ascii="Times New Roman" w:hAnsi="Times New Roman" w:eastAsia="Times New Roman" w:cs="Times New Roman"/>
          <w:b w:val="0"/>
          <w:bCs w:val="0"/>
          <w:color w:val="1f1f1f"/>
          <w:sz w:val="26"/>
          <w:szCs w:val="26"/>
          <w:highlight w:val="none"/>
          <w14:ligatures w14:val="none"/>
        </w:rPr>
      </w:r>
    </w:p>
    <w:p>
      <w:pPr>
        <w:pStyle w:val="1039"/>
        <w:numPr>
          <w:ilvl w:val="1"/>
          <w:numId w:val="35"/>
        </w:numPr>
        <w:suppressLineNumbers w:val="false"/>
        <w:pBdr/>
        <w:spacing w:after="119" w:before="120"/>
        <w:ind w:right="0" w:firstLine="720" w:left="0"/>
        <w:rPr>
          <w:rFonts w:eastAsia="Times New Roman" w:cs="Times New Roman"/>
          <w:szCs w:val="26"/>
        </w:rPr>
      </w:pPr>
      <w:r/>
      <w:bookmarkStart w:id="17" w:name="_Toc9"/>
      <w:r/>
      <w:bookmarkStart w:id="5" w:name="_vhhsemdmkca9"/>
      <w:r/>
      <w:bookmarkEnd w:id="5"/>
      <w:r>
        <w:rPr>
          <w:rFonts w:eastAsia="Times New Roman" w:cs="Times New Roman"/>
          <w:szCs w:val="26"/>
        </w:rPr>
        <w:t xml:space="preserve">Phân tích thực trạng rủi ro an ninh mạng </w:t>
      </w:r>
      <w:r>
        <w:rPr>
          <w:rFonts w:eastAsia="Times New Roman" w:cs="Times New Roman"/>
          <w:szCs w:val="26"/>
        </w:rPr>
        <w:t xml:space="preserve">ở VNPT-IT Chi nhánh Đồng Tháp </w:t>
      </w:r>
      <w:r>
        <w:rPr>
          <w:rFonts w:eastAsia="Times New Roman" w:cs="Times New Roman"/>
          <w:szCs w:val="26"/>
        </w:rPr>
        <w:t xml:space="preserve">dưới góc nhìn Nhân - Quả</w:t>
      </w:r>
      <w:bookmarkEnd w:id="17"/>
      <w:r>
        <w:rPr>
          <w:rFonts w:eastAsia="Times New Roman" w:cs="Times New Roman"/>
          <w:szCs w:val="26"/>
        </w:rPr>
      </w:r>
      <w:r>
        <w:rPr>
          <w:rFonts w:eastAsia="Times New Roman" w:cs="Times New Roman"/>
          <w:szCs w:val="26"/>
        </w:rPr>
      </w:r>
    </w:p>
    <w:p>
      <w:pPr>
        <w:pStyle w:val="1040"/>
        <w:numPr>
          <w:ilvl w:val="2"/>
          <w:numId w:val="37"/>
        </w:numPr>
        <w:suppressLineNumbers w:val="false"/>
        <w:pBdr/>
        <w:spacing/>
        <w:ind/>
        <w:rPr>
          <w:rFonts w:ascii="Times New Roman" w:hAnsi="Times New Roman" w:eastAsia="Times New Roman" w:cs="Times New Roman"/>
          <w:b/>
          <w:bCs/>
          <w:color w:val="1f1f1f"/>
          <w:sz w:val="26"/>
          <w:szCs w:val="26"/>
        </w:rPr>
      </w:pPr>
      <w:r>
        <w:rPr>
          <w:rFonts w:ascii="Times New Roman" w:hAnsi="Times New Roman" w:eastAsia="Times New Roman" w:cs="Times New Roman"/>
          <w:b/>
          <w:bCs/>
          <w:color w:val="1f1f1f"/>
          <w:sz w:val="26"/>
          <w:szCs w:val="26"/>
        </w:rPr>
        <w:t xml:space="preserve">Phân tích "Quả" – Thực trạng rủi ro an ninh mạng tại VNPT-IT chi nhánh tỉnh Đồng Tháp:</w:t>
      </w:r>
      <w:r>
        <w:rPr>
          <w:rFonts w:ascii="Times New Roman" w:hAnsi="Times New Roman" w:eastAsia="Times New Roman" w:cs="Times New Roman"/>
          <w:b/>
          <w:bCs/>
          <w:color w:val="1f1f1f"/>
          <w:sz w:val="26"/>
          <w:szCs w:val="26"/>
        </w:rPr>
      </w:r>
      <w:r>
        <w:rPr>
          <w:rFonts w:ascii="Times New Roman" w:hAnsi="Times New Roman" w:eastAsia="Times New Roman" w:cs="Times New Roman"/>
          <w:b/>
          <w:bCs/>
          <w:color w:val="1f1f1f"/>
          <w:sz w:val="26"/>
          <w:szCs w:val="26"/>
        </w:rPr>
      </w:r>
    </w:p>
    <w:p w14:paraId="00C7131E">
      <w:pPr>
        <w:suppressLineNumbers w:val="false"/>
        <w:pBdr/>
        <w:spacing w:after="119" w:before="120" w:line="360" w:lineRule="auto"/>
        <w:ind w:right="0" w:firstLine="720" w:left="0"/>
        <w:rPr/>
      </w:pPr>
      <w:r>
        <w:rPr>
          <w:rFonts w:ascii="Times New Roman" w:hAnsi="Times New Roman" w:eastAsia="Times New Roman" w:cs="Times New Roman"/>
          <w:b w:val="0"/>
          <w:bCs w:val="0"/>
          <w:color w:val="1f1f1f"/>
          <w:sz w:val="26"/>
          <w:szCs w:val="26"/>
          <w:highlight w:val="none"/>
        </w:rPr>
        <w:t xml:space="preserve">T</w:t>
      </w:r>
      <w:r>
        <w:rPr>
          <w:rFonts w:ascii="Times New Roman" w:hAnsi="Times New Roman" w:eastAsia="Times New Roman" w:cs="Times New Roman"/>
          <w:b w:val="0"/>
          <w:bCs w:val="0"/>
          <w:color w:val="1f1f1f"/>
          <w:sz w:val="26"/>
          <w:szCs w:val="26"/>
          <w:highlight w:val="none"/>
        </w:rPr>
        <w:t xml:space="preserve">rong quan điểm Nhân – Quả của Phật giáo, “Quả” là kết quả tất yếu phát sinh từ một chuỗi các nguyên nhân và điều kiện đã tích lũy trước đó. Áp dụng cách tiếp cận này vào phân tích rủi ro an ninh mạng tại VNPT-IT Chi nhánh tỉnh Đồng Tháp cho thấy, các sự cố</w:t>
      </w:r>
      <w:r>
        <w:rPr>
          <w:rFonts w:ascii="Times New Roman" w:hAnsi="Times New Roman" w:eastAsia="Times New Roman" w:cs="Times New Roman"/>
          <w:b w:val="0"/>
          <w:bCs w:val="0"/>
          <w:color w:val="1f1f1f"/>
          <w:sz w:val="26"/>
          <w:szCs w:val="26"/>
          <w:highlight w:val="none"/>
        </w:rPr>
        <w:t xml:space="preserve"> và nguy cơ an ninh mạng không phải là những hiện tượng bất thường hay ngẫu nhiên, mà là hệ quả của một quá trình vận hành hệ thống kéo dài, trong đó nhiều yếu tố chủ quan và khách quan cùng tác động lẫn nhau.</w:t>
      </w:r>
      <w:r>
        <w:rPr>
          <w:rFonts w:ascii="Times New Roman" w:hAnsi="Times New Roman" w:eastAsia="Times New Roman" w:cs="Times New Roman"/>
          <w:b w:val="0"/>
          <w:bCs w:val="0"/>
          <w:color w:val="1f1f1f"/>
          <w:sz w:val="26"/>
          <w:szCs w:val="26"/>
          <w:highlight w:val="none"/>
        </w:rPr>
      </w:r>
      <w:r/>
    </w:p>
    <w:p w14:paraId="5348DBAD">
      <w:pPr>
        <w:suppressLineNumbers w:val="false"/>
        <w:pBdr/>
        <w:spacing w:after="119" w:before="120" w:line="360" w:lineRule="auto"/>
        <w:ind w:right="0" w:firstLine="720" w:left="0"/>
        <w:rPr/>
      </w:pPr>
      <w:r>
        <w:rPr>
          <w:rFonts w:ascii="Times New Roman" w:hAnsi="Times New Roman" w:eastAsia="Times New Roman" w:cs="Times New Roman"/>
          <w:b w:val="0"/>
          <w:bCs w:val="0"/>
          <w:color w:val="1f1f1f"/>
          <w:sz w:val="26"/>
          <w:szCs w:val="26"/>
          <w:highlight w:val="none"/>
        </w:rPr>
        <w:t xml:space="preserve">X</w:t>
      </w:r>
      <w:r>
        <w:rPr>
          <w:rFonts w:ascii="Times New Roman" w:hAnsi="Times New Roman" w:eastAsia="Times New Roman" w:cs="Times New Roman"/>
          <w:b w:val="0"/>
          <w:bCs w:val="0"/>
          <w:color w:val="1f1f1f"/>
          <w:sz w:val="26"/>
          <w:szCs w:val="26"/>
          <w:highlight w:val="none"/>
        </w:rPr>
        <w:t xml:space="preserve">ét trên phương diện thực trạng, rủi ro an ninh mạng tại đơn vị có thể biểu hiện dưới nhiều hình thức khác nhau, từ những nguy cơ tiềm ẩn đến các sự cố cụ thể. Các nguy cơ phổ biến bao gồm khả năng lây nhiễm mã độc, nguy cơ bị tấn công lừa đảo qua thư điện </w:t>
      </w:r>
      <w:r>
        <w:rPr>
          <w:rFonts w:ascii="Times New Roman" w:hAnsi="Times New Roman" w:eastAsia="Times New Roman" w:cs="Times New Roman"/>
          <w:b w:val="0"/>
          <w:bCs w:val="0"/>
          <w:color w:val="1f1f1f"/>
          <w:sz w:val="26"/>
          <w:szCs w:val="26"/>
          <w:highlight w:val="none"/>
        </w:rPr>
        <w:t xml:space="preserve">t</w:t>
      </w:r>
      <w:r>
        <w:rPr>
          <w:rFonts w:ascii="Times New Roman" w:hAnsi="Times New Roman" w:eastAsia="Times New Roman" w:cs="Times New Roman"/>
          <w:b w:val="0"/>
          <w:bCs w:val="0"/>
          <w:color w:val="1f1f1f"/>
          <w:sz w:val="26"/>
          <w:szCs w:val="26"/>
          <w:highlight w:val="none"/>
        </w:rPr>
        <w:t xml:space="preserve">ử, rủi ro rò rỉ dữ liệu do sử dụng mật khẩu yếu hoặc chia sẻ tài khoản, cũng như khả năng bị khai thác lỗ hổng bảo mật từ các hệ thống phần mềm chưa được cập nhật kịp thời</w:t>
      </w:r>
      <w:r>
        <w:rPr>
          <w:rFonts w:ascii="Times New Roman" w:hAnsi="Times New Roman" w:eastAsia="Times New Roman" w:cs="Times New Roman"/>
          <w:b w:val="0"/>
          <w:bCs w:val="0"/>
          <w:color w:val="1f1f1f"/>
          <w:sz w:val="26"/>
          <w:szCs w:val="26"/>
          <w:highlight w:val="none"/>
        </w:rPr>
        <w:t xml:space="preserve"> (VNPT-IT, 2023)</w:t>
      </w:r>
      <w:r>
        <w:rPr>
          <w:rFonts w:ascii="Times New Roman" w:hAnsi="Times New Roman" w:eastAsia="Times New Roman" w:cs="Times New Roman"/>
          <w:b w:val="0"/>
          <w:bCs w:val="0"/>
          <w:color w:val="1f1f1f"/>
          <w:sz w:val="26"/>
          <w:szCs w:val="26"/>
          <w:highlight w:val="none"/>
        </w:rPr>
        <w:t xml:space="preserve">. Mặc dù không phải lúc nào các nguy cơ này cũng dẫn đến sự cố nghiêm trọng, nhưng sự</w:t>
      </w:r>
      <w:r>
        <w:rPr>
          <w:rFonts w:ascii="Times New Roman" w:hAnsi="Times New Roman" w:eastAsia="Times New Roman" w:cs="Times New Roman"/>
          <w:b w:val="0"/>
          <w:bCs w:val="0"/>
          <w:color w:val="1f1f1f"/>
          <w:sz w:val="26"/>
          <w:szCs w:val="26"/>
          <w:highlight w:val="none"/>
        </w:rPr>
        <w:t xml:space="preserve"> tồn tại thường trực của chúng cho thấy mức độ phức tạp và tính dễ tổn thương của hệ thống thông tin trong bối cảnh chuyển đổi số.</w:t>
      </w:r>
      <w:r>
        <w:rPr>
          <w:rFonts w:ascii="Times New Roman" w:hAnsi="Times New Roman" w:eastAsia="Times New Roman" w:cs="Times New Roman"/>
          <w:b w:val="0"/>
          <w:bCs w:val="0"/>
          <w:color w:val="1f1f1f"/>
          <w:sz w:val="26"/>
          <w:szCs w:val="26"/>
          <w:highlight w:val="none"/>
        </w:rPr>
      </w:r>
      <w:r/>
    </w:p>
    <w:p w14:paraId="0BD70749">
      <w:pPr>
        <w:suppressLineNumbers w:val="false"/>
        <w:pBdr/>
        <w:spacing w:after="119" w:before="120" w:line="360" w:lineRule="auto"/>
        <w:ind w:right="0" w:firstLine="720" w:left="0"/>
        <w:rPr/>
      </w:pPr>
      <w:r>
        <w:rPr>
          <w:rFonts w:ascii="Times New Roman" w:hAnsi="Times New Roman" w:eastAsia="Times New Roman" w:cs="Times New Roman"/>
          <w:b w:val="0"/>
          <w:bCs w:val="0"/>
          <w:color w:val="1f1f1f"/>
          <w:sz w:val="26"/>
          <w:szCs w:val="26"/>
          <w:highlight w:val="none"/>
        </w:rPr>
        <w:t xml:space="preserve">M</w:t>
      </w:r>
      <w:r>
        <w:rPr>
          <w:rFonts w:ascii="Times New Roman" w:hAnsi="Times New Roman" w:eastAsia="Times New Roman" w:cs="Times New Roman"/>
          <w:b w:val="0"/>
          <w:bCs w:val="0"/>
          <w:color w:val="1f1f1f"/>
          <w:sz w:val="26"/>
          <w:szCs w:val="26"/>
          <w:highlight w:val="none"/>
        </w:rPr>
        <w:t xml:space="preserve">ột đặc điểm đáng chú ý của các rủi ro an ninh mạng tại VNPT-IT Chi nhánh Đồng Tháp là tính chất “âm thầm” và khó nhận biết. Không giống như các sự cố vật chất có thể quan sát trực tiếp, nhiều rủi ro an ninh mạng diễn ra trong thời gian dài mà không để lại </w:t>
      </w:r>
      <w:r>
        <w:rPr>
          <w:rFonts w:ascii="Times New Roman" w:hAnsi="Times New Roman" w:eastAsia="Times New Roman" w:cs="Times New Roman"/>
          <w:b w:val="0"/>
          <w:bCs w:val="0"/>
          <w:color w:val="1f1f1f"/>
          <w:sz w:val="26"/>
          <w:szCs w:val="26"/>
          <w:highlight w:val="none"/>
        </w:rPr>
        <w:t xml:space="preserve">d</w:t>
      </w:r>
      <w:r>
        <w:rPr>
          <w:rFonts w:ascii="Times New Roman" w:hAnsi="Times New Roman" w:eastAsia="Times New Roman" w:cs="Times New Roman"/>
          <w:b w:val="0"/>
          <w:bCs w:val="0"/>
          <w:color w:val="1f1f1f"/>
          <w:sz w:val="26"/>
          <w:szCs w:val="26"/>
          <w:highlight w:val="none"/>
        </w:rPr>
        <w:t xml:space="preserve">ấu hiệu rõ ràng. Dữ liệu có thể bị truy cập trái phép, sao chép hoặc khai thác mà không gây ra gián đoạn tức thời cho hệ thống. Chính đặc điểm này khiến hậu quả của rủi ro an ninh mạng thường chỉ được nhận thức đầy đủ khi sự cố đã gây ra những thiệt hại đá</w:t>
      </w:r>
      <w:r>
        <w:rPr>
          <w:rFonts w:ascii="Times New Roman" w:hAnsi="Times New Roman" w:eastAsia="Times New Roman" w:cs="Times New Roman"/>
          <w:b w:val="0"/>
          <w:bCs w:val="0"/>
          <w:color w:val="1f1f1f"/>
          <w:sz w:val="26"/>
          <w:szCs w:val="26"/>
          <w:highlight w:val="none"/>
        </w:rPr>
        <w:t xml:space="preserve">ng kể.</w:t>
      </w:r>
      <w:r>
        <w:rPr>
          <w:rFonts w:ascii="Times New Roman" w:hAnsi="Times New Roman" w:eastAsia="Times New Roman" w:cs="Times New Roman"/>
          <w:b w:val="0"/>
          <w:bCs w:val="0"/>
          <w:color w:val="1f1f1f"/>
          <w:sz w:val="26"/>
          <w:szCs w:val="26"/>
          <w:highlight w:val="none"/>
        </w:rPr>
      </w:r>
      <w:r/>
    </w:p>
    <w:p w14:paraId="00798E9D">
      <w:pPr>
        <w:suppressLineNumbers w:val="false"/>
        <w:pBdr/>
        <w:spacing w:after="119" w:before="120" w:line="360" w:lineRule="auto"/>
        <w:ind w:right="0" w:firstLine="720" w:left="0"/>
        <w:rPr/>
      </w:pPr>
      <w:r>
        <w:rPr>
          <w:rFonts w:ascii="Times New Roman" w:hAnsi="Times New Roman" w:eastAsia="Times New Roman" w:cs="Times New Roman"/>
          <w:b w:val="0"/>
          <w:bCs w:val="0"/>
          <w:color w:val="1f1f1f"/>
          <w:sz w:val="26"/>
          <w:szCs w:val="26"/>
          <w:highlight w:val="none"/>
        </w:rPr>
        <w:t xml:space="preserve">V</w:t>
      </w:r>
      <w:r>
        <w:rPr>
          <w:rFonts w:ascii="Times New Roman" w:hAnsi="Times New Roman" w:eastAsia="Times New Roman" w:cs="Times New Roman"/>
          <w:b w:val="0"/>
          <w:bCs w:val="0"/>
          <w:color w:val="1f1f1f"/>
          <w:sz w:val="26"/>
          <w:szCs w:val="26"/>
          <w:highlight w:val="none"/>
        </w:rPr>
        <w:t xml:space="preserve">ề hậu quả trước mắt, các rủi ro an ninh mạng có thể làm gián đoạn hoạt động của hệ thống thông tin, ảnh hưởng đến hiệu quả công việc và chất lượng dịch vụ cung cấp cho khách hàng và cơ quan quản lý nhà nước. Trong trường hợp nghiêm trọng, sự cố an ninh mạn</w:t>
      </w:r>
      <w:r>
        <w:rPr>
          <w:rFonts w:ascii="Times New Roman" w:hAnsi="Times New Roman" w:eastAsia="Times New Roman" w:cs="Times New Roman"/>
          <w:b w:val="0"/>
          <w:bCs w:val="0"/>
          <w:color w:val="1f1f1f"/>
          <w:sz w:val="26"/>
          <w:szCs w:val="26"/>
          <w:highlight w:val="none"/>
        </w:rPr>
        <w:t xml:space="preserve">g</w:t>
      </w:r>
      <w:r>
        <w:rPr>
          <w:rFonts w:ascii="Times New Roman" w:hAnsi="Times New Roman" w:eastAsia="Times New Roman" w:cs="Times New Roman"/>
          <w:b w:val="0"/>
          <w:bCs w:val="0"/>
          <w:color w:val="1f1f1f"/>
          <w:sz w:val="26"/>
          <w:szCs w:val="26"/>
          <w:highlight w:val="none"/>
        </w:rPr>
        <w:t xml:space="preserve"> có thể dẫn đến mất mát dữ liệu, gây thiệt hại về kinh tế và phát sinh các vấn đề pháp lý liên quan đến trách nhiệm bảo mật thông tin. Những hậu quả này không chỉ ảnh hưởng đến hoạt động nội bộ của đơn vị, mà còn tác động trực tiếp đến quyền lợi của người </w:t>
      </w:r>
      <w:r>
        <w:rPr>
          <w:rFonts w:ascii="Times New Roman" w:hAnsi="Times New Roman" w:eastAsia="Times New Roman" w:cs="Times New Roman"/>
          <w:b w:val="0"/>
          <w:bCs w:val="0"/>
          <w:color w:val="1f1f1f"/>
          <w:sz w:val="26"/>
          <w:szCs w:val="26"/>
          <w:highlight w:val="none"/>
        </w:rPr>
        <w:t xml:space="preserve">sử dụng dịch vụ.</w:t>
      </w:r>
      <w:r>
        <w:rPr>
          <w:rFonts w:ascii="Times New Roman" w:hAnsi="Times New Roman" w:eastAsia="Times New Roman" w:cs="Times New Roman"/>
          <w:b w:val="0"/>
          <w:bCs w:val="0"/>
          <w:color w:val="1f1f1f"/>
          <w:sz w:val="26"/>
          <w:szCs w:val="26"/>
          <w:highlight w:val="none"/>
        </w:rPr>
      </w:r>
      <w:r/>
    </w:p>
    <w:p w14:paraId="4E7990DF">
      <w:pPr>
        <w:suppressLineNumbers w:val="false"/>
        <w:pBdr/>
        <w:spacing w:after="119" w:before="120" w:line="360" w:lineRule="auto"/>
        <w:ind w:right="0" w:firstLine="720" w:left="0"/>
        <w:rPr/>
      </w:pPr>
      <w:r>
        <w:rPr>
          <w:rFonts w:ascii="Times New Roman" w:hAnsi="Times New Roman" w:eastAsia="Times New Roman" w:cs="Times New Roman"/>
          <w:b w:val="0"/>
          <w:bCs w:val="0"/>
          <w:color w:val="1f1f1f"/>
          <w:sz w:val="26"/>
          <w:szCs w:val="26"/>
          <w:highlight w:val="none"/>
        </w:rPr>
        <w:t xml:space="preserve">V</w:t>
      </w:r>
      <w:r>
        <w:rPr>
          <w:rFonts w:ascii="Times New Roman" w:hAnsi="Times New Roman" w:eastAsia="Times New Roman" w:cs="Times New Roman"/>
          <w:b w:val="0"/>
          <w:bCs w:val="0"/>
          <w:color w:val="1f1f1f"/>
          <w:sz w:val="26"/>
          <w:szCs w:val="26"/>
          <w:highlight w:val="none"/>
        </w:rPr>
        <w:t xml:space="preserve">ề lâu dài, hậu quả của rủi ro an ninh mạng còn thể hiện ở sự suy giảm uy tín và niềm tin của xã hội đối với doanh nghiệp. Trong lĩnh vực công nghệ thông tin, uy tín gắn liền với năng lực bảo đảm an toàn dữ liệu và hệ thống. Một khi niềm tin bị suy giảm, vi</w:t>
      </w:r>
      <w:r>
        <w:rPr>
          <w:rFonts w:ascii="Times New Roman" w:hAnsi="Times New Roman" w:eastAsia="Times New Roman" w:cs="Times New Roman"/>
          <w:b w:val="0"/>
          <w:bCs w:val="0"/>
          <w:color w:val="1f1f1f"/>
          <w:sz w:val="26"/>
          <w:szCs w:val="26"/>
          <w:highlight w:val="none"/>
        </w:rPr>
        <w:t xml:space="preserve">ệ</w:t>
      </w:r>
      <w:r>
        <w:rPr>
          <w:rFonts w:ascii="Times New Roman" w:hAnsi="Times New Roman" w:eastAsia="Times New Roman" w:cs="Times New Roman"/>
          <w:b w:val="0"/>
          <w:bCs w:val="0"/>
          <w:color w:val="1f1f1f"/>
          <w:sz w:val="26"/>
          <w:szCs w:val="26"/>
          <w:highlight w:val="none"/>
        </w:rPr>
        <w:t xml:space="preserve">c khôi phục hình ảnh và uy tín của đơn vị sẽ gặp nhiều khó khăn, đòi hỏi thời gian và nguồn lực đáng kể. Dưới góc nhìn Nhân – Quả, đây chính là những “Quả xấu” phát sinh từ sự tích lũy lâu dài của các “Nhân” và “Duyên” chưa được nhận diện và xử lý kịp thời</w:t>
      </w:r>
      <w:r>
        <w:rPr>
          <w:rFonts w:ascii="Times New Roman" w:hAnsi="Times New Roman" w:eastAsia="Times New Roman" w:cs="Times New Roman"/>
          <w:b w:val="0"/>
          <w:bCs w:val="0"/>
          <w:color w:val="1f1f1f"/>
          <w:sz w:val="26"/>
          <w:szCs w:val="26"/>
          <w:highlight w:val="none"/>
        </w:rPr>
        <w:t xml:space="preserve">.</w:t>
      </w:r>
      <w:r>
        <w:rPr>
          <w:rFonts w:ascii="Times New Roman" w:hAnsi="Times New Roman" w:eastAsia="Times New Roman" w:cs="Times New Roman"/>
          <w:b w:val="0"/>
          <w:bCs w:val="0"/>
          <w:color w:val="1f1f1f"/>
          <w:sz w:val="26"/>
          <w:szCs w:val="26"/>
          <w:highlight w:val="none"/>
        </w:rPr>
      </w:r>
      <w:r/>
    </w:p>
    <w:p w14:paraId="2FA6C84F">
      <w:pPr>
        <w:suppressLineNumbers w:val="false"/>
        <w:pBdr/>
        <w:spacing w:after="119" w:before="120" w:line="360" w:lineRule="auto"/>
        <w:ind w:right="0" w:firstLine="720" w:left="0"/>
        <w:rPr/>
      </w:pPr>
      <w:r>
        <w:rPr>
          <w:rFonts w:ascii="Times New Roman" w:hAnsi="Times New Roman" w:eastAsia="Times New Roman" w:cs="Times New Roman"/>
          <w:b w:val="0"/>
          <w:bCs w:val="0"/>
          <w:color w:val="1f1f1f"/>
          <w:sz w:val="26"/>
          <w:szCs w:val="26"/>
          <w:highlight w:val="none"/>
        </w:rPr>
        <w:t xml:space="preserve">Đ</w:t>
      </w:r>
      <w:r>
        <w:rPr>
          <w:rFonts w:ascii="Times New Roman" w:hAnsi="Times New Roman" w:eastAsia="Times New Roman" w:cs="Times New Roman"/>
          <w:b w:val="0"/>
          <w:bCs w:val="0"/>
          <w:color w:val="1f1f1f"/>
          <w:sz w:val="26"/>
          <w:szCs w:val="26"/>
          <w:highlight w:val="none"/>
        </w:rPr>
        <w:t xml:space="preserve">áng chú ý, các rủi ro an ninh mạng không chỉ gây ra những hậu quả mang tính vật chất, mà còn tác động sâu sắc đến đời sống tinh thần và tâm lý của cán bộ, nhân viên. Khi hệ thống thông tin thường xuyên đối mặt với nguy cơ mất an toàn, áp lực công việc gia </w:t>
      </w:r>
      <w:r>
        <w:rPr>
          <w:rFonts w:ascii="Times New Roman" w:hAnsi="Times New Roman" w:eastAsia="Times New Roman" w:cs="Times New Roman"/>
          <w:b w:val="0"/>
          <w:bCs w:val="0"/>
          <w:color w:val="1f1f1f"/>
          <w:sz w:val="26"/>
          <w:szCs w:val="26"/>
          <w:highlight w:val="none"/>
        </w:rPr>
        <w:t xml:space="preserve">t</w:t>
      </w:r>
      <w:r>
        <w:rPr>
          <w:rFonts w:ascii="Times New Roman" w:hAnsi="Times New Roman" w:eastAsia="Times New Roman" w:cs="Times New Roman"/>
          <w:b w:val="0"/>
          <w:bCs w:val="0"/>
          <w:color w:val="1f1f1f"/>
          <w:sz w:val="26"/>
          <w:szCs w:val="26"/>
          <w:highlight w:val="none"/>
        </w:rPr>
        <w:t xml:space="preserve">ăng, tâm lý lo ngại và thiếu an tâm có thể xuất hiện, ảnh hưởng đến hiệu quả làm việc và sự gắn bó của người lao động với tổ chức. Đây là một khía cạnh thường bị bỏ qua khi đánh giá hậu quả của rủi ro an ninh mạng, nhưng lại có ý nghĩa quan trọng trong quả</w:t>
      </w:r>
      <w:r>
        <w:rPr>
          <w:rFonts w:ascii="Times New Roman" w:hAnsi="Times New Roman" w:eastAsia="Times New Roman" w:cs="Times New Roman"/>
          <w:b w:val="0"/>
          <w:bCs w:val="0"/>
          <w:color w:val="1f1f1f"/>
          <w:sz w:val="26"/>
          <w:szCs w:val="26"/>
          <w:highlight w:val="none"/>
        </w:rPr>
        <w:t xml:space="preserve">n trị nguồn nhân lực.</w:t>
      </w:r>
      <w:r>
        <w:rPr>
          <w:rFonts w:ascii="Times New Roman" w:hAnsi="Times New Roman" w:eastAsia="Times New Roman" w:cs="Times New Roman"/>
          <w:b w:val="0"/>
          <w:bCs w:val="0"/>
          <w:color w:val="1f1f1f"/>
          <w:sz w:val="26"/>
          <w:szCs w:val="26"/>
          <w:highlight w:val="none"/>
        </w:rPr>
      </w:r>
      <w:r/>
    </w:p>
    <w:p w14:paraId="0DE4AEB6">
      <w:pPr>
        <w:suppressLineNumbers w:val="false"/>
        <w:pBdr/>
        <w:spacing w:after="119" w:before="120" w:line="360" w:lineRule="auto"/>
        <w:ind w:right="0" w:firstLine="720" w:left="0"/>
        <w:rPr/>
      </w:pPr>
      <w:r>
        <w:rPr>
          <w:rFonts w:ascii="Times New Roman" w:hAnsi="Times New Roman" w:eastAsia="Times New Roman" w:cs="Times New Roman"/>
          <w:b w:val="0"/>
          <w:bCs w:val="0"/>
          <w:color w:val="1f1f1f"/>
          <w:sz w:val="26"/>
          <w:szCs w:val="26"/>
          <w:highlight w:val="none"/>
        </w:rPr>
        <w:t xml:space="preserve">T</w:t>
      </w:r>
      <w:r>
        <w:rPr>
          <w:rFonts w:ascii="Times New Roman" w:hAnsi="Times New Roman" w:eastAsia="Times New Roman" w:cs="Times New Roman"/>
          <w:b w:val="0"/>
          <w:bCs w:val="0"/>
          <w:color w:val="1f1f1f"/>
          <w:sz w:val="26"/>
          <w:szCs w:val="26"/>
          <w:highlight w:val="none"/>
        </w:rPr>
        <w:t xml:space="preserve">ừ góc độ triết học, việc phân tích “Quả” trong rủi ro an ninh mạng cho thấy mối liên hệ chặt chẽ giữa kết quả hiện tại và các hành vi trong quá khứ. Những sự cố hoặc nguy cơ an ninh mạng không thể được xem là những “tai nạn kỹ thuật” đơn lẻ, mà cần được đặ</w:t>
      </w:r>
      <w:r>
        <w:rPr>
          <w:rFonts w:ascii="Times New Roman" w:hAnsi="Times New Roman" w:eastAsia="Times New Roman" w:cs="Times New Roman"/>
          <w:b w:val="0"/>
          <w:bCs w:val="0"/>
          <w:color w:val="1f1f1f"/>
          <w:sz w:val="26"/>
          <w:szCs w:val="26"/>
          <w:highlight w:val="none"/>
        </w:rPr>
        <w:t xml:space="preserve">t trong bối cảnh tổng thể của quá trình vận hành hệ thống và tổ chức. Cách tiếp cận này giúp tránh xu hướng đổ lỗi cho cá nhân hoặc công nghệ một cách giản đơn, thay vào đó là cái nhìn toàn diện về trách nhiệm và vai trò của từng yếu tố trong hệ thống.</w:t>
      </w:r>
      <w:r>
        <w:rPr>
          <w:rFonts w:ascii="Times New Roman" w:hAnsi="Times New Roman" w:eastAsia="Times New Roman" w:cs="Times New Roman"/>
          <w:b w:val="0"/>
          <w:bCs w:val="0"/>
          <w:color w:val="1f1f1f"/>
          <w:sz w:val="26"/>
          <w:szCs w:val="26"/>
          <w:highlight w:val="none"/>
        </w:rPr>
      </w:r>
      <w:r/>
    </w:p>
    <w:p w14:paraId="23B5CE76">
      <w:pPr>
        <w:suppressLineNumbers w:val="false"/>
        <w:pBdr/>
        <w:spacing w:after="119" w:before="120" w:line="360" w:lineRule="auto"/>
        <w:ind w:right="0" w:firstLine="720" w:left="0"/>
        <w:rPr>
          <w:rFonts w:ascii="Times New Roman" w:hAnsi="Times New Roman" w:eastAsia="Times New Roman" w:cs="Times New Roman"/>
          <w:b w:val="0"/>
          <w:bCs w:val="0"/>
          <w:color w:val="1f1f1f"/>
          <w:sz w:val="26"/>
          <w:szCs w:val="26"/>
          <w:highlight w:val="none"/>
        </w:rPr>
      </w:pPr>
      <w:r>
        <w:rPr>
          <w:rFonts w:ascii="Times New Roman" w:hAnsi="Times New Roman" w:eastAsia="Times New Roman" w:cs="Times New Roman"/>
          <w:b w:val="0"/>
          <w:bCs w:val="0"/>
          <w:color w:val="1f1f1f"/>
          <w:sz w:val="26"/>
          <w:szCs w:val="26"/>
          <w:highlight w:val="none"/>
        </w:rPr>
        <w:t xml:space="preserve">N</w:t>
      </w:r>
      <w:r>
        <w:rPr>
          <w:rFonts w:ascii="Times New Roman" w:hAnsi="Times New Roman" w:eastAsia="Times New Roman" w:cs="Times New Roman"/>
          <w:b w:val="0"/>
          <w:bCs w:val="0"/>
          <w:color w:val="1f1f1f"/>
          <w:sz w:val="26"/>
          <w:szCs w:val="26"/>
          <w:highlight w:val="none"/>
        </w:rPr>
        <w:t xml:space="preserve">hư vậy, việc nhận diện và phân tích “Quả” – tức thực trạng và hậu quả của rủi ro an ninh mạng tại VNPT-IT Chi nhánh Đồng Tháp – là bước khởi đầu quan trọng để truy tìm các “Nhân” và “Duyên” dẫn đến những kết quả đó. Chỉ khi hiểu rõ bản chất và mức độ của “</w:t>
      </w:r>
      <w:r>
        <w:rPr>
          <w:rFonts w:ascii="Times New Roman" w:hAnsi="Times New Roman" w:eastAsia="Times New Roman" w:cs="Times New Roman"/>
          <w:b w:val="0"/>
          <w:bCs w:val="0"/>
          <w:color w:val="1f1f1f"/>
          <w:sz w:val="26"/>
          <w:szCs w:val="26"/>
          <w:highlight w:val="none"/>
        </w:rPr>
        <w:t xml:space="preserve">Quả”, việc đề xuất các giải pháp phòng ngừa và khắc phục mới có thể đạt hiệu quả bền vững, phù hợp với tinh thần quan điểm Nhân – Quả của Phật giáo.</w:t>
      </w:r>
      <w:r>
        <w:rPr>
          <w:rFonts w:ascii="Times New Roman" w:hAnsi="Times New Roman" w:eastAsia="Times New Roman" w:cs="Times New Roman"/>
          <w:b w:val="0"/>
          <w:bCs w:val="0"/>
          <w:color w:val="1f1f1f"/>
          <w:sz w:val="26"/>
          <w:szCs w:val="26"/>
        </w:rPr>
      </w:r>
      <w:r>
        <w:rPr>
          <w:rFonts w:ascii="Times New Roman" w:hAnsi="Times New Roman" w:eastAsia="Times New Roman" w:cs="Times New Roman"/>
          <w:b w:val="0"/>
          <w:bCs w:val="0"/>
          <w:color w:val="1f1f1f"/>
          <w:sz w:val="26"/>
          <w:szCs w:val="26"/>
          <w:highlight w:val="none"/>
        </w:rPr>
      </w:r>
    </w:p>
    <w:p w14:paraId="0600FD70">
      <w:pPr>
        <w:suppressLineNumbers w:val="false"/>
        <w:pBdr/>
        <w:spacing w:after="119" w:before="120" w:line="360" w:lineRule="auto"/>
        <w:ind w:right="0" w:firstLine="720" w:left="0"/>
        <w:rPr>
          <w:rFonts w:ascii="Times New Roman" w:hAnsi="Times New Roman" w:eastAsia="Times New Roman" w:cs="Times New Roman"/>
          <w:color w:val="1f1f1f"/>
          <w:sz w:val="26"/>
          <w:szCs w:val="26"/>
          <w:highlight w:val="none"/>
        </w:rPr>
      </w:pPr>
      <w:r>
        <w:rPr>
          <w:rFonts w:ascii="Times New Roman" w:hAnsi="Times New Roman" w:eastAsia="Times New Roman" w:cs="Times New Roman"/>
          <w:color w:val="1f1f1f"/>
          <w:sz w:val="26"/>
          <w:szCs w:val="26"/>
          <w:highlight w:val="none"/>
        </w:rPr>
        <w:t xml:space="preserve">T</w:t>
      </w:r>
      <w:r>
        <w:rPr>
          <w:rFonts w:ascii="Times New Roman" w:hAnsi="Times New Roman" w:eastAsia="Times New Roman" w:cs="Times New Roman"/>
          <w:color w:val="1f1f1f"/>
          <w:sz w:val="26"/>
          <w:szCs w:val="26"/>
          <w:highlight w:val="none"/>
        </w:rPr>
        <w:t xml:space="preserve">heo quan điểm Nhân – Quả của Phật giáo, không có kết quả nào xuất hiện một cách ngẫu nhiên hay vô cớ; mọi “Quả” đều bắt nguồn từ những “Nhân” nhất định và chỉ phát sinh khi hội đủ các “Duyên” cần thiết. Áp dụng cách tiếp cận này vào phân tích rủi ro an nin</w:t>
      </w:r>
      <w:r>
        <w:rPr>
          <w:rFonts w:ascii="Times New Roman" w:hAnsi="Times New Roman" w:eastAsia="Times New Roman" w:cs="Times New Roman"/>
          <w:color w:val="1f1f1f"/>
          <w:sz w:val="26"/>
          <w:szCs w:val="26"/>
          <w:highlight w:val="none"/>
        </w:rPr>
        <w:t xml:space="preserve">h mạng cho thấy, những nguy cơ và sự cố đã được nhận diện ở phần trước chỉ là biểu hiện bề ngoài của một chuỗi nguyên nhân sâu xa, trong đó yếu tố con người giữ vai trò trung tâm.</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highlight w:val="none"/>
        </w:rPr>
      </w:r>
    </w:p>
    <w:p>
      <w:pPr>
        <w:pStyle w:val="1040"/>
        <w:numPr>
          <w:ilvl w:val="2"/>
          <w:numId w:val="37"/>
        </w:numPr>
        <w:suppressLineNumbers w:val="false"/>
        <w:pBdr/>
        <w:spacing/>
        <w:ind/>
        <w:rPr>
          <w:rFonts w:ascii="Times New Roman" w:hAnsi="Times New Roman" w:eastAsia="Times New Roman" w:cs="Times New Roman"/>
          <w:b/>
          <w:bCs/>
          <w:color w:val="1f1f1f"/>
          <w:sz w:val="26"/>
          <w:szCs w:val="26"/>
        </w:rPr>
      </w:pPr>
      <w:r>
        <w:rPr>
          <w:rFonts w:ascii="Times New Roman" w:hAnsi="Times New Roman" w:eastAsia="Times New Roman" w:cs="Times New Roman"/>
          <w:b/>
          <w:bCs/>
          <w:color w:val="1f1f1f"/>
          <w:sz w:val="26"/>
          <w:szCs w:val="26"/>
        </w:rPr>
        <w:t xml:space="preserve">Truy tìm "Nhân" (Nguyên nhân gốc rễ):</w:t>
      </w:r>
      <w:r>
        <w:rPr>
          <w:rFonts w:ascii="Times New Roman" w:hAnsi="Times New Roman" w:eastAsia="Times New Roman" w:cs="Times New Roman"/>
          <w:b/>
          <w:bCs/>
          <w:color w:val="1f1f1f"/>
          <w:sz w:val="26"/>
          <w:szCs w:val="26"/>
        </w:rPr>
      </w:r>
      <w:r>
        <w:rPr>
          <w:rFonts w:ascii="Times New Roman" w:hAnsi="Times New Roman" w:eastAsia="Times New Roman" w:cs="Times New Roman"/>
          <w:b/>
          <w:bCs/>
          <w:color w:val="1f1f1f"/>
          <w:sz w:val="26"/>
          <w:szCs w:val="26"/>
        </w:rPr>
      </w:r>
    </w:p>
    <w:p w14:paraId="3F7C2389">
      <w:pPr>
        <w:suppressLineNumbers w:val="false"/>
        <w:pBdr/>
        <w:spacing w:after="119" w:before="120" w:line="360" w:lineRule="auto"/>
        <w:ind w:right="0" w:firstLine="720" w:left="0"/>
        <w:rPr>
          <w:rFonts w:ascii="Times New Roman" w:hAnsi="Times New Roman" w:eastAsia="Times New Roman" w:cs="Times New Roman"/>
          <w:color w:val="1f1f1f"/>
          <w:sz w:val="26"/>
          <w:szCs w:val="26"/>
          <w:highlight w:val="none"/>
        </w:rPr>
      </w:pPr>
      <w:r>
        <w:rPr>
          <w:rFonts w:ascii="Times New Roman" w:hAnsi="Times New Roman" w:eastAsia="Times New Roman" w:cs="Times New Roman"/>
          <w:color w:val="1f1f1f"/>
          <w:sz w:val="26"/>
          <w:szCs w:val="26"/>
          <w:highlight w:val="none"/>
        </w:rPr>
        <w:t xml:space="preserve">T</w:t>
      </w:r>
      <w:r>
        <w:rPr>
          <w:rFonts w:ascii="Times New Roman" w:hAnsi="Times New Roman" w:eastAsia="Times New Roman" w:cs="Times New Roman"/>
          <w:color w:val="1f1f1f"/>
          <w:sz w:val="26"/>
          <w:szCs w:val="26"/>
          <w:highlight w:val="none"/>
        </w:rPr>
        <w:t xml:space="preserve">rước hết, xét về “Nhân” chủ quan, yếu tố con người là nguyên nhân quan trọng nhất dẫn đến rủi ro an ninh mạng. Trong quá trình vận hành và sử dụng hệ thống thông tin, mỗi cán bộ, nhân viên đều tham gia trực tiếp hoặc gián tiếp vào việc tạo lập và bảo vệ an</w:t>
      </w:r>
      <w:r>
        <w:rPr>
          <w:rFonts w:ascii="Times New Roman" w:hAnsi="Times New Roman" w:eastAsia="Times New Roman" w:cs="Times New Roman"/>
          <w:color w:val="1f1f1f"/>
          <w:sz w:val="26"/>
          <w:szCs w:val="26"/>
          <w:highlight w:val="none"/>
        </w:rPr>
        <w:t xml:space="preserve"> </w:t>
      </w:r>
      <w:r>
        <w:rPr>
          <w:rFonts w:ascii="Times New Roman" w:hAnsi="Times New Roman" w:eastAsia="Times New Roman" w:cs="Times New Roman"/>
          <w:color w:val="1f1f1f"/>
          <w:sz w:val="26"/>
          <w:szCs w:val="26"/>
          <w:highlight w:val="none"/>
        </w:rPr>
        <w:t xml:space="preserve">toàn dữ liệu. Tuy nhiên, trên thực tế, không phải lúc nào nhận thức và hành vi của con người cũng phù hợp với yêu cầu bảo mật. Những biểu hiện như tâm lý chủ quan, xem nhẹ quy trình an toàn thông tin, hoặc đặt sự tiện lợi cá nhân lên trên quy định chung có</w:t>
      </w:r>
      <w:r>
        <w:rPr>
          <w:rFonts w:ascii="Times New Roman" w:hAnsi="Times New Roman" w:eastAsia="Times New Roman" w:cs="Times New Roman"/>
          <w:color w:val="1f1f1f"/>
          <w:sz w:val="26"/>
          <w:szCs w:val="26"/>
          <w:highlight w:val="none"/>
        </w:rPr>
        <w:t xml:space="preserve"> thể trở thành những “Nhân xấu” dẫn đến rủi ro an ninh mạng.</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highlight w:val="none"/>
        </w:rPr>
      </w:r>
    </w:p>
    <w:p w14:paraId="3BBC12EB">
      <w:pPr>
        <w:suppressLineNumbers w:val="false"/>
        <w:pBdr/>
        <w:spacing w:after="119" w:before="120" w:line="360" w:lineRule="auto"/>
        <w:ind w:right="0" w:firstLine="720" w:left="0"/>
        <w:rPr>
          <w:rFonts w:ascii="Times New Roman" w:hAnsi="Times New Roman" w:eastAsia="Times New Roman" w:cs="Times New Roman"/>
          <w:color w:val="1f1f1f"/>
          <w:sz w:val="26"/>
          <w:szCs w:val="26"/>
          <w:highlight w:val="none"/>
        </w:rPr>
      </w:pPr>
      <w:r>
        <w:rPr>
          <w:rFonts w:ascii="Times New Roman" w:hAnsi="Times New Roman" w:eastAsia="Times New Roman" w:cs="Times New Roman"/>
          <w:color w:val="1f1f1f"/>
          <w:sz w:val="26"/>
          <w:szCs w:val="26"/>
          <w:highlight w:val="none"/>
        </w:rPr>
        <w:t xml:space="preserve">D</w:t>
      </w:r>
      <w:r>
        <w:rPr>
          <w:rFonts w:ascii="Times New Roman" w:hAnsi="Times New Roman" w:eastAsia="Times New Roman" w:cs="Times New Roman"/>
          <w:color w:val="1f1f1f"/>
          <w:sz w:val="26"/>
          <w:szCs w:val="26"/>
          <w:highlight w:val="none"/>
        </w:rPr>
        <w:t xml:space="preserve">ưới góc nhìn Phật giáo, những “Nhân xấu” này bắt nguồn từ trạng thái “vô minh” – tức nhận thức chưa đầy đủ hoặc sai lệch về bản chất và hậu quả của hành vi. Khi con người không nhận thức rõ mối liên hệ giữa hành vi của mình và những hệ quả có thể xảy ra, h</w:t>
      </w:r>
      <w:r>
        <w:rPr>
          <w:rFonts w:ascii="Times New Roman" w:hAnsi="Times New Roman" w:eastAsia="Times New Roman" w:cs="Times New Roman"/>
          <w:color w:val="1f1f1f"/>
          <w:sz w:val="26"/>
          <w:szCs w:val="26"/>
          <w:highlight w:val="none"/>
        </w:rPr>
        <w:t xml:space="preserve">ọ</w:t>
      </w:r>
      <w:r>
        <w:rPr>
          <w:rFonts w:ascii="Times New Roman" w:hAnsi="Times New Roman" w:eastAsia="Times New Roman" w:cs="Times New Roman"/>
          <w:color w:val="1f1f1f"/>
          <w:sz w:val="26"/>
          <w:szCs w:val="26"/>
          <w:highlight w:val="none"/>
        </w:rPr>
        <w:t xml:space="preserve"> dễ thực hiện những hành động thiếu cẩn trọng, như sử dụng mật khẩu đơn giản, chia sẻ thông tin đăng nhập, hoặc truy cập hệ thống từ các môi trường không an toàn</w:t>
      </w:r>
      <w:r>
        <w:rPr>
          <w:rFonts w:ascii="Times New Roman" w:hAnsi="Times New Roman" w:eastAsia="Times New Roman" w:cs="Times New Roman"/>
          <w:color w:val="1f1f1f"/>
          <w:sz w:val="26"/>
          <w:szCs w:val="26"/>
          <w:highlight w:val="none"/>
        </w:rPr>
        <w:t xml:space="preserve"> (Nguyễn Hùng Hậu, 2010)</w:t>
      </w:r>
      <w:r>
        <w:rPr>
          <w:rFonts w:ascii="Times New Roman" w:hAnsi="Times New Roman" w:eastAsia="Times New Roman" w:cs="Times New Roman"/>
          <w:color w:val="1f1f1f"/>
          <w:sz w:val="26"/>
          <w:szCs w:val="26"/>
          <w:highlight w:val="none"/>
        </w:rPr>
        <w:t xml:space="preserve">. Những hành vi này, dù nhỏ và mang tính cá nhân, lại có khả năng tạo ra những hệ quả lớn khi đ</w:t>
      </w:r>
      <w:r>
        <w:rPr>
          <w:rFonts w:ascii="Times New Roman" w:hAnsi="Times New Roman" w:eastAsia="Times New Roman" w:cs="Times New Roman"/>
          <w:color w:val="1f1f1f"/>
          <w:sz w:val="26"/>
          <w:szCs w:val="26"/>
          <w:highlight w:val="none"/>
        </w:rPr>
        <w:t xml:space="preserve">ược tích lũy trong một hệ thống phức tạp.</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highlight w:val="none"/>
        </w:rPr>
      </w:r>
    </w:p>
    <w:p w14:paraId="5D19A3B3">
      <w:pPr>
        <w:suppressLineNumbers w:val="false"/>
        <w:pBdr/>
        <w:spacing w:after="119" w:before="120" w:line="360" w:lineRule="auto"/>
        <w:ind w:right="0" w:firstLine="720" w:left="0"/>
        <w:rPr>
          <w:rFonts w:ascii="Times New Roman" w:hAnsi="Times New Roman" w:eastAsia="Times New Roman" w:cs="Times New Roman"/>
          <w:color w:val="1f1f1f"/>
          <w:sz w:val="26"/>
          <w:szCs w:val="26"/>
          <w:highlight w:val="none"/>
        </w:rPr>
      </w:pPr>
      <w:r>
        <w:rPr>
          <w:rFonts w:ascii="Times New Roman" w:hAnsi="Times New Roman" w:eastAsia="Times New Roman" w:cs="Times New Roman"/>
          <w:color w:val="1f1f1f"/>
          <w:sz w:val="26"/>
          <w:szCs w:val="26"/>
          <w:highlight w:val="none"/>
        </w:rPr>
        <w:t xml:space="preserve">B</w:t>
      </w:r>
      <w:r>
        <w:rPr>
          <w:rFonts w:ascii="Times New Roman" w:hAnsi="Times New Roman" w:eastAsia="Times New Roman" w:cs="Times New Roman"/>
          <w:color w:val="1f1f1f"/>
          <w:sz w:val="26"/>
          <w:szCs w:val="26"/>
          <w:highlight w:val="none"/>
        </w:rPr>
        <w:t xml:space="preserve">ên cạnh vô minh, sự chấp trước và tâm lý ích kỷ cũng là những “Nhân” quan trọng dẫn đến rủi ro an ninh mạng. Trong môi trường làm việc chịu nhiều áp lực về thời gian và hiệu quả, một số cá nhân có thể ưu tiên lợi ích trước mắt, bỏ qua các quy trình bảo mật</w:t>
      </w:r>
      <w:r>
        <w:rPr>
          <w:rFonts w:ascii="Times New Roman" w:hAnsi="Times New Roman" w:eastAsia="Times New Roman" w:cs="Times New Roman"/>
          <w:color w:val="1f1f1f"/>
          <w:sz w:val="26"/>
          <w:szCs w:val="26"/>
          <w:highlight w:val="none"/>
        </w:rPr>
        <w:t xml:space="preserve"> để tiết kiệm thời gian hoặc thuận tiện cho công việc. Dưới góc nhìn Nhân – Quả, những hành vi này phản ánh sự thiếu ý thức về trách nhiệm đối với tổ chức và cộng đồng, đồng thời tiềm ẩn nguy cơ dẫn đến các “Quả xấu” trong tương lai.</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highlight w:val="none"/>
        </w:rPr>
      </w:r>
    </w:p>
    <w:p w14:paraId="5172A66F">
      <w:pPr>
        <w:suppressLineNumbers w:val="false"/>
        <w:pBdr/>
        <w:spacing w:after="119" w:before="120" w:line="360" w:lineRule="auto"/>
        <w:ind w:right="0" w:firstLine="720" w:left="0"/>
        <w:rPr>
          <w:rFonts w:ascii="Times New Roman" w:hAnsi="Times New Roman" w:eastAsia="Times New Roman" w:cs="Times New Roman"/>
          <w:color w:val="1f1f1f"/>
          <w:sz w:val="26"/>
          <w:szCs w:val="26"/>
          <w:highlight w:val="none"/>
        </w:rPr>
      </w:pPr>
      <w:r>
        <w:rPr>
          <w:rFonts w:ascii="Times New Roman" w:hAnsi="Times New Roman" w:eastAsia="Times New Roman" w:cs="Times New Roman"/>
          <w:color w:val="1f1f1f"/>
          <w:sz w:val="26"/>
          <w:szCs w:val="26"/>
          <w:highlight w:val="none"/>
        </w:rPr>
        <w:t xml:space="preserve">N</w:t>
      </w:r>
      <w:r>
        <w:rPr>
          <w:rFonts w:ascii="Times New Roman" w:hAnsi="Times New Roman" w:eastAsia="Times New Roman" w:cs="Times New Roman"/>
          <w:color w:val="1f1f1f"/>
          <w:sz w:val="26"/>
          <w:szCs w:val="26"/>
          <w:highlight w:val="none"/>
        </w:rPr>
        <w:t xml:space="preserve">goài các “Nhân” chủ quan, cần xem xét đến các “Nhân” khách quan xuất phát từ môi trường bên ngoài tổ chức. Sự gia tăng của các hoạt động tấn công mạng, lừa đảo trực tuyến và khai thác lỗ hổng bảo mật từ các đối tượng bên ngoài có thể được xem là những “Nhâ</w:t>
      </w:r>
      <w:r>
        <w:rPr>
          <w:rFonts w:ascii="Times New Roman" w:hAnsi="Times New Roman" w:eastAsia="Times New Roman" w:cs="Times New Roman"/>
          <w:color w:val="1f1f1f"/>
          <w:sz w:val="26"/>
          <w:szCs w:val="26"/>
          <w:highlight w:val="none"/>
        </w:rPr>
        <w:t xml:space="preserve">n</w:t>
      </w:r>
      <w:r>
        <w:rPr>
          <w:rFonts w:ascii="Times New Roman" w:hAnsi="Times New Roman" w:eastAsia="Times New Roman" w:cs="Times New Roman"/>
          <w:color w:val="1f1f1f"/>
          <w:sz w:val="26"/>
          <w:szCs w:val="26"/>
          <w:highlight w:val="none"/>
        </w:rPr>
        <w:t xml:space="preserve">” mang tính tác động ngoại sinh. Tuy nhiên, theo quan điểm Nhân – Quả, những “Nhân” này chỉ có thể phát huy tác động khi gặp các điều kiện thuận lợi từ bên trong hệ thống. Điều này dẫn đến vai trò đặc biệt quan trọng của “Duyên” trong việc hình thành rủi r</w:t>
      </w:r>
      <w:r>
        <w:rPr>
          <w:rFonts w:ascii="Times New Roman" w:hAnsi="Times New Roman" w:eastAsia="Times New Roman" w:cs="Times New Roman"/>
          <w:color w:val="1f1f1f"/>
          <w:sz w:val="26"/>
          <w:szCs w:val="26"/>
          <w:highlight w:val="none"/>
        </w:rPr>
        <w:t xml:space="preserve">o an ninh mạng.</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highlight w:val="none"/>
        </w:rPr>
      </w:r>
    </w:p>
    <w:p w14:paraId="55865B2C">
      <w:pPr>
        <w:pStyle w:val="1040"/>
        <w:numPr>
          <w:ilvl w:val="2"/>
          <w:numId w:val="37"/>
        </w:numPr>
        <w:suppressLineNumbers w:val="false"/>
        <w:pBdr/>
        <w:spacing/>
        <w:ind/>
        <w:rPr>
          <w:rFonts w:ascii="Times New Roman" w:hAnsi="Times New Roman" w:eastAsia="Times New Roman" w:cs="Times New Roman"/>
          <w:b/>
          <w:bCs/>
          <w:color w:val="1f1f1f"/>
          <w:sz w:val="26"/>
          <w:szCs w:val="26"/>
          <w14:ligatures w14:val="none"/>
        </w:rPr>
      </w:pPr>
      <w:r>
        <w:rPr>
          <w:rFonts w:ascii="Times New Roman" w:hAnsi="Times New Roman" w:eastAsia="Times New Roman" w:cs="Times New Roman"/>
          <w:b/>
          <w:bCs/>
          <w:color w:val="1f1f1f"/>
          <w:sz w:val="26"/>
          <w:szCs w:val="26"/>
        </w:rPr>
        <w:t xml:space="preserve">Vai trò của “Duyên” – Điều kiện làm phát sinh rủi ro:</w:t>
      </w:r>
      <w:r>
        <w:rPr>
          <w:rFonts w:ascii="Times New Roman" w:hAnsi="Times New Roman" w:eastAsia="Times New Roman" w:cs="Times New Roman"/>
          <w:b/>
          <w:bCs/>
          <w:color w:val="1f1f1f"/>
          <w:sz w:val="26"/>
          <w:szCs w:val="26"/>
        </w:rPr>
      </w:r>
      <w:r>
        <w:rPr>
          <w:rFonts w:ascii="Times New Roman" w:hAnsi="Times New Roman" w:eastAsia="Times New Roman" w:cs="Times New Roman"/>
          <w:b/>
          <w:bCs/>
          <w:color w:val="1f1f1f"/>
          <w:sz w:val="26"/>
          <w:szCs w:val="26"/>
          <w14:ligatures w14:val="none"/>
        </w:rPr>
      </w:r>
    </w:p>
    <w:p w14:paraId="79424038">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highlight w:val="none"/>
        </w:rPr>
        <w:t xml:space="preserve">T</w:t>
      </w:r>
      <w:r>
        <w:rPr>
          <w:rFonts w:ascii="Times New Roman" w:hAnsi="Times New Roman" w:eastAsia="Times New Roman" w:cs="Times New Roman"/>
          <w:color w:val="1f1f1f"/>
          <w:sz w:val="26"/>
          <w:szCs w:val="26"/>
          <w:highlight w:val="none"/>
        </w:rPr>
        <w:t xml:space="preserve">rong học thuyết Nhân – Duyên – Quả, “Duyên” là những điều kiện trung gian giúp Nhân chuyển hóa thành Quả. Đối với rủi ro an ninh mạng, các “Duyên xấu” có thể bao gồm hệ thống phần mềm chưa được cập nhật kịp thời, tồn tại lỗ hổng bảo mật, quy trình kiểm soá</w:t>
      </w:r>
      <w:r>
        <w:rPr>
          <w:rFonts w:ascii="Times New Roman" w:hAnsi="Times New Roman" w:eastAsia="Times New Roman" w:cs="Times New Roman"/>
          <w:color w:val="1f1f1f"/>
          <w:sz w:val="26"/>
          <w:szCs w:val="26"/>
          <w:highlight w:val="none"/>
        </w:rPr>
        <w:t xml:space="preserve">t nội bộ chưa chặt chẽ, hoặc cơ chế giám sát và cảnh báo chưa được thực hiện thường xuyên. Khi những điều kiện này tồn tại, các “Nhân xấu” từ con người hoặc từ bên ngoài dễ dàng chuyển hóa thành các “Quả xấu” là sự cố hoặc nguy cơ an ninh mạng.</w:t>
      </w:r>
      <w:r>
        <w:rPr>
          <w:rFonts w:ascii="Times New Roman" w:hAnsi="Times New Roman" w:eastAsia="Times New Roman" w:cs="Times New Roman"/>
          <w:color w:val="1f1f1f"/>
          <w:sz w:val="26"/>
          <w:szCs w:val="26"/>
          <w:highlight w:val="none"/>
        </w:rPr>
      </w:r>
      <w:r/>
    </w:p>
    <w:p w14:paraId="665E3F6C">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highlight w:val="none"/>
        </w:rPr>
        <w:t xml:space="preserve">Đ</w:t>
      </w:r>
      <w:r>
        <w:rPr>
          <w:rFonts w:ascii="Times New Roman" w:hAnsi="Times New Roman" w:eastAsia="Times New Roman" w:cs="Times New Roman"/>
          <w:color w:val="1f1f1f"/>
          <w:sz w:val="26"/>
          <w:szCs w:val="26"/>
          <w:highlight w:val="none"/>
        </w:rPr>
        <w:t xml:space="preserve">áng chú ý, “Duyên” trong rủi ro an ninh mạng không chỉ mang tính kỹ thuật, mà còn bao gồm các yếu tố tổ chức và văn hóa doanh nghiệp. Một môi trường làm việc thiếu kỷ luật, thiếu minh bạch trong phân quyền và trách nhiệm, hoặc chưa hình thành được văn hóa </w:t>
      </w:r>
      <w:r>
        <w:rPr>
          <w:rFonts w:ascii="Times New Roman" w:hAnsi="Times New Roman" w:eastAsia="Times New Roman" w:cs="Times New Roman"/>
          <w:color w:val="1f1f1f"/>
          <w:sz w:val="26"/>
          <w:szCs w:val="26"/>
          <w:highlight w:val="none"/>
        </w:rPr>
        <w:t xml:space="preserve">an toàn thông tin sẽ tạo điều kiện thuận lợi cho các hành vi vi phạm quy trình</w:t>
      </w:r>
      <w:r>
        <w:rPr>
          <w:rFonts w:ascii="Times New Roman" w:hAnsi="Times New Roman" w:eastAsia="Times New Roman" w:cs="Times New Roman"/>
          <w:color w:val="1f1f1f"/>
          <w:sz w:val="26"/>
          <w:szCs w:val="26"/>
          <w:highlight w:val="none"/>
        </w:rPr>
        <w:t xml:space="preserve"> (Trần Văn Tài, 2021)</w:t>
      </w:r>
      <w:r>
        <w:rPr>
          <w:rFonts w:ascii="Times New Roman" w:hAnsi="Times New Roman" w:eastAsia="Times New Roman" w:cs="Times New Roman"/>
          <w:color w:val="1f1f1f"/>
          <w:sz w:val="26"/>
          <w:szCs w:val="26"/>
          <w:highlight w:val="none"/>
        </w:rPr>
        <w:t xml:space="preserve">. Dưới góc nhìn Phật giáo, đây là những “Duyên” mang tính xã hội, góp phần làm suy yếu khả năng tự kiểm soát hành vi của con người.</w:t>
      </w:r>
      <w:r>
        <w:rPr>
          <w:rFonts w:ascii="Times New Roman" w:hAnsi="Times New Roman" w:eastAsia="Times New Roman" w:cs="Times New Roman"/>
          <w:color w:val="1f1f1f"/>
          <w:sz w:val="26"/>
          <w:szCs w:val="26"/>
          <w:highlight w:val="none"/>
        </w:rPr>
      </w:r>
      <w:r/>
    </w:p>
    <w:p w14:paraId="69C9FF9F">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highlight w:val="none"/>
        </w:rPr>
        <w:t xml:space="preserve">S</w:t>
      </w:r>
      <w:r>
        <w:rPr>
          <w:rFonts w:ascii="Times New Roman" w:hAnsi="Times New Roman" w:eastAsia="Times New Roman" w:cs="Times New Roman"/>
          <w:color w:val="1f1f1f"/>
          <w:sz w:val="26"/>
          <w:szCs w:val="26"/>
          <w:highlight w:val="none"/>
        </w:rPr>
        <w:t xml:space="preserve">ự kết hợp giữa “Nhân” và “Duyên” cho thấy rủi ro an ninh mạng là kết quả của một quá trình tích lũy lâu dài, chứ không phải sự kiện đơn lẻ. Một hành vi thiếu cẩn trọng có thể không gây ra hậu quả ngay lập tức, nhưng khi được lặp đi lặp lại trong một môi tr</w:t>
      </w:r>
      <w:r>
        <w:rPr>
          <w:rFonts w:ascii="Times New Roman" w:hAnsi="Times New Roman" w:eastAsia="Times New Roman" w:cs="Times New Roman"/>
          <w:color w:val="1f1f1f"/>
          <w:sz w:val="26"/>
          <w:szCs w:val="26"/>
          <w:highlight w:val="none"/>
        </w:rPr>
        <w:t xml:space="preserve">ường có nhiều “Duyên xấu”, khả năng phát sinh sự cố sẽ tăng lên đáng kể. Cách tiếp cận này giúp giải thích vì sao nhiều sự cố an ninh mạng chỉ bùng phát sau một thời gian dài vận hành hệ thống, dù trước đó không có dấu hiệu bất thường rõ ràng.</w:t>
      </w:r>
      <w:r>
        <w:rPr>
          <w:rFonts w:ascii="Times New Roman" w:hAnsi="Times New Roman" w:eastAsia="Times New Roman" w:cs="Times New Roman"/>
          <w:color w:val="1f1f1f"/>
          <w:sz w:val="26"/>
          <w:szCs w:val="26"/>
          <w:highlight w:val="none"/>
        </w:rPr>
      </w:r>
      <w:r/>
    </w:p>
    <w:p w14:paraId="3309027F">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highlight w:val="none"/>
        </w:rPr>
        <w:t xml:space="preserve">T</w:t>
      </w:r>
      <w:r>
        <w:rPr>
          <w:rFonts w:ascii="Times New Roman" w:hAnsi="Times New Roman" w:eastAsia="Times New Roman" w:cs="Times New Roman"/>
          <w:color w:val="1f1f1f"/>
          <w:sz w:val="26"/>
          <w:szCs w:val="26"/>
          <w:highlight w:val="none"/>
        </w:rPr>
        <w:t xml:space="preserve">ừ góc độ triết học, việc truy tìm “Nhân” và phân tích vai trò của “Duyên” giúp làm rõ trách nhiệm của từng chủ thể trong hệ thống. Thay vì quy kết trách nhiệm cho một cá nhân hay một yếu tố kỹ thuật cụ thể, quan điểm Nhân – Quả cho phép nhìn nhận rủi ro an</w:t>
      </w:r>
      <w:r>
        <w:rPr>
          <w:rFonts w:ascii="Times New Roman" w:hAnsi="Times New Roman" w:eastAsia="Times New Roman" w:cs="Times New Roman"/>
          <w:color w:val="1f1f1f"/>
          <w:sz w:val="26"/>
          <w:szCs w:val="26"/>
          <w:highlight w:val="none"/>
        </w:rPr>
        <w:t xml:space="preserve"> ninh mạng như kết quả của sự tương tác phức hợp giữa con người, tổ chức và môi trường công nghệ. Cách tiếp cận này tạo cơ sở lý luận quan trọng cho việc đề xuất các giải pháp mang tính phòng ngừa và bền vững ở phần tiếp theo của Chương 2.</w:t>
      </w:r>
      <w:r>
        <w:rPr>
          <w:rFonts w:ascii="Times New Roman" w:hAnsi="Times New Roman" w:eastAsia="Times New Roman" w:cs="Times New Roman"/>
          <w:color w:val="1f1f1f"/>
          <w:sz w:val="26"/>
          <w:szCs w:val="26"/>
          <w:highlight w:val="none"/>
        </w:rPr>
      </w:r>
      <w:r/>
    </w:p>
    <w:p>
      <w:pPr>
        <w:pStyle w:val="1039"/>
        <w:numPr>
          <w:ilvl w:val="1"/>
          <w:numId w:val="35"/>
        </w:numPr>
        <w:suppressLineNumbers w:val="false"/>
        <w:pBdr/>
        <w:spacing w:after="119" w:before="120"/>
        <w:ind w:right="0" w:firstLine="720" w:left="0"/>
        <w:rPr>
          <w:rFonts w:eastAsia="Times New Roman" w:cs="Times New Roman"/>
          <w:szCs w:val="26"/>
        </w:rPr>
      </w:pPr>
      <w:r/>
      <w:bookmarkStart w:id="18" w:name="_Toc10"/>
      <w:r/>
      <w:bookmarkStart w:id="6" w:name="_eh78bioq5t7r"/>
      <w:r/>
      <w:bookmarkEnd w:id="6"/>
      <w:r>
        <w:rPr>
          <w:rFonts w:eastAsia="Times New Roman" w:cs="Times New Roman"/>
          <w:szCs w:val="26"/>
        </w:rPr>
        <w:t xml:space="preserve">Vận dụng thuyết nhân quả trong Phật giáo đề xuất g</w:t>
      </w:r>
      <w:r>
        <w:rPr>
          <w:rFonts w:eastAsia="Times New Roman" w:cs="Times New Roman"/>
          <w:szCs w:val="26"/>
        </w:rPr>
        <w:t xml:space="preserve">iải pháp hạn chế rủi ro an ninh mạng </w:t>
      </w:r>
      <w:r>
        <w:rPr>
          <w:rFonts w:eastAsia="Times New Roman" w:cs="Times New Roman"/>
          <w:szCs w:val="26"/>
        </w:rPr>
        <w:t xml:space="preserve">ở VNPT-IT Chi nhánh Đồng Tháp</w:t>
      </w:r>
      <w:bookmarkEnd w:id="18"/>
      <w:r>
        <w:rPr>
          <w:rFonts w:eastAsia="Times New Roman" w:cs="Times New Roman"/>
          <w:szCs w:val="26"/>
        </w:rPr>
      </w:r>
      <w:r>
        <w:rPr>
          <w:rFonts w:eastAsia="Times New Roman" w:cs="Times New Roman"/>
          <w:szCs w:val="26"/>
        </w:rPr>
      </w:r>
    </w:p>
    <w:p w14:paraId="142AE522">
      <w:pPr>
        <w:suppressLineNumbers w:val="false"/>
        <w:pBdr/>
        <w:spacing w:after="119" w:before="120" w:line="360" w:lineRule="auto"/>
        <w:ind w:right="0" w:firstLine="720" w:left="0"/>
        <w:rPr>
          <w:rFonts w:ascii="Times New Roman" w:hAnsi="Times New Roman" w:eastAsia="Times New Roman" w:cs="Times New Roman"/>
          <w:color w:val="1f1f1f"/>
          <w:sz w:val="26"/>
          <w:szCs w:val="26"/>
          <w:highlight w:val="none"/>
          <w14:ligatures w14:val="none"/>
        </w:rPr>
      </w:pP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highlight w:val="none"/>
        </w:rPr>
        <w:t xml:space="preserve">T</w:t>
      </w:r>
      <w:r>
        <w:rPr>
          <w:rFonts w:ascii="Times New Roman" w:hAnsi="Times New Roman" w:eastAsia="Times New Roman" w:cs="Times New Roman"/>
          <w:color w:val="1f1f1f"/>
          <w:sz w:val="26"/>
          <w:szCs w:val="26"/>
          <w:highlight w:val="none"/>
        </w:rPr>
        <w:t xml:space="preserve">ừ việc phân tích thực trạng rủi ro an ninh mạng dưới góc nhìn Nhân – Duyên – Quả, có thể thấy rằng muốn hạn chế và phòng ngừa rủi ro một cách bền vững thì không thể chỉ tập trung vào xử lý hậu quả, mà cần tác động trực tiếp vào các nguyên nhân gốc rễ và đi</w:t>
      </w:r>
      <w:r>
        <w:rPr>
          <w:rFonts w:ascii="Times New Roman" w:hAnsi="Times New Roman" w:eastAsia="Times New Roman" w:cs="Times New Roman"/>
          <w:color w:val="1f1f1f"/>
          <w:sz w:val="26"/>
          <w:szCs w:val="26"/>
          <w:highlight w:val="none"/>
        </w:rPr>
        <w:t xml:space="preserve">ều kiện làm phát sinh rủi ro. Trên tinh thần đó, việc vận dụng quan điểm Nhân – Quả của Phật giáo cho phép đề xuất các giải pháp mang tính toàn diện, kết hợp giữa yếu tố con người, tổ chức và hệ thống kỹ thuật.</w:t>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highlight w:val="none"/>
          <w14:ligatures w14:val="none"/>
        </w:rPr>
      </w:r>
    </w:p>
    <w:p>
      <w:pPr>
        <w:pStyle w:val="1040"/>
        <w:numPr>
          <w:ilvl w:val="2"/>
          <w:numId w:val="38"/>
        </w:numPr>
        <w:suppressLineNumbers w:val="false"/>
        <w:pBdr/>
        <w:spacing/>
        <w:ind/>
        <w:rPr>
          <w:rFonts w:ascii="Times New Roman" w:hAnsi="Times New Roman" w:eastAsia="Times New Roman" w:cs="Times New Roman"/>
          <w:b/>
          <w:bCs/>
          <w:color w:val="1f1f1f"/>
          <w:sz w:val="26"/>
          <w:szCs w:val="26"/>
        </w:rPr>
      </w:pPr>
      <w:r>
        <w:rPr>
          <w:rFonts w:ascii="Times New Roman" w:hAnsi="Times New Roman" w:eastAsia="Times New Roman" w:cs="Times New Roman"/>
          <w:b/>
          <w:bCs/>
          <w:color w:val="1f1f1f"/>
          <w:sz w:val="26"/>
          <w:szCs w:val="26"/>
        </w:rPr>
        <w:t xml:space="preserve">Giải pháp "Gieo Nhân thiện" (Về con người):</w:t>
      </w:r>
      <w:r>
        <w:rPr>
          <w:rFonts w:ascii="Times New Roman" w:hAnsi="Times New Roman" w:eastAsia="Times New Roman" w:cs="Times New Roman"/>
          <w:b/>
          <w:bCs/>
          <w:color w:val="1f1f1f"/>
          <w:sz w:val="26"/>
          <w:szCs w:val="26"/>
        </w:rPr>
      </w:r>
      <w:r>
        <w:rPr>
          <w:rFonts w:ascii="Times New Roman" w:hAnsi="Times New Roman" w:eastAsia="Times New Roman" w:cs="Times New Roman"/>
          <w:b/>
          <w:bCs/>
          <w:color w:val="1f1f1f"/>
          <w:sz w:val="26"/>
          <w:szCs w:val="26"/>
        </w:rPr>
      </w:r>
    </w:p>
    <w:p w14:paraId="0DA608B2">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rPr>
        <w:t xml:space="preserve">T</w:t>
      </w:r>
      <w:r>
        <w:rPr>
          <w:rFonts w:ascii="Times New Roman" w:hAnsi="Times New Roman" w:eastAsia="Times New Roman" w:cs="Times New Roman"/>
          <w:color w:val="1f1f1f"/>
          <w:sz w:val="26"/>
          <w:szCs w:val="26"/>
        </w:rPr>
        <w:t xml:space="preserve">rong quan điểm Nhân – Quả của Phật giáo, “Nhân” giữ vai trò quyết định đối với sự hình thành của “Quả” </w:t>
      </w:r>
      <w:r>
        <w:rPr>
          <w:rFonts w:ascii="Times New Roman" w:hAnsi="Times New Roman" w:eastAsia="Times New Roman" w:cs="Times New Roman"/>
          <w:color w:val="1f1f1f"/>
          <w:sz w:val="26"/>
          <w:szCs w:val="26"/>
        </w:rPr>
        <w:t xml:space="preserve">(Thích Minh Châu, 2012)</w:t>
      </w:r>
      <w:r>
        <w:rPr>
          <w:rFonts w:ascii="Times New Roman" w:hAnsi="Times New Roman" w:eastAsia="Times New Roman" w:cs="Times New Roman"/>
          <w:color w:val="1f1f1f"/>
          <w:sz w:val="26"/>
          <w:szCs w:val="26"/>
        </w:rPr>
        <w:t xml:space="preserve">. Do đó, muốn hạn chế các “Quả xấu” là rủi ro và sự cố an ninh mạng, trước hết cần chú trọng đến việc “gieo Nhân thiện”, tức là nâng cao nhận thức, đạo đứ</w:t>
      </w:r>
      <w:r>
        <w:rPr>
          <w:rFonts w:ascii="Times New Roman" w:hAnsi="Times New Roman" w:eastAsia="Times New Roman" w:cs="Times New Roman"/>
          <w:color w:val="1f1f1f"/>
          <w:sz w:val="26"/>
          <w:szCs w:val="26"/>
        </w:rPr>
        <w:t xml:space="preserve">c và trách nhiệm của con người – chủ thể trực tiếp vận hành và sử dụng hệ thống thông tin.</w:t>
      </w:r>
      <w:r>
        <w:rPr>
          <w:rFonts w:ascii="Times New Roman" w:hAnsi="Times New Roman" w:eastAsia="Times New Roman" w:cs="Times New Roman"/>
          <w:color w:val="1f1f1f"/>
          <w:sz w:val="26"/>
          <w:szCs w:val="26"/>
        </w:rPr>
      </w:r>
      <w:r/>
    </w:p>
    <w:p w14:paraId="03646DE5">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rPr>
        <w:t xml:space="preserve">T</w:t>
      </w:r>
      <w:r>
        <w:rPr>
          <w:rFonts w:ascii="Times New Roman" w:hAnsi="Times New Roman" w:eastAsia="Times New Roman" w:cs="Times New Roman"/>
          <w:color w:val="1f1f1f"/>
          <w:sz w:val="26"/>
          <w:szCs w:val="26"/>
        </w:rPr>
        <w:t xml:space="preserve">rước hết, cần nâng cao nhận thức về an toàn thông tin cho cán bộ, nhân viên theo hướng không chỉ dừng lại ở kiến thức kỹ thuật, mà còn gắn với ý thức trách nhiệm cá nhân và đạo đức nghề nghiệp. Dưới góc nhìn Phật giáo, nhận thức đúng đắn tương ứng với “Chí</w:t>
      </w:r>
      <w:r>
        <w:rPr>
          <w:rFonts w:ascii="Times New Roman" w:hAnsi="Times New Roman" w:eastAsia="Times New Roman" w:cs="Times New Roman"/>
          <w:color w:val="1f1f1f"/>
          <w:sz w:val="26"/>
          <w:szCs w:val="26"/>
        </w:rPr>
        <w:t xml:space="preserve">nh kiến” – một yếu tố quan trọng trong Bát Chính Đạo. Khi con người có chính kiến, họ sẽ hiểu rõ mối liên hệ giữa hành vi của mình và những hệ quả có thể xảy ra, từ đó chủ động điều chỉnh hành vi theo hướng tích cực.</w:t>
      </w:r>
      <w:r>
        <w:rPr>
          <w:rFonts w:ascii="Times New Roman" w:hAnsi="Times New Roman" w:eastAsia="Times New Roman" w:cs="Times New Roman"/>
          <w:color w:val="1f1f1f"/>
          <w:sz w:val="26"/>
          <w:szCs w:val="26"/>
        </w:rPr>
      </w:r>
      <w:r/>
    </w:p>
    <w:p w14:paraId="29572B10">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rPr>
        <w:t xml:space="preserve">B</w:t>
      </w:r>
      <w:r>
        <w:rPr>
          <w:rFonts w:ascii="Times New Roman" w:hAnsi="Times New Roman" w:eastAsia="Times New Roman" w:cs="Times New Roman"/>
          <w:color w:val="1f1f1f"/>
          <w:sz w:val="26"/>
          <w:szCs w:val="26"/>
        </w:rPr>
        <w:t xml:space="preserve">ên cạnh đó, cần chú trọng xây dựng thái độ làm việc cẩn trọng, trung thực và tuân thủ quy trình trong quá trình sử dụng hệ thống thông tin. Đây chính là sự vận dụng tinh thần “Chính nghiệp” trong đời sống nghề nghiệp. Khi mỗi cá nhân ý thức được rằng mọi h</w:t>
      </w:r>
      <w:r>
        <w:rPr>
          <w:rFonts w:ascii="Times New Roman" w:hAnsi="Times New Roman" w:eastAsia="Times New Roman" w:cs="Times New Roman"/>
          <w:color w:val="1f1f1f"/>
          <w:sz w:val="26"/>
          <w:szCs w:val="26"/>
        </w:rPr>
        <w:t xml:space="preserve">ành vi thiếu trách nhiệm đều có thể trở thành “Nhân xấu” dẫn đến “Quả xấu” cho tổ chức và xã hội, họ sẽ thận trọng hơn trong từng hành động, từ việc quản lý mật khẩu đến việc xử lý và chia sẻ dữ liệu.</w:t>
      </w:r>
      <w:r>
        <w:rPr>
          <w:rFonts w:ascii="Times New Roman" w:hAnsi="Times New Roman" w:eastAsia="Times New Roman" w:cs="Times New Roman"/>
          <w:color w:val="1f1f1f"/>
          <w:sz w:val="26"/>
          <w:szCs w:val="26"/>
        </w:rPr>
      </w:r>
      <w:r/>
    </w:p>
    <w:p>
      <w:pPr>
        <w:suppressLineNumbers w:val="false"/>
        <w:pBdr/>
        <w:spacing w:after="119" w:before="120" w:line="360" w:lineRule="auto"/>
        <w:ind w:right="0" w:firstLine="720" w:left="0"/>
        <w:rPr>
          <w:rFonts w:ascii="Times New Roman" w:hAnsi="Times New Roman" w:eastAsia="Times New Roman" w:cs="Times New Roman"/>
          <w:color w:val="1f1f1f"/>
          <w:sz w:val="26"/>
          <w:szCs w:val="26"/>
        </w:rPr>
      </w:pPr>
      <w:r>
        <w:rPr>
          <w:rFonts w:ascii="Times New Roman" w:hAnsi="Times New Roman" w:eastAsia="Times New Roman" w:cs="Times New Roman"/>
          <w:color w:val="1f1f1f"/>
          <w:sz w:val="26"/>
          <w:szCs w:val="26"/>
        </w:rPr>
        <w:t xml:space="preserve">N</w:t>
      </w:r>
      <w:r>
        <w:rPr>
          <w:rFonts w:ascii="Times New Roman" w:hAnsi="Times New Roman" w:eastAsia="Times New Roman" w:cs="Times New Roman"/>
          <w:color w:val="1f1f1f"/>
          <w:sz w:val="26"/>
          <w:szCs w:val="26"/>
        </w:rPr>
        <w:t xml:space="preserve">goài ra, việc xây dựng văn hóa an toàn thông tin trong tổ chức cũng là một nội dung quan trọng của giải pháp “gieo Nhân thiện”. Văn hóa này không chỉ được thể hiện qua các quy định, mà còn qua thái độ ứng xử, tinh thần hợp tác và ý thức tự giác của mỗi cá </w:t>
      </w:r>
      <w:r>
        <w:rPr>
          <w:rFonts w:ascii="Times New Roman" w:hAnsi="Times New Roman" w:eastAsia="Times New Roman" w:cs="Times New Roman"/>
          <w:color w:val="1f1f1f"/>
          <w:sz w:val="26"/>
          <w:szCs w:val="26"/>
        </w:rPr>
        <w:t xml:space="preserve">nhân</w:t>
      </w:r>
      <w:r>
        <w:rPr>
          <w:rFonts w:ascii="Times New Roman" w:hAnsi="Times New Roman" w:eastAsia="Times New Roman" w:cs="Times New Roman"/>
          <w:color w:val="1f1f1f"/>
          <w:sz w:val="26"/>
          <w:szCs w:val="26"/>
        </w:rPr>
        <w:t xml:space="preserve"> (Keown, 2016)</w:t>
      </w:r>
      <w:r>
        <w:rPr>
          <w:rFonts w:ascii="Times New Roman" w:hAnsi="Times New Roman" w:eastAsia="Times New Roman" w:cs="Times New Roman"/>
          <w:color w:val="1f1f1f"/>
          <w:sz w:val="26"/>
          <w:szCs w:val="26"/>
        </w:rPr>
        <w:t xml:space="preserve">. Khi an toàn thông tin trở thành một giá trị chung được tôn trọng, các hành vi vi phạm quy trình sẽ giảm đi một cách tự nhiên, góp phần hạn chế nguy cơ phát sinh rủi ro an ninh mạng.</w:t>
      </w:r>
      <w:r>
        <w:rPr>
          <w:rFonts w:ascii="Times New Roman" w:hAnsi="Times New Roman" w:eastAsia="Times New Roman" w:cs="Times New Roman"/>
          <w:color w:val="1f1f1f"/>
          <w:sz w:val="26"/>
          <w:szCs w:val="26"/>
        </w:rPr>
      </w:r>
      <w:r>
        <w:rPr>
          <w:rFonts w:ascii="Times New Roman" w:hAnsi="Times New Roman" w:eastAsia="Times New Roman" w:cs="Times New Roman"/>
          <w:color w:val="1f1f1f"/>
          <w:sz w:val="26"/>
          <w:szCs w:val="26"/>
        </w:rPr>
      </w:r>
    </w:p>
    <w:p>
      <w:pPr>
        <w:pStyle w:val="1040"/>
        <w:numPr>
          <w:ilvl w:val="2"/>
          <w:numId w:val="38"/>
        </w:numPr>
        <w:suppressLineNumbers w:val="false"/>
        <w:pBdr/>
        <w:spacing/>
        <w:ind/>
        <w:rPr>
          <w:rFonts w:ascii="Times New Roman" w:hAnsi="Times New Roman" w:eastAsia="Times New Roman" w:cs="Times New Roman"/>
          <w:b/>
          <w:bCs/>
          <w:color w:val="1f1f1f"/>
          <w:sz w:val="26"/>
          <w:szCs w:val="26"/>
        </w:rPr>
      </w:pPr>
      <w:r>
        <w:rPr>
          <w:rFonts w:ascii="Times New Roman" w:hAnsi="Times New Roman" w:eastAsia="Times New Roman" w:cs="Times New Roman"/>
          <w:b/>
          <w:bCs/>
          <w:color w:val="1f1f1f"/>
          <w:sz w:val="26"/>
          <w:szCs w:val="26"/>
        </w:rPr>
        <w:t xml:space="preserve">Giải pháp “Cắt đứt Duyên xấu” (Về kỹ thuật &amp; Quản lý):</w:t>
      </w:r>
      <w:r>
        <w:rPr>
          <w:rFonts w:ascii="Times New Roman" w:hAnsi="Times New Roman" w:eastAsia="Times New Roman" w:cs="Times New Roman"/>
          <w:b/>
          <w:bCs/>
          <w:color w:val="1f1f1f"/>
          <w:sz w:val="26"/>
          <w:szCs w:val="26"/>
        </w:rPr>
      </w:r>
      <w:r>
        <w:rPr>
          <w:rFonts w:ascii="Times New Roman" w:hAnsi="Times New Roman" w:eastAsia="Times New Roman" w:cs="Times New Roman"/>
          <w:b/>
          <w:bCs/>
          <w:color w:val="1f1f1f"/>
          <w:sz w:val="26"/>
          <w:szCs w:val="26"/>
        </w:rPr>
      </w:r>
    </w:p>
    <w:p w14:paraId="61C8F3C6">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rPr>
        <w:t xml:space="preserve">S</w:t>
      </w:r>
      <w:r>
        <w:rPr>
          <w:rFonts w:ascii="Times New Roman" w:hAnsi="Times New Roman" w:eastAsia="Times New Roman" w:cs="Times New Roman"/>
          <w:color w:val="1f1f1f"/>
          <w:sz w:val="26"/>
          <w:szCs w:val="26"/>
        </w:rPr>
        <w:t xml:space="preserve">ong song với việc “gieo Nhân thiện”, việc “cắt đứt Duyên xấu” đóng vai trò quan trọng trong việc ngăn chặn quá trình chuyển hóa từ Nhân sang Quả. Trong học thuyết Nhân – Duyên – Quả, Duyên là những điều kiện trung gian có khả năng thúc đẩy hoặc kìm hãm sự </w:t>
      </w:r>
      <w:r>
        <w:rPr>
          <w:rFonts w:ascii="Times New Roman" w:hAnsi="Times New Roman" w:eastAsia="Times New Roman" w:cs="Times New Roman"/>
          <w:color w:val="1f1f1f"/>
          <w:sz w:val="26"/>
          <w:szCs w:val="26"/>
        </w:rPr>
        <w:t xml:space="preserve">phát sinh của kết quả. Đối với rủi ro an ninh mạng, các “Duyên xấu” thường tồn tại dưới dạng lỗ hổng hệ thống, quy trình quản lý chưa chặt chẽ và môi trường làm việc thiếu kỷ luật.</w:t>
      </w:r>
      <w:r>
        <w:rPr>
          <w:rFonts w:ascii="Times New Roman" w:hAnsi="Times New Roman" w:eastAsia="Times New Roman" w:cs="Times New Roman"/>
          <w:color w:val="1f1f1f"/>
          <w:sz w:val="26"/>
          <w:szCs w:val="26"/>
        </w:rPr>
      </w:r>
      <w:r/>
    </w:p>
    <w:p w14:paraId="7B21491B">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rPr>
        <w:t xml:space="preserve">T</w:t>
      </w:r>
      <w:r>
        <w:rPr>
          <w:rFonts w:ascii="Times New Roman" w:hAnsi="Times New Roman" w:eastAsia="Times New Roman" w:cs="Times New Roman"/>
          <w:color w:val="1f1f1f"/>
          <w:sz w:val="26"/>
          <w:szCs w:val="26"/>
        </w:rPr>
        <w:t xml:space="preserve">rước hết, cần chú trọng hoàn thiện hệ thống kỹ thuật theo hướng giảm thiểu các điều kiện thuận lợi cho hành vi xâm nhập trái phép hoặc vi phạm quy trình. Việc thường xuyên cập nhật, vá lỗi phần mềm, tăng cường kiểm soát truy cập và giám sát hoạt động hệ th</w:t>
      </w:r>
      <w:r>
        <w:rPr>
          <w:rFonts w:ascii="Times New Roman" w:hAnsi="Times New Roman" w:eastAsia="Times New Roman" w:cs="Times New Roman"/>
          <w:color w:val="1f1f1f"/>
          <w:sz w:val="26"/>
          <w:szCs w:val="26"/>
        </w:rPr>
        <w:t xml:space="preserve">ống không chỉ là yêu cầu kỹ thuật, mà còn là cách thức để hạn chế các “Duyên xấu” làm phát sinh rủi ro. Khi hệ thống được thiết kế và vận hành một cách an toàn, khả năng chuyển hóa từ “Nhân xấu” thành “Quả xấu” sẽ bị hạn chế đáng kể.</w:t>
      </w:r>
      <w:r>
        <w:rPr>
          <w:rFonts w:ascii="Times New Roman" w:hAnsi="Times New Roman" w:eastAsia="Times New Roman" w:cs="Times New Roman"/>
          <w:color w:val="1f1f1f"/>
          <w:sz w:val="26"/>
          <w:szCs w:val="26"/>
        </w:rPr>
      </w:r>
      <w:r/>
    </w:p>
    <w:p w14:paraId="4D9304AA">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rPr>
        <w:t xml:space="preserve">B</w:t>
      </w:r>
      <w:r>
        <w:rPr>
          <w:rFonts w:ascii="Times New Roman" w:hAnsi="Times New Roman" w:eastAsia="Times New Roman" w:cs="Times New Roman"/>
          <w:color w:val="1f1f1f"/>
          <w:sz w:val="26"/>
          <w:szCs w:val="26"/>
        </w:rPr>
        <w:t xml:space="preserve">ên cạnh đó, việc hoàn thiện quy trình quản lý và kiểm soát nội bộ cũng có ý nghĩa đặc biệt quan trọng. Các quy trình rõ ràng, minh bạch về phân quyền, trách nhiệm và kiểm tra sẽ góp phần giảm thiểu nguy cơ phát sinh hành vi sai phạm. Dưới góc nhìn Phật giá</w:t>
      </w:r>
      <w:r>
        <w:rPr>
          <w:rFonts w:ascii="Times New Roman" w:hAnsi="Times New Roman" w:eastAsia="Times New Roman" w:cs="Times New Roman"/>
          <w:color w:val="1f1f1f"/>
          <w:sz w:val="26"/>
          <w:szCs w:val="26"/>
        </w:rPr>
        <w:t xml:space="preserve">o, đây chính là việc tạo lập các “Thiện duyên”, giúp hỗ trợ cho những “Nhân thiện” phát huy tác dụng, đồng thời kìm hãm các “Nhân xấu” ngay từ giai đoạn đầu</w:t>
      </w:r>
      <w:r>
        <w:rPr>
          <w:rFonts w:ascii="Times New Roman" w:hAnsi="Times New Roman" w:eastAsia="Times New Roman" w:cs="Times New Roman"/>
          <w:color w:val="1f1f1f"/>
          <w:sz w:val="26"/>
          <w:szCs w:val="26"/>
        </w:rPr>
        <w:t xml:space="preserve"> (Dalai Lama, 2005)</w:t>
      </w:r>
      <w:r>
        <w:rPr>
          <w:rFonts w:ascii="Times New Roman" w:hAnsi="Times New Roman" w:eastAsia="Times New Roman" w:cs="Times New Roman"/>
          <w:color w:val="1f1f1f"/>
          <w:sz w:val="26"/>
          <w:szCs w:val="26"/>
        </w:rPr>
        <w:t xml:space="preserve">.</w:t>
      </w:r>
      <w:r>
        <w:rPr>
          <w:rFonts w:ascii="Times New Roman" w:hAnsi="Times New Roman" w:eastAsia="Times New Roman" w:cs="Times New Roman"/>
          <w:color w:val="1f1f1f"/>
          <w:sz w:val="26"/>
          <w:szCs w:val="26"/>
        </w:rPr>
      </w:r>
      <w:r/>
    </w:p>
    <w:p w14:paraId="244FF130">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rPr>
        <w:t xml:space="preserve">N</w:t>
      </w:r>
      <w:r>
        <w:rPr>
          <w:rFonts w:ascii="Times New Roman" w:hAnsi="Times New Roman" w:eastAsia="Times New Roman" w:cs="Times New Roman"/>
          <w:color w:val="1f1f1f"/>
          <w:sz w:val="26"/>
          <w:szCs w:val="26"/>
        </w:rPr>
        <w:t xml:space="preserve">goài yếu tố kỹ thuật và quy trình, môi trường tổ chức và phong cách quản lý cũng là những “Duyên” có ảnh hưởng lớn đến hành vi của con người. Một môi trường làm việc thiếu kỷ luật, thiếu sự giám sát và nhắc nhở thường xuyên sẽ tạo điều kiện cho các hành vi</w:t>
      </w:r>
      <w:r>
        <w:rPr>
          <w:rFonts w:ascii="Times New Roman" w:hAnsi="Times New Roman" w:eastAsia="Times New Roman" w:cs="Times New Roman"/>
          <w:color w:val="1f1f1f"/>
          <w:sz w:val="26"/>
          <w:szCs w:val="26"/>
        </w:rPr>
        <w:t xml:space="preserve"> chủ quan và vi phạm quy trình. Ngược lại, một môi trường làm việc đề cao trách nhiệm, minh bạch và công bằng sẽ góp phần hình thành những “Thiện duyên”, giúp hạn chế rủi ro an ninh mạng một cách bền vững.</w:t>
      </w:r>
      <w:r>
        <w:rPr>
          <w:rFonts w:ascii="Times New Roman" w:hAnsi="Times New Roman" w:eastAsia="Times New Roman" w:cs="Times New Roman"/>
          <w:color w:val="1f1f1f"/>
          <w:sz w:val="26"/>
          <w:szCs w:val="26"/>
        </w:rPr>
      </w:r>
      <w:r/>
    </w:p>
    <w:p>
      <w:pPr>
        <w:suppressLineNumbers w:val="false"/>
        <w:pBdr/>
        <w:spacing w:after="119" w:before="120" w:line="360" w:lineRule="auto"/>
        <w:ind w:right="0" w:firstLine="720" w:left="0"/>
        <w:rPr>
          <w:rFonts w:ascii="Times New Roman" w:hAnsi="Times New Roman" w:eastAsia="Times New Roman" w:cs="Times New Roman"/>
          <w:color w:val="1f1f1f"/>
          <w:sz w:val="26"/>
          <w:szCs w:val="26"/>
          <w:highlight w:val="none"/>
        </w:rPr>
      </w:pPr>
      <w:r>
        <w:rPr>
          <w:rFonts w:ascii="Times New Roman" w:hAnsi="Times New Roman" w:eastAsia="Times New Roman" w:cs="Times New Roman"/>
          <w:color w:val="1f1f1f"/>
          <w:sz w:val="26"/>
          <w:szCs w:val="26"/>
        </w:rPr>
        <w:t xml:space="preserve">N</w:t>
      </w:r>
      <w:r>
        <w:rPr>
          <w:rFonts w:ascii="Times New Roman" w:hAnsi="Times New Roman" w:eastAsia="Times New Roman" w:cs="Times New Roman"/>
          <w:color w:val="1f1f1f"/>
          <w:sz w:val="26"/>
          <w:szCs w:val="26"/>
        </w:rPr>
        <w:t xml:space="preserve">hư vậy, việc kết hợp giải pháp “gieo Nhân thiện” và “cắt đứt Duyên xấu” thể hiện rõ tinh thần toàn diện của quan điểm Nhân – Quả trong Phật giáo. Thay vì chỉ tập trung vào xử lý sự cố khi đã xảy ra, cách tiếp cận này hướng tới phòng ngừa từ gốc rễ, tác độn</w:t>
      </w:r>
      <w:r>
        <w:rPr>
          <w:rFonts w:ascii="Times New Roman" w:hAnsi="Times New Roman" w:eastAsia="Times New Roman" w:cs="Times New Roman"/>
          <w:color w:val="1f1f1f"/>
          <w:sz w:val="26"/>
          <w:szCs w:val="26"/>
        </w:rPr>
        <w:t xml:space="preserve">g đồng thời vào con người, hệ thống và môi trường tổ chức. Đây chính là cơ sở lý luận quan trọng để đánh giá ý nghĩa của việc vận dụng quan điểm Nhân – Quả trong quản trị rủi ro an ninh mạng, sẽ được tiếp tục làm rõ ở phần tiếp theo.</w:t>
      </w:r>
      <w:r>
        <w:rPr>
          <w:rFonts w:ascii="Times New Roman" w:hAnsi="Times New Roman" w:eastAsia="Times New Roman" w:cs="Times New Roman"/>
          <w:color w:val="1f1f1f"/>
          <w:sz w:val="26"/>
          <w:szCs w:val="26"/>
        </w:rPr>
      </w:r>
      <w:r>
        <w:rPr>
          <w:rFonts w:ascii="Times New Roman" w:hAnsi="Times New Roman" w:eastAsia="Times New Roman" w:cs="Times New Roman"/>
          <w:color w:val="1f1f1f"/>
          <w:sz w:val="26"/>
          <w:szCs w:val="26"/>
          <w:highlight w:val="none"/>
        </w:rPr>
      </w:r>
    </w:p>
    <w:p w14:paraId="112762E9">
      <w:pPr>
        <w:pStyle w:val="1040"/>
        <w:numPr>
          <w:ilvl w:val="2"/>
          <w:numId w:val="38"/>
        </w:numPr>
        <w:suppressLineNumbers w:val="false"/>
        <w:pBdr/>
        <w:spacing/>
        <w:ind/>
        <w:rPr>
          <w:rFonts w:ascii="Times New Roman" w:hAnsi="Times New Roman" w:eastAsia="Times New Roman" w:cs="Times New Roman"/>
          <w:b/>
          <w:bCs/>
          <w:color w:val="1f1f1f"/>
          <w:sz w:val="26"/>
          <w:szCs w:val="26"/>
          <w14:ligatures w14:val="none"/>
        </w:rPr>
      </w:pPr>
      <w:r>
        <w:rPr>
          <w:rFonts w:ascii="Times New Roman" w:hAnsi="Times New Roman" w:eastAsia="Times New Roman" w:cs="Times New Roman"/>
          <w:b/>
          <w:bCs/>
          <w:color w:val="1f1f1f"/>
          <w:sz w:val="26"/>
          <w:szCs w:val="26"/>
        </w:rPr>
        <w:t xml:space="preserve">Ý Nghĩa của việc vận dụng quan điểm Nhân – Quả trong quản trị ruồi ro an ninh mạng</w:t>
      </w:r>
      <w:r>
        <w:rPr>
          <w:rFonts w:ascii="Times New Roman" w:hAnsi="Times New Roman" w:eastAsia="Times New Roman" w:cs="Times New Roman"/>
          <w:b/>
          <w:bCs/>
          <w:color w:val="1f1f1f"/>
          <w:sz w:val="26"/>
          <w:szCs w:val="26"/>
        </w:rPr>
      </w:r>
      <w:r>
        <w:rPr>
          <w:rFonts w:ascii="Times New Roman" w:hAnsi="Times New Roman" w:eastAsia="Times New Roman" w:cs="Times New Roman"/>
          <w:b/>
          <w:bCs/>
          <w:color w:val="1f1f1f"/>
          <w:sz w:val="26"/>
          <w:szCs w:val="26"/>
          <w14:ligatures w14:val="none"/>
        </w:rPr>
      </w:r>
    </w:p>
    <w:p w14:paraId="73E7F3AA">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highlight w:val="none"/>
        </w:rPr>
        <w:t xml:space="preserve">V</w:t>
      </w:r>
      <w:r>
        <w:rPr>
          <w:rFonts w:ascii="Times New Roman" w:hAnsi="Times New Roman" w:eastAsia="Times New Roman" w:cs="Times New Roman"/>
          <w:color w:val="1f1f1f"/>
          <w:sz w:val="26"/>
          <w:szCs w:val="26"/>
          <w:highlight w:val="none"/>
        </w:rPr>
        <w:t xml:space="preserve">iệc vận dụng quan điểm Nhân – Quả của Phật giáo vào phân tích và quản trị rủi ro an ninh mạng tại VNPT-IT Chi nhánh tỉnh Đồng Tháp không chỉ mang ý nghĩa thực tiễn trong việc hạn chế các sự cố cụ thể, mà còn có giá trị lý luận sâu sắc trong việc định hướng</w:t>
      </w:r>
      <w:r>
        <w:rPr>
          <w:rFonts w:ascii="Times New Roman" w:hAnsi="Times New Roman" w:eastAsia="Times New Roman" w:cs="Times New Roman"/>
          <w:color w:val="1f1f1f"/>
          <w:sz w:val="26"/>
          <w:szCs w:val="26"/>
          <w:highlight w:val="none"/>
        </w:rPr>
        <w:t xml:space="preserve"> tư duy quản trị rủi ro theo hướng toàn diện và bền vững. Thông qua cách tiếp cận này, rủi ro an ninh mạng được nhìn nhận không phải là hiện tượng kỹ thuật đơn lẻ, mà là kết quả của sự tương tác phức hợp giữa con người, tổ chức và môi trường công nghệ.</w:t>
      </w:r>
      <w:r>
        <w:rPr>
          <w:rFonts w:ascii="Times New Roman" w:hAnsi="Times New Roman" w:eastAsia="Times New Roman" w:cs="Times New Roman"/>
          <w:color w:val="1f1f1f"/>
          <w:sz w:val="26"/>
          <w:szCs w:val="26"/>
          <w:highlight w:val="none"/>
        </w:rPr>
      </w:r>
      <w:r/>
    </w:p>
    <w:p w14:paraId="2836A0C0">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highlight w:val="none"/>
        </w:rPr>
        <w:t xml:space="preserve">T</w:t>
      </w:r>
      <w:r>
        <w:rPr>
          <w:rFonts w:ascii="Times New Roman" w:hAnsi="Times New Roman" w:eastAsia="Times New Roman" w:cs="Times New Roman"/>
          <w:color w:val="1f1f1f"/>
          <w:sz w:val="26"/>
          <w:szCs w:val="26"/>
          <w:highlight w:val="none"/>
        </w:rPr>
        <w:t xml:space="preserve">rước hết, việc vận dụng quan điểm Nhân – Quả giúp thay đổi cách nhìn nhận về bản chất của rủi ro an ninh mạng. Thay vì coi rủi ro là những “tai nạn công nghệ” khó tránh khỏi, cách tiếp cận Nhân – Quả cho thấy mọi rủi ro đều có nguyên nhân cụ thể và chỉ phá</w:t>
      </w:r>
      <w:r>
        <w:rPr>
          <w:rFonts w:ascii="Times New Roman" w:hAnsi="Times New Roman" w:eastAsia="Times New Roman" w:cs="Times New Roman"/>
          <w:color w:val="1f1f1f"/>
          <w:sz w:val="26"/>
          <w:szCs w:val="26"/>
          <w:highlight w:val="none"/>
        </w:rPr>
        <w:t xml:space="preserve">t</w:t>
      </w:r>
      <w:r>
        <w:rPr>
          <w:rFonts w:ascii="Times New Roman" w:hAnsi="Times New Roman" w:eastAsia="Times New Roman" w:cs="Times New Roman"/>
          <w:color w:val="1f1f1f"/>
          <w:sz w:val="26"/>
          <w:szCs w:val="26"/>
          <w:highlight w:val="none"/>
        </w:rPr>
        <w:t xml:space="preserve"> sinh khi hội đủ các điều kiện nhất định. Cách nhìn này giúp chuyển trọng tâm từ tư duy phản ứng – xử lý sự cố sang tư duy phòng ngừa – kiểm soát nguyên nhân. Đây là sự chuyển biến quan trọng trong quản trị rủi ro, đặc biệt trong bối cảnh các hệ thống thôn</w:t>
      </w:r>
      <w:r>
        <w:rPr>
          <w:rFonts w:ascii="Times New Roman" w:hAnsi="Times New Roman" w:eastAsia="Times New Roman" w:cs="Times New Roman"/>
          <w:color w:val="1f1f1f"/>
          <w:sz w:val="26"/>
          <w:szCs w:val="26"/>
          <w:highlight w:val="none"/>
        </w:rPr>
        <w:t xml:space="preserve">g tin ngày càng phức tạp và phụ thuộc nhiều vào yếu tố con người.</w:t>
      </w:r>
      <w:r>
        <w:rPr>
          <w:rFonts w:ascii="Times New Roman" w:hAnsi="Times New Roman" w:eastAsia="Times New Roman" w:cs="Times New Roman"/>
          <w:color w:val="1f1f1f"/>
          <w:sz w:val="26"/>
          <w:szCs w:val="26"/>
          <w:highlight w:val="none"/>
        </w:rPr>
      </w:r>
      <w:r/>
    </w:p>
    <w:p w14:paraId="4F857AEA">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highlight w:val="none"/>
        </w:rPr>
        <w:t xml:space="preserve">T</w:t>
      </w:r>
      <w:r>
        <w:rPr>
          <w:rFonts w:ascii="Times New Roman" w:hAnsi="Times New Roman" w:eastAsia="Times New Roman" w:cs="Times New Roman"/>
          <w:color w:val="1f1f1f"/>
          <w:sz w:val="26"/>
          <w:szCs w:val="26"/>
          <w:highlight w:val="none"/>
        </w:rPr>
        <w:t xml:space="preserve">hứ hai, quan điểm Nhân – Quả của Phật giáo nhấn mạnh vai trò trung tâm của con người trong quá trình hình thành và kiểm soát rủi ro an ninh mạng. Con người vừa là chủ thể tạo ra “Nhân”, vừa là người chịu “Quả” từ chính hành vi của mình. Cách tiếp cận này g</w:t>
      </w:r>
      <w:r>
        <w:rPr>
          <w:rFonts w:ascii="Times New Roman" w:hAnsi="Times New Roman" w:eastAsia="Times New Roman" w:cs="Times New Roman"/>
          <w:color w:val="1f1f1f"/>
          <w:sz w:val="26"/>
          <w:szCs w:val="26"/>
          <w:highlight w:val="none"/>
        </w:rPr>
        <w:t xml:space="preserve">ó</w:t>
      </w:r>
      <w:r>
        <w:rPr>
          <w:rFonts w:ascii="Times New Roman" w:hAnsi="Times New Roman" w:eastAsia="Times New Roman" w:cs="Times New Roman"/>
          <w:color w:val="1f1f1f"/>
          <w:sz w:val="26"/>
          <w:szCs w:val="26"/>
          <w:highlight w:val="none"/>
        </w:rPr>
        <w:t xml:space="preserve">p phần nâng cao ý thức trách nhiệm cá nhân, giúp mỗi cán bộ, nhân viên nhận thức rõ rằng mọi hành vi thiếu cẩn trọng đều có thể dẫn đến những hệ quả tiêu cực cho tổ chức và xã hội. Từ đó, an toàn thông tin không còn được xem là nhiệm vụ của riêng bộ phận k</w:t>
      </w:r>
      <w:r>
        <w:rPr>
          <w:rFonts w:ascii="Times New Roman" w:hAnsi="Times New Roman" w:eastAsia="Times New Roman" w:cs="Times New Roman"/>
          <w:color w:val="1f1f1f"/>
          <w:sz w:val="26"/>
          <w:szCs w:val="26"/>
          <w:highlight w:val="none"/>
        </w:rPr>
        <w:t xml:space="preserve">ỹ thuật, mà trở thành trách nhiệm chung của toàn bộ tổ chức.</w:t>
      </w:r>
      <w:r>
        <w:rPr>
          <w:rFonts w:ascii="Times New Roman" w:hAnsi="Times New Roman" w:eastAsia="Times New Roman" w:cs="Times New Roman"/>
          <w:color w:val="1f1f1f"/>
          <w:sz w:val="26"/>
          <w:szCs w:val="26"/>
          <w:highlight w:val="none"/>
        </w:rPr>
      </w:r>
      <w:r/>
    </w:p>
    <w:p w14:paraId="122DDB18">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highlight w:val="none"/>
        </w:rPr>
        <w:t xml:space="preserve">T</w:t>
      </w:r>
      <w:r>
        <w:rPr>
          <w:rFonts w:ascii="Times New Roman" w:hAnsi="Times New Roman" w:eastAsia="Times New Roman" w:cs="Times New Roman"/>
          <w:color w:val="1f1f1f"/>
          <w:sz w:val="26"/>
          <w:szCs w:val="26"/>
          <w:highlight w:val="none"/>
        </w:rPr>
        <w:t xml:space="preserve">hứ ba, việc vận dụng quan điểm Nhân – Quả tạo cơ sở lý luận cho việc kết hợp hài hòa giữa yếu tố đạo đức và yếu tố quản trị trong công tác an ninh mạng. Trong khi các mô hình quản trị rủi ro hiện đại thường tập trung vào quy trình, công nghệ và kiểm soát, </w:t>
      </w:r>
      <w:r>
        <w:rPr>
          <w:rFonts w:ascii="Times New Roman" w:hAnsi="Times New Roman" w:eastAsia="Times New Roman" w:cs="Times New Roman"/>
          <w:color w:val="1f1f1f"/>
          <w:sz w:val="26"/>
          <w:szCs w:val="26"/>
          <w:highlight w:val="none"/>
        </w:rPr>
        <w:t xml:space="preserve">q</w:t>
      </w:r>
      <w:r>
        <w:rPr>
          <w:rFonts w:ascii="Times New Roman" w:hAnsi="Times New Roman" w:eastAsia="Times New Roman" w:cs="Times New Roman"/>
          <w:color w:val="1f1f1f"/>
          <w:sz w:val="26"/>
          <w:szCs w:val="26"/>
          <w:highlight w:val="none"/>
        </w:rPr>
        <w:t xml:space="preserve">uan điểm Nhân – Quả bổ sung chiều kích đạo đức và nhân sinh, nhấn mạnh đến động cơ, thái độ và nhận thức của con người. Sự kết hợp này giúp công tác quản trị rủi ro trở nên toàn diện hơn, tránh rơi vào tình trạng “kỹ thuật hóa” thuần túy mà bỏ qua yếu tố c</w:t>
      </w:r>
      <w:r>
        <w:rPr>
          <w:rFonts w:ascii="Times New Roman" w:hAnsi="Times New Roman" w:eastAsia="Times New Roman" w:cs="Times New Roman"/>
          <w:color w:val="1f1f1f"/>
          <w:sz w:val="26"/>
          <w:szCs w:val="26"/>
          <w:highlight w:val="none"/>
        </w:rPr>
        <w:t xml:space="preserve">on người.</w:t>
      </w:r>
      <w:r>
        <w:rPr>
          <w:rFonts w:ascii="Times New Roman" w:hAnsi="Times New Roman" w:eastAsia="Times New Roman" w:cs="Times New Roman"/>
          <w:color w:val="1f1f1f"/>
          <w:sz w:val="26"/>
          <w:szCs w:val="26"/>
          <w:highlight w:val="none"/>
        </w:rPr>
      </w:r>
      <w:r/>
    </w:p>
    <w:p w14:paraId="482DE639">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highlight w:val="none"/>
        </w:rPr>
        <w:t xml:space="preserve">T</w:t>
      </w:r>
      <w:r>
        <w:rPr>
          <w:rFonts w:ascii="Times New Roman" w:hAnsi="Times New Roman" w:eastAsia="Times New Roman" w:cs="Times New Roman"/>
          <w:color w:val="1f1f1f"/>
          <w:sz w:val="26"/>
          <w:szCs w:val="26"/>
          <w:highlight w:val="none"/>
        </w:rPr>
        <w:t xml:space="preserve">ừ góc độ tổ chức, việc vận dụng quan điểm Nhân – Quả còn góp phần xây dựng văn hóa an toàn thông tin bền vững. Khi các thành viên trong tổ chức nhận thức được mối liên hệ giữa hành vi cá nhân và hệ quả chung, họ sẽ chủ động tuân thủ quy trình, hỗ trợ lẫn n</w:t>
      </w:r>
      <w:r>
        <w:rPr>
          <w:rFonts w:ascii="Times New Roman" w:hAnsi="Times New Roman" w:eastAsia="Times New Roman" w:cs="Times New Roman"/>
          <w:color w:val="1f1f1f"/>
          <w:sz w:val="26"/>
          <w:szCs w:val="26"/>
          <w:highlight w:val="none"/>
        </w:rPr>
        <w:t xml:space="preserve">hau trong việc bảo vệ hệ thống và dữ liệu. Văn hóa này không thể hình thành trong thời gian ngắn, mà là kết quả của quá trình giáo dục, rèn luyện và thực hành lâu dài – đúng với tinh thần “gieo Nhân thiện” của Phật giáo.</w:t>
      </w:r>
      <w:r>
        <w:rPr>
          <w:rFonts w:ascii="Times New Roman" w:hAnsi="Times New Roman" w:eastAsia="Times New Roman" w:cs="Times New Roman"/>
          <w:color w:val="1f1f1f"/>
          <w:sz w:val="26"/>
          <w:szCs w:val="26"/>
          <w:highlight w:val="none"/>
        </w:rPr>
      </w:r>
      <w:r/>
    </w:p>
    <w:p w14:paraId="5F1D454A">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highlight w:val="none"/>
        </w:rPr>
        <w:t xml:space="preserve">B</w:t>
      </w:r>
      <w:r>
        <w:rPr>
          <w:rFonts w:ascii="Times New Roman" w:hAnsi="Times New Roman" w:eastAsia="Times New Roman" w:cs="Times New Roman"/>
          <w:color w:val="1f1f1f"/>
          <w:sz w:val="26"/>
          <w:szCs w:val="26"/>
          <w:highlight w:val="none"/>
        </w:rPr>
        <w:t xml:space="preserve">ên cạnh đó, quan điểm Nhân – Quả cũng giúp làm rõ giới hạn và điều kiện của việc vận dụng triết học Phật giáo trong quản trị rủi ro an ninh mạng. Việc vận dụng không nhằm thay thế các biện pháp kỹ thuật và khoa học hiện đại, mà nhằm bổ sung một góc nhìn nh</w:t>
      </w:r>
      <w:r>
        <w:rPr>
          <w:rFonts w:ascii="Times New Roman" w:hAnsi="Times New Roman" w:eastAsia="Times New Roman" w:cs="Times New Roman"/>
          <w:color w:val="1f1f1f"/>
          <w:sz w:val="26"/>
          <w:szCs w:val="26"/>
          <w:highlight w:val="none"/>
        </w:rPr>
        <w:t xml:space="preserve">â</w:t>
      </w:r>
      <w:r>
        <w:rPr>
          <w:rFonts w:ascii="Times New Roman" w:hAnsi="Times New Roman" w:eastAsia="Times New Roman" w:cs="Times New Roman"/>
          <w:color w:val="1f1f1f"/>
          <w:sz w:val="26"/>
          <w:szCs w:val="26"/>
          <w:highlight w:val="none"/>
        </w:rPr>
        <w:t xml:space="preserve">n sinh và đạo đức cho công tác quản trị. Nếu tách rời khỏi các giải pháp kỹ thuật, quan điểm Nhân – Quả có thể trở nên trừu tượng và khó áp dụng; ngược lại, khi được kết hợp với các phương pháp quản trị hiện đại, nó sẽ phát huy giá trị định hướng và phòng </w:t>
      </w:r>
      <w:r>
        <w:rPr>
          <w:rFonts w:ascii="Times New Roman" w:hAnsi="Times New Roman" w:eastAsia="Times New Roman" w:cs="Times New Roman"/>
          <w:color w:val="1f1f1f"/>
          <w:sz w:val="26"/>
          <w:szCs w:val="26"/>
          <w:highlight w:val="none"/>
        </w:rPr>
        <w:t xml:space="preserve">ngừa rủi ro từ gốc rễ.</w:t>
      </w:r>
      <w:r>
        <w:rPr>
          <w:rFonts w:ascii="Times New Roman" w:hAnsi="Times New Roman" w:eastAsia="Times New Roman" w:cs="Times New Roman"/>
          <w:color w:val="1f1f1f"/>
          <w:sz w:val="26"/>
          <w:szCs w:val="26"/>
          <w:highlight w:val="none"/>
        </w:rPr>
      </w:r>
      <w:r/>
    </w:p>
    <w:p w14:paraId="31A1A75E">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highlight w:val="none"/>
        </w:rPr>
        <w:t xml:space="preserve">T</w:t>
      </w:r>
      <w:r>
        <w:rPr>
          <w:rFonts w:ascii="Times New Roman" w:hAnsi="Times New Roman" w:eastAsia="Times New Roman" w:cs="Times New Roman"/>
          <w:color w:val="1f1f1f"/>
          <w:sz w:val="26"/>
          <w:szCs w:val="26"/>
          <w:highlight w:val="none"/>
        </w:rPr>
        <w:t xml:space="preserve">ừ thực tiễn tại VNPT-IT Chi nhánh tỉnh Đồng Tháp, có thể thấy rằng việc vận dụng quan điểm Nhân – Quả của Phật giáo góp phần nâng cao hiệu quả quản trị rủi ro an ninh mạng theo hướng bền vững. Cách tiếp cận này giúp đơn vị không chỉ tập trung vào việc khắc</w:t>
      </w:r>
      <w:r>
        <w:rPr>
          <w:rFonts w:ascii="Times New Roman" w:hAnsi="Times New Roman" w:eastAsia="Times New Roman" w:cs="Times New Roman"/>
          <w:color w:val="1f1f1f"/>
          <w:sz w:val="26"/>
          <w:szCs w:val="26"/>
          <w:highlight w:val="none"/>
        </w:rPr>
        <w:t xml:space="preserve"> phục sự cố khi đã xảy ra, mà còn chú trọng đến việc hình thành ý thức trách nhiệm, đạo đức nghề nghiệp và môi trường tổ chức lành mạnh. Đây chính là nền tảng quan trọng để bảo đảm an toàn thông tin trong bối cảnh chuyển đổi số ngày càng sâu rộng.</w:t>
      </w:r>
      <w:r>
        <w:rPr>
          <w:rFonts w:ascii="Times New Roman" w:hAnsi="Times New Roman" w:eastAsia="Times New Roman" w:cs="Times New Roman"/>
          <w:color w:val="1f1f1f"/>
          <w:sz w:val="26"/>
          <w:szCs w:val="26"/>
          <w:highlight w:val="none"/>
        </w:rPr>
      </w:r>
      <w:r/>
    </w:p>
    <w:p w14:paraId="63FA0E1B">
      <w:pPr>
        <w:suppressLineNumbers w:val="false"/>
        <w:pBdr/>
        <w:spacing w:after="119" w:before="120" w:line="360" w:lineRule="auto"/>
        <w:ind w:right="0" w:firstLine="720" w:left="0"/>
        <w:rPr>
          <w:rFonts w:ascii="Times New Roman" w:hAnsi="Times New Roman" w:eastAsia="Times New Roman" w:cs="Times New Roman"/>
          <w:color w:val="1f1f1f"/>
          <w:sz w:val="26"/>
          <w:szCs w:val="26"/>
          <w:highlight w:val="none"/>
        </w:rPr>
      </w:pPr>
      <w:r>
        <w:rPr>
          <w:rFonts w:ascii="Times New Roman" w:hAnsi="Times New Roman" w:eastAsia="Times New Roman" w:cs="Times New Roman"/>
          <w:color w:val="1f1f1f"/>
          <w:sz w:val="26"/>
          <w:szCs w:val="26"/>
          <w:highlight w:val="none"/>
        </w:rPr>
        <w:t xml:space="preserve">N</w:t>
      </w:r>
      <w:r>
        <w:rPr>
          <w:rFonts w:ascii="Times New Roman" w:hAnsi="Times New Roman" w:eastAsia="Times New Roman" w:cs="Times New Roman"/>
          <w:color w:val="1f1f1f"/>
          <w:sz w:val="26"/>
          <w:szCs w:val="26"/>
          <w:highlight w:val="none"/>
        </w:rPr>
        <w:t xml:space="preserve">hư vậy, ý nghĩa của việc vận dụng quan điểm Nhân – Quả của Phật giáo trong quản trị rủi ro an ninh mạng không chỉ dừng lại ở phạm vi một đơn vị cụ thể, mà còn gợi mở hướng tiếp cận mới cho việc giải quyết các vấn đề phức tạp của xã hội hiện đại. Bằng việc </w:t>
      </w:r>
      <w:r>
        <w:rPr>
          <w:rFonts w:ascii="Times New Roman" w:hAnsi="Times New Roman" w:eastAsia="Times New Roman" w:cs="Times New Roman"/>
          <w:color w:val="1f1f1f"/>
          <w:sz w:val="26"/>
          <w:szCs w:val="26"/>
          <w:highlight w:val="none"/>
        </w:rPr>
        <w:t xml:space="preserve">kết hợp giữa triết học phương Đông và các phương pháp quản trị hiện đại, con người có thể xây dựng những giải pháp mang tính nhân văn, khoa học và bền vững hơn trong việc đối mặt với các thách thức của thời đại số.</w:t>
      </w:r>
      <w:r>
        <w:rPr>
          <w:rFonts w:ascii="Times New Roman" w:hAnsi="Times New Roman" w:eastAsia="Times New Roman" w:cs="Times New Roman"/>
          <w:color w:val="1f1f1f"/>
          <w:sz w:val="26"/>
          <w:szCs w:val="26"/>
        </w:rPr>
      </w:r>
      <w:r>
        <w:rPr>
          <w:rFonts w:ascii="Times New Roman" w:hAnsi="Times New Roman" w:eastAsia="Times New Roman" w:cs="Times New Roman"/>
          <w:color w:val="1f1f1f"/>
          <w:sz w:val="26"/>
          <w:szCs w:val="26"/>
          <w:highlight w:val="none"/>
        </w:rPr>
      </w:r>
    </w:p>
    <w:p w14:paraId="6837EAC6">
      <w:pPr>
        <w:suppressLineNumbers w:val="false"/>
        <w:pBdr/>
        <w:spacing w:after="119" w:before="120" w:line="360" w:lineRule="auto"/>
        <w:ind w:right="0" w:firstLine="720" w:left="0"/>
        <w:rPr>
          <w:rFonts w:ascii="Times New Roman" w:hAnsi="Times New Roman" w:eastAsia="Times New Roman" w:cs="Times New Roman"/>
          <w:color w:val="1f1f1f"/>
          <w:sz w:val="26"/>
          <w:szCs w:val="26"/>
        </w:rPr>
      </w:pP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highlight w:val="none"/>
        </w:rPr>
      </w:r>
      <w:r>
        <w:rPr>
          <w:rFonts w:ascii="Times New Roman" w:hAnsi="Times New Roman" w:eastAsia="Times New Roman" w:cs="Times New Roman"/>
          <w:color w:val="1f1f1f"/>
          <w:sz w:val="26"/>
          <w:szCs w:val="26"/>
        </w:rPr>
      </w:r>
    </w:p>
    <w:p w14:paraId="082DD775">
      <w:pPr>
        <w:suppressLineNumbers w:val="false"/>
        <w:pBdr/>
        <w:shd w:val="nil" w:color="auto"/>
        <w:spacing w:after="119" w:before="120"/>
        <w:ind w:right="0" w:firstLine="720" w:left="0"/>
        <w:rPr>
          <w:rFonts w:eastAsia="Times New Roman" w:cs="Times New Roman"/>
          <w:highlight w:val="none"/>
        </w:rPr>
        <w:sectPr>
          <w:headerReference w:type="default" r:id="rId14"/>
          <w:headerReference w:type="even" r:id="rId15"/>
          <w:headerReference w:type="first" r:id="rId16"/>
          <w:footerReference w:type="first" r:id="rId23"/>
          <w:footnotePr/>
          <w:endnotePr/>
          <w:type w:val="nextPage"/>
          <w:pgSz w:h="16838" w:orient="portrait" w:w="11906"/>
          <w:pgMar w:top="1138" w:right="1138" w:bottom="1138" w:left="1699" w:header="709" w:footer="709" w:gutter="0"/>
          <w:pgNumType w:start="1"/>
          <w:cols w:num="1" w:sep="0" w:space="1701" w:equalWidth="1"/>
          <w:titlePg/>
        </w:sectPr>
      </w:pPr>
      <w:r>
        <w:rPr>
          <w:rFonts w:eastAsia="Times New Roman" w:cs="Times New Roman"/>
          <w:szCs w:val="26"/>
          <w:highlight w:val="none"/>
        </w:rPr>
      </w:r>
      <w:r>
        <w:rPr>
          <w:rFonts w:eastAsia="Times New Roman" w:cs="Times New Roman"/>
          <w:szCs w:val="26"/>
          <w:highlight w:val="none"/>
        </w:rPr>
      </w:r>
      <w:bookmarkStart w:id="7" w:name="_wcabiy5uwixx"/>
      <w:r>
        <w:rPr>
          <w:rFonts w:eastAsia="Times New Roman" w:cs="Times New Roman"/>
          <w:szCs w:val="26"/>
          <w:highlight w:val="none"/>
        </w:rPr>
      </w:r>
      <w:bookmarkEnd w:id="7"/>
      <w:r>
        <w:rPr>
          <w:rFonts w:eastAsia="Times New Roman" w:cs="Times New Roman"/>
        </w:rPr>
      </w:r>
      <w:r>
        <w:rPr>
          <w:rFonts w:eastAsia="Times New Roman" w:cs="Times New Roman"/>
          <w:highlight w:val="none"/>
        </w:rPr>
      </w:r>
    </w:p>
    <w:p>
      <w:pPr>
        <w:pStyle w:val="1038"/>
        <w:numPr>
          <w:ilvl w:val="0"/>
          <w:numId w:val="0"/>
        </w:numPr>
        <w:suppressLineNumbers w:val="false"/>
        <w:pBdr/>
        <w:spacing w:after="119" w:before="120"/>
        <w:ind w:right="0" w:firstLine="720" w:left="0"/>
        <w:rPr>
          <w:rFonts w:eastAsia="Times New Roman" w:cs="Times New Roman"/>
          <w:highlight w:val="none"/>
        </w:rPr>
      </w:pPr>
      <w:r/>
      <w:bookmarkStart w:id="19" w:name="_Toc11"/>
      <w:r>
        <w:rPr>
          <w:rFonts w:eastAsia="Times New Roman" w:cs="Times New Roman"/>
          <w:szCs w:val="26"/>
        </w:rPr>
        <w:t xml:space="preserve">KẾT LUẬN</w:t>
      </w:r>
      <w:bookmarkEnd w:id="19"/>
      <w:r>
        <w:rPr>
          <w:rFonts w:eastAsia="Times New Roman" w:cs="Times New Roman"/>
          <w:szCs w:val="26"/>
        </w:rPr>
      </w:r>
      <w:r>
        <w:rPr>
          <w:rFonts w:eastAsia="Times New Roman" w:cs="Times New Roman"/>
          <w:highlight w:val="none"/>
        </w:rPr>
      </w:r>
    </w:p>
    <w:p w14:paraId="66E90B8F">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rPr>
        <w:t xml:space="preserve">T</w:t>
      </w:r>
      <w:r>
        <w:rPr>
          <w:rFonts w:ascii="Times New Roman" w:hAnsi="Times New Roman" w:eastAsia="Times New Roman" w:cs="Times New Roman"/>
          <w:color w:val="1f1f1f"/>
          <w:sz w:val="26"/>
          <w:szCs w:val="26"/>
        </w:rPr>
        <w:t xml:space="preserve">rên cơ sở hệ thống hóa những vấn đề lý luận và phân tích thực tiễn, tiểu luận đã làm rõ quan điểm Nhân – Quả của Phật giáo như một học thuyết triết học mang giá trị nhân sinh sâu sắc, đồng thời có khả năng vận dụng vào việc giải quyết các vấn đề xã hội hiệ</w:t>
      </w:r>
      <w:r>
        <w:rPr>
          <w:rFonts w:ascii="Times New Roman" w:hAnsi="Times New Roman" w:eastAsia="Times New Roman" w:cs="Times New Roman"/>
          <w:color w:val="1f1f1f"/>
          <w:sz w:val="26"/>
          <w:szCs w:val="26"/>
        </w:rPr>
        <w:t xml:space="preserve">n đại. Quan điểm này khẳng định rằng mọi sự vật, hiện tượng đều không xuất hiện một cách ngẫu nhiên, mà là kết quả của mối quan hệ Nhân – Duyên – Quả trong một chỉnh thể vận động và biến đổi không ngừng (Rahula, 1974; Harvey, 2013).</w:t>
      </w:r>
      <w:r>
        <w:rPr>
          <w:rFonts w:ascii="Times New Roman" w:hAnsi="Times New Roman" w:eastAsia="Times New Roman" w:cs="Times New Roman"/>
          <w:color w:val="1f1f1f"/>
          <w:sz w:val="26"/>
          <w:szCs w:val="26"/>
        </w:rPr>
      </w:r>
      <w:r/>
    </w:p>
    <w:p w14:paraId="25CB1FD4">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rPr>
        <w:t xml:space="preserve">T</w:t>
      </w:r>
      <w:r>
        <w:rPr>
          <w:rFonts w:ascii="Times New Roman" w:hAnsi="Times New Roman" w:eastAsia="Times New Roman" w:cs="Times New Roman"/>
          <w:color w:val="1f1f1f"/>
          <w:sz w:val="26"/>
          <w:szCs w:val="26"/>
        </w:rPr>
        <w:t xml:space="preserve">hông qua việc phân tích điều kiện, tiền đề và nội dung cơ bản của quan điểm Nhân – Quả, tiểu luận cho thấy Phật giáo không tiếp cận khổ đau và hạnh phúc của con người từ góc độ định mệnh hay ý chí thần linh, mà từ chính hành vi, nhận thức và trách nhiệm củ</w:t>
      </w:r>
      <w:r>
        <w:rPr>
          <w:rFonts w:ascii="Times New Roman" w:hAnsi="Times New Roman" w:eastAsia="Times New Roman" w:cs="Times New Roman"/>
          <w:color w:val="1f1f1f"/>
          <w:sz w:val="26"/>
          <w:szCs w:val="26"/>
        </w:rPr>
        <w:t xml:space="preserve">a con người. Cách tiếp cận này thể hiện rõ tinh thần nhân văn của triết học Phật giáo, đề cao vai trò chủ thể của con người trong việc kiến tạo đời sống cá nhân và xã hội (Kalupahana, 1975; Keown, 2005).</w:t>
      </w:r>
      <w:r>
        <w:rPr>
          <w:rFonts w:ascii="Times New Roman" w:hAnsi="Times New Roman" w:eastAsia="Times New Roman" w:cs="Times New Roman"/>
          <w:color w:val="1f1f1f"/>
          <w:sz w:val="26"/>
          <w:szCs w:val="26"/>
        </w:rPr>
      </w:r>
      <w:r/>
    </w:p>
    <w:p w14:paraId="2163649A">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rPr>
        <w:t xml:space="preserve">V</w:t>
      </w:r>
      <w:r>
        <w:rPr>
          <w:rFonts w:ascii="Times New Roman" w:hAnsi="Times New Roman" w:eastAsia="Times New Roman" w:cs="Times New Roman"/>
          <w:color w:val="1f1f1f"/>
          <w:sz w:val="26"/>
          <w:szCs w:val="26"/>
        </w:rPr>
        <w:t xml:space="preserve">ận dụng quan điểm Nhân – Quả vào phân tích thực trạng rủi ro an ninh mạng tại VNPT-IT Chi nhánh tỉnh Đồng Tháp cho thấy, các sự cố và nguy cơ an ninh mạng không đơn thuần là vấn đề kỹ thuật, mà là kết quả tổng hợp của nhiều yếu tố, trong đó yếu tố con ngườ</w:t>
      </w:r>
      <w:r>
        <w:rPr>
          <w:rFonts w:ascii="Times New Roman" w:hAnsi="Times New Roman" w:eastAsia="Times New Roman" w:cs="Times New Roman"/>
          <w:color w:val="1f1f1f"/>
          <w:sz w:val="26"/>
          <w:szCs w:val="26"/>
        </w:rPr>
        <w:t xml:space="preserve">i</w:t>
      </w:r>
      <w:r>
        <w:rPr>
          <w:rFonts w:ascii="Times New Roman" w:hAnsi="Times New Roman" w:eastAsia="Times New Roman" w:cs="Times New Roman"/>
          <w:color w:val="1f1f1f"/>
          <w:sz w:val="26"/>
          <w:szCs w:val="26"/>
        </w:rPr>
        <w:t xml:space="preserve"> giữ vai trò then chốt. Những biểu hiện như sự lơ là trong tuân thủ quy trình, hạn chế về nhận thức an toàn thông tin hay thiếu trách nhiệm nghề nghiệp có thể được xem là những “Nhân” dẫn đến các “Quả” tiêu cực về kinh tế, uy tín và niềm tin xã hội, khi gặ</w:t>
      </w:r>
      <w:r>
        <w:rPr>
          <w:rFonts w:ascii="Times New Roman" w:hAnsi="Times New Roman" w:eastAsia="Times New Roman" w:cs="Times New Roman"/>
          <w:color w:val="1f1f1f"/>
          <w:sz w:val="26"/>
          <w:szCs w:val="26"/>
        </w:rPr>
        <w:t xml:space="preserve">p các “Duyên” thuận lợi từ hệ thống và môi trường quản lý (VNPT, 2023; VNPT-IT, 2023).</w:t>
      </w:r>
      <w:r>
        <w:rPr>
          <w:rFonts w:ascii="Times New Roman" w:hAnsi="Times New Roman" w:eastAsia="Times New Roman" w:cs="Times New Roman"/>
          <w:color w:val="1f1f1f"/>
          <w:sz w:val="26"/>
          <w:szCs w:val="26"/>
        </w:rPr>
      </w:r>
      <w:r/>
    </w:p>
    <w:p w14:paraId="2A3A19FF">
      <w:pPr>
        <w:suppressLineNumbers w:val="false"/>
        <w:pBdr/>
        <w:spacing w:after="119" w:before="120" w:line="360" w:lineRule="auto"/>
        <w:ind w:right="0" w:firstLine="720" w:left="0"/>
        <w:rPr/>
      </w:pPr>
      <w:r>
        <w:rPr>
          <w:rFonts w:ascii="Times New Roman" w:hAnsi="Times New Roman" w:eastAsia="Times New Roman" w:cs="Times New Roman"/>
          <w:color w:val="1f1f1f"/>
          <w:sz w:val="26"/>
          <w:szCs w:val="26"/>
        </w:rPr>
        <w:t xml:space="preserve">T</w:t>
      </w:r>
      <w:r>
        <w:rPr>
          <w:rFonts w:ascii="Times New Roman" w:hAnsi="Times New Roman" w:eastAsia="Times New Roman" w:cs="Times New Roman"/>
          <w:color w:val="1f1f1f"/>
          <w:sz w:val="26"/>
          <w:szCs w:val="26"/>
        </w:rPr>
        <w:t xml:space="preserve">ừ cách tiếp cận đó, tiểu luận đã đề xuất một số giải pháp nhằm hạn chế rủi ro an ninh mạng trên cơ sở vận dụng tinh thần Nhân – Quả của Phật giáo, đặc biệt thông qua việc “gieo Nhân thiện” trong giáo dục ý thức và đạo đức nghề nghiệp cho cán bộ, nhân viên,</w:t>
      </w:r>
      <w:r>
        <w:rPr>
          <w:rFonts w:ascii="Times New Roman" w:hAnsi="Times New Roman" w:eastAsia="Times New Roman" w:cs="Times New Roman"/>
          <w:color w:val="1f1f1f"/>
          <w:sz w:val="26"/>
          <w:szCs w:val="26"/>
        </w:rPr>
        <w:t xml:space="preserve"> </w:t>
      </w:r>
      <w:r>
        <w:rPr>
          <w:rFonts w:ascii="Times New Roman" w:hAnsi="Times New Roman" w:eastAsia="Times New Roman" w:cs="Times New Roman"/>
          <w:color w:val="1f1f1f"/>
          <w:sz w:val="26"/>
          <w:szCs w:val="26"/>
        </w:rPr>
        <w:t xml:space="preserve">đồng thời “cắt đứt Duyên xấu” bằng việc hoàn thiện hệ thống kỹ thuật và cơ chế quản lý. Việc vận dụng các nội dung của Bát Chính Đạo như Chính kiến, Chính nghiệp vào quản trị tổ chức cho thấy giá trị thực tiễn của triết học Phật giáo trong đời sống hiện đạ</w:t>
      </w:r>
      <w:r>
        <w:rPr>
          <w:rFonts w:ascii="Times New Roman" w:hAnsi="Times New Roman" w:eastAsia="Times New Roman" w:cs="Times New Roman"/>
          <w:color w:val="1f1f1f"/>
          <w:sz w:val="26"/>
          <w:szCs w:val="26"/>
        </w:rPr>
        <w:t xml:space="preserve">i (Bodhi, 1994; Dalai Lama, 1999).</w:t>
      </w:r>
      <w:r>
        <w:rPr>
          <w:rFonts w:ascii="Times New Roman" w:hAnsi="Times New Roman" w:eastAsia="Times New Roman" w:cs="Times New Roman"/>
          <w:color w:val="1f1f1f"/>
          <w:sz w:val="26"/>
          <w:szCs w:val="26"/>
        </w:rPr>
      </w:r>
      <w:r/>
    </w:p>
    <w:p>
      <w:pPr>
        <w:suppressLineNumbers w:val="false"/>
        <w:pBdr/>
        <w:spacing w:after="119" w:before="120" w:line="360" w:lineRule="auto"/>
        <w:ind w:right="0" w:firstLine="720" w:left="0"/>
        <w:rPr>
          <w:rFonts w:ascii="Times New Roman" w:hAnsi="Times New Roman" w:eastAsia="Times New Roman" w:cs="Times New Roman"/>
          <w:color w:val="1f1f1f"/>
          <w:sz w:val="26"/>
          <w:szCs w:val="26"/>
        </w:rPr>
      </w:pPr>
      <w:r>
        <w:rPr>
          <w:rFonts w:ascii="Times New Roman" w:hAnsi="Times New Roman" w:eastAsia="Times New Roman" w:cs="Times New Roman"/>
          <w:color w:val="1f1f1f"/>
          <w:sz w:val="26"/>
          <w:szCs w:val="26"/>
        </w:rPr>
        <w:t xml:space="preserve">T</w:t>
      </w:r>
      <w:r>
        <w:rPr>
          <w:rFonts w:ascii="Times New Roman" w:hAnsi="Times New Roman" w:eastAsia="Times New Roman" w:cs="Times New Roman"/>
          <w:color w:val="1f1f1f"/>
          <w:sz w:val="26"/>
          <w:szCs w:val="26"/>
        </w:rPr>
        <w:t xml:space="preserve">ừ góc độ cá nhân, việc nghiên cứu và vận dụng quan điểm Nhân – Quả của Phật giáo giúp người viết nâng cao nhận thức về trách nhiệm của bản thân trong học tập, công tác và đời sống xã hội. Trong bối cảnh chuyển đổi số hiện nay, mỗi cá nhân làm việc trong lĩ</w:t>
      </w:r>
      <w:r>
        <w:rPr>
          <w:rFonts w:ascii="Times New Roman" w:hAnsi="Times New Roman" w:eastAsia="Times New Roman" w:cs="Times New Roman"/>
          <w:color w:val="1f1f1f"/>
          <w:sz w:val="26"/>
          <w:szCs w:val="26"/>
        </w:rPr>
        <w:t xml:space="preserve">n</w:t>
      </w:r>
      <w:r>
        <w:rPr>
          <w:rFonts w:ascii="Times New Roman" w:hAnsi="Times New Roman" w:eastAsia="Times New Roman" w:cs="Times New Roman"/>
          <w:color w:val="1f1f1f"/>
          <w:sz w:val="26"/>
          <w:szCs w:val="26"/>
        </w:rPr>
        <w:t xml:space="preserve">h vực công nghệ thông tin cần ý thức rõ rằng mọi hành vi, dù nhỏ, đều có thể tạo ra những hệ quả lâu dài đối với tổ chức và cộng đồng. Do đó, việc chủ động rèn luyện đạo đức nghề nghiệp, nâng cao ý thức bảo mật thông tin chính là cách thiết thực để “gieo N</w:t>
      </w:r>
      <w:r>
        <w:rPr>
          <w:rFonts w:ascii="Times New Roman" w:hAnsi="Times New Roman" w:eastAsia="Times New Roman" w:cs="Times New Roman"/>
          <w:color w:val="1f1f1f"/>
          <w:sz w:val="26"/>
          <w:szCs w:val="26"/>
        </w:rPr>
        <w:t xml:space="preserve">hân thiện”, góp phần xây dựng môi trường làm việc an toàn, lành mạnh và phát triển bền vững (Loy, 2003).</w:t>
      </w:r>
      <w:r>
        <w:rPr>
          <w:rFonts w:ascii="Times New Roman" w:hAnsi="Times New Roman" w:eastAsia="Times New Roman" w:cs="Times New Roman"/>
          <w:color w:val="1f1f1f"/>
          <w:sz w:val="26"/>
          <w:szCs w:val="26"/>
        </w:rPr>
      </w:r>
      <w:r>
        <w:rPr>
          <w:rFonts w:ascii="Times New Roman" w:hAnsi="Times New Roman" w:eastAsia="Times New Roman" w:cs="Times New Roman"/>
          <w:color w:val="1f1f1f"/>
          <w:sz w:val="26"/>
          <w:szCs w:val="26"/>
        </w:rPr>
      </w:r>
    </w:p>
    <w:p w14:paraId="27EAC067">
      <w:pPr>
        <w:pBdr/>
        <w:shd w:val="nil" w:color="auto"/>
        <w:spacing/>
        <w:ind/>
        <w:rPr>
          <w:rFonts w:eastAsia="Times New Roman" w:cs="Times New Roman"/>
        </w:rPr>
      </w:pPr>
      <w:r>
        <w:rPr>
          <w:rFonts w:eastAsia="Times New Roman" w:cs="Times New Roman"/>
          <w:szCs w:val="26"/>
          <w:highlight w:val="none"/>
        </w:rPr>
        <w:br w:type="page" w:clear="all"/>
      </w:r>
      <w:r>
        <w:rPr>
          <w:rFonts w:eastAsia="Times New Roman" w:cs="Times New Roman"/>
          <w:szCs w:val="26"/>
          <w:highlight w:val="none"/>
        </w:rPr>
      </w:r>
      <w:r>
        <w:rPr>
          <w:rFonts w:eastAsia="Times New Roman" w:cs="Times New Roman"/>
        </w:rPr>
      </w:r>
    </w:p>
    <w:p>
      <w:pPr>
        <w:pStyle w:val="1038"/>
        <w:numPr>
          <w:ilvl w:val="0"/>
          <w:numId w:val="0"/>
        </w:numPr>
        <w:pBdr/>
        <w:spacing w:after="120" w:before="240" w:line="360" w:lineRule="auto"/>
        <w:ind w:firstLine="0" w:left="0"/>
        <w:rPr>
          <w:rFonts w:eastAsia="Times New Roman" w:cs="Times New Roman"/>
          <w:highlight w:val="none"/>
        </w:rPr>
      </w:pPr>
      <w:r/>
      <w:bookmarkStart w:id="20" w:name="_Toc12"/>
      <w:r/>
      <w:bookmarkStart w:id="8" w:name="_cibucxs7jm1x"/>
      <w:r/>
      <w:bookmarkEnd w:id="8"/>
      <w:r>
        <w:rPr>
          <w:rFonts w:eastAsia="Times New Roman" w:cs="Times New Roman"/>
          <w:szCs w:val="26"/>
        </w:rPr>
        <w:t xml:space="preserve">TÀI LIỆU THAM KHẢO</w:t>
      </w:r>
      <w:bookmarkEnd w:id="20"/>
      <w:r>
        <w:rPr>
          <w:rFonts w:eastAsia="Times New Roman" w:cs="Times New Roman"/>
          <w:szCs w:val="26"/>
        </w:rPr>
      </w:r>
      <w:r>
        <w:rPr>
          <w:rFonts w:eastAsia="Times New Roman" w:cs="Times New Roman"/>
          <w:highlight w:val="none"/>
        </w:rPr>
      </w:r>
    </w:p>
    <w:p w14:paraId="4E12B3CD">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Bộ Chính trị (2019), </w:t>
      </w:r>
      <w:r>
        <w:rPr>
          <w:rFonts w:ascii="Times New Roman" w:hAnsi="Times New Roman" w:eastAsia="Times New Roman" w:cs="Times New Roman"/>
          <w:i/>
          <w:color w:val="1f1f1f"/>
          <w:sz w:val="26"/>
          <w:szCs w:val="26"/>
          <w:u w:val="none"/>
        </w:rPr>
        <w:t xml:space="preserve">Nghị quyết số 52-NQ/TW về một số chủ trương, chính sách chủ động tham gia cuộc Cách mạng công nghiệp lần thứ tư</w:t>
      </w:r>
      <w:r>
        <w:rPr>
          <w:rFonts w:ascii="Times New Roman" w:hAnsi="Times New Roman" w:eastAsia="Times New Roman" w:cs="Times New Roman"/>
          <w:color w:val="1f1f1f"/>
          <w:sz w:val="26"/>
          <w:szCs w:val="26"/>
          <w:u w:val="none"/>
        </w:rPr>
        <w:t xml:space="preserve">, Hà Nội, Truy cập ngày 17/12/2025 tại </w:t>
      </w:r>
      <w:r>
        <w:rPr>
          <w:rFonts w:ascii="Times New Roman" w:hAnsi="Times New Roman" w:eastAsia="Times New Roman" w:cs="Times New Roman"/>
          <w:color w:val="1f1f1f"/>
          <w:sz w:val="26"/>
          <w:szCs w:val="26"/>
          <w:u w:val="none"/>
        </w:rPr>
        <w:t xml:space="preserve">https://thuvienphapluat.vn/van-ban/Dau-tu/Nghi-quyet-52-NQ-TW-2019-chinh-sach-chu-dong-tham-gia-cuoc-Cach-mang-cong-nghiep-lan-thu-tu-425113.aspx</w:t>
      </w:r>
      <w:r>
        <w:rPr>
          <w:rFonts w:ascii="Times New Roman" w:hAnsi="Times New Roman" w:eastAsia="Times New Roman" w:cs="Times New Roman"/>
          <w:color w:val="1f1f1f"/>
          <w:sz w:val="26"/>
          <w:szCs w:val="26"/>
          <w:u w:val="none"/>
        </w:rPr>
      </w:r>
      <w:r>
        <w:rPr>
          <w:rFonts w:ascii="Times New Roman" w:hAnsi="Times New Roman" w:eastAsia="Times New Roman" w:cs="Times New Roman"/>
          <w:sz w:val="26"/>
          <w:szCs w:val="26"/>
        </w:rPr>
      </w:r>
    </w:p>
    <w:p w14:paraId="23155E55">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Bộ Giáo dục và Đào tạo (2022), </w:t>
      </w:r>
      <w:r>
        <w:rPr>
          <w:rFonts w:ascii="Times New Roman" w:hAnsi="Times New Roman" w:eastAsia="Times New Roman" w:cs="Times New Roman"/>
          <w:i/>
          <w:color w:val="1f1f1f"/>
          <w:sz w:val="26"/>
          <w:szCs w:val="26"/>
          <w:u w:val="none"/>
        </w:rPr>
        <w:t xml:space="preserve">Giáo trình Triết học (</w:t>
      </w:r>
      <w:r>
        <w:rPr>
          <w:rFonts w:ascii="Times New Roman" w:hAnsi="Times New Roman" w:eastAsia="Times New Roman" w:cs="Times New Roman"/>
          <w:i/>
          <w:color w:val="1f1f1f"/>
          <w:sz w:val="26"/>
          <w:szCs w:val="26"/>
          <w:u w:val="none"/>
        </w:rPr>
        <w:t xml:space="preserve">Dùng cho khối không chuyên ngành Triết học trình độ đào tạo Thạc sĩ, Tiến sĩ các ngành khoa học tự nhiên, công nghệ</w:t>
      </w:r>
      <w:r>
        <w:rPr>
          <w:rFonts w:ascii="Times New Roman" w:hAnsi="Times New Roman" w:eastAsia="Times New Roman" w:cs="Times New Roman"/>
          <w:i/>
          <w:color w:val="1f1f1f"/>
          <w:sz w:val="26"/>
          <w:szCs w:val="26"/>
          <w:u w:val="none"/>
        </w:rPr>
        <w:t xml:space="preserve">)</w:t>
      </w:r>
      <w:r>
        <w:rPr>
          <w:rFonts w:ascii="Times New Roman" w:hAnsi="Times New Roman" w:eastAsia="Times New Roman" w:cs="Times New Roman"/>
          <w:color w:val="1f1f1f"/>
          <w:sz w:val="26"/>
          <w:szCs w:val="26"/>
          <w:u w:val="none"/>
        </w:rPr>
        <w:t xml:space="preserve">, Nxb. Đại học Sư phạm, Hà Nội</w:t>
      </w:r>
      <w:r>
        <w:rPr>
          <w:rFonts w:ascii="Times New Roman" w:hAnsi="Times New Roman" w:eastAsia="Times New Roman" w:cs="Times New Roman"/>
          <w:color w:val="1f1f1f"/>
          <w:sz w:val="26"/>
          <w:szCs w:val="26"/>
          <w:u w:val="none"/>
        </w:rPr>
        <w:t xml:space="preserve">, Truy cập ngày </w:t>
      </w:r>
      <w:r>
        <w:rPr>
          <w:rFonts w:ascii="Times New Roman" w:hAnsi="Times New Roman" w:eastAsia="Times New Roman" w:cs="Times New Roman"/>
          <w:color w:val="1f1f1f"/>
          <w:sz w:val="26"/>
          <w:szCs w:val="26"/>
          <w:u w:val="none"/>
        </w:rPr>
        <w:t xml:space="preserve">17/12/2025 tại https://sachquocgia.vn/ebook/12100/1/228</w:t>
      </w:r>
      <w:r>
        <w:rPr>
          <w:rFonts w:ascii="Times New Roman" w:hAnsi="Times New Roman" w:eastAsia="Times New Roman" w:cs="Times New Roman"/>
          <w:sz w:val="26"/>
          <w:szCs w:val="26"/>
        </w:rPr>
      </w:r>
    </w:p>
    <w:p w14:paraId="6FB67E16">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Bộ Giáo dục và Đào tạo (2021), </w:t>
      </w:r>
      <w:r>
        <w:rPr>
          <w:rFonts w:ascii="Times New Roman" w:hAnsi="Times New Roman" w:eastAsia="Times New Roman" w:cs="Times New Roman"/>
          <w:i/>
          <w:color w:val="1f1f1f"/>
          <w:sz w:val="26"/>
          <w:szCs w:val="26"/>
          <w:u w:val="none"/>
        </w:rPr>
        <w:t xml:space="preserve">Giáo trình Triết học Mác – Lênin (</w:t>
      </w:r>
      <w:r>
        <w:rPr>
          <w:rFonts w:ascii="Times New Roman" w:hAnsi="Times New Roman" w:eastAsia="Times New Roman" w:cs="Times New Roman"/>
          <w:i/>
          <w:color w:val="1f1f1f"/>
          <w:sz w:val="26"/>
          <w:szCs w:val="26"/>
          <w:u w:val="none"/>
        </w:rPr>
        <w:t xml:space="preserve">Dành cho bậc đại học hệ không chuyên lý luận chính trị</w:t>
      </w:r>
      <w:r>
        <w:rPr>
          <w:rFonts w:ascii="Times New Roman" w:hAnsi="Times New Roman" w:eastAsia="Times New Roman" w:cs="Times New Roman"/>
          <w:i/>
          <w:color w:val="1f1f1f"/>
          <w:sz w:val="26"/>
          <w:szCs w:val="26"/>
          <w:u w:val="none"/>
        </w:rPr>
        <w:t xml:space="preserve">)</w:t>
      </w:r>
      <w:r>
        <w:rPr>
          <w:rFonts w:ascii="Times New Roman" w:hAnsi="Times New Roman" w:eastAsia="Times New Roman" w:cs="Times New Roman"/>
          <w:color w:val="1f1f1f"/>
          <w:sz w:val="26"/>
          <w:szCs w:val="26"/>
          <w:u w:val="none"/>
        </w:rPr>
        <w:t xml:space="preserve">, Nxb. Chính trị Quốc gia Sự thật, Hà Nội</w:t>
      </w:r>
      <w:r>
        <w:rPr>
          <w:rFonts w:ascii="Times New Roman" w:hAnsi="Times New Roman" w:eastAsia="Times New Roman" w:cs="Times New Roman"/>
          <w:color w:val="1f1f1f"/>
          <w:sz w:val="26"/>
          <w:szCs w:val="26"/>
          <w:u w:val="none"/>
        </w:rPr>
        <w:t xml:space="preserve">, Truy cập ngày </w:t>
      </w:r>
      <w:r>
        <w:rPr>
          <w:rFonts w:ascii="Times New Roman" w:hAnsi="Times New Roman" w:eastAsia="Times New Roman" w:cs="Times New Roman"/>
          <w:color w:val="1f1f1f"/>
          <w:sz w:val="26"/>
          <w:szCs w:val="26"/>
          <w:u w:val="none"/>
        </w:rPr>
        <w:t xml:space="preserve">17/12/2025 tại </w:t>
      </w:r>
      <w:r>
        <w:rPr>
          <w:rFonts w:ascii="Times New Roman" w:hAnsi="Times New Roman" w:eastAsia="Times New Roman" w:cs="Times New Roman"/>
          <w:color w:val="1f1f1f"/>
          <w:sz w:val="26"/>
          <w:szCs w:val="26"/>
          <w:u w:val="none"/>
        </w:rPr>
        <w:t xml:space="preserve">https://sachquocgia.vn/ebook/12466/1/304</w:t>
      </w:r>
      <w:r>
        <w:rPr>
          <w:rFonts w:ascii="Times New Roman" w:hAnsi="Times New Roman" w:eastAsia="Times New Roman" w:cs="Times New Roman"/>
          <w:color w:val="1f1f1f"/>
          <w:sz w:val="26"/>
          <w:szCs w:val="26"/>
          <w:u w:val="none"/>
        </w:rPr>
      </w:r>
      <w:r>
        <w:rPr>
          <w:rFonts w:ascii="Times New Roman" w:hAnsi="Times New Roman" w:eastAsia="Times New Roman" w:cs="Times New Roman"/>
          <w:sz w:val="26"/>
          <w:szCs w:val="26"/>
        </w:rPr>
      </w:r>
    </w:p>
    <w:p w14:paraId="291630CB">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Bộ Thông tin và Truyền thông (2022), </w:t>
      </w:r>
      <w:r>
        <w:rPr>
          <w:rFonts w:ascii="Times New Roman" w:hAnsi="Times New Roman" w:eastAsia="Times New Roman" w:cs="Times New Roman"/>
          <w:i/>
          <w:color w:val="1f1f1f"/>
          <w:sz w:val="26"/>
          <w:szCs w:val="26"/>
          <w:u w:val="none"/>
        </w:rPr>
        <w:t xml:space="preserve">Cẩm nang Chuyển đổi số</w:t>
      </w:r>
      <w:r>
        <w:rPr>
          <w:rFonts w:ascii="Times New Roman" w:hAnsi="Times New Roman" w:eastAsia="Times New Roman" w:cs="Times New Roman"/>
          <w:color w:val="1f1f1f"/>
          <w:sz w:val="26"/>
          <w:szCs w:val="26"/>
          <w:u w:val="none"/>
        </w:rPr>
        <w:t xml:space="preserve">, Nxb. Thông tin và Truyền thông, Hà Nội, Truy cập ngày 20/12/2025 tại </w:t>
      </w:r>
      <w:r>
        <w:rPr>
          <w:rFonts w:ascii="Times New Roman" w:hAnsi="Times New Roman" w:eastAsia="Times New Roman" w:cs="Times New Roman"/>
          <w:color w:val="1f1f1f"/>
          <w:sz w:val="26"/>
          <w:szCs w:val="26"/>
          <w:u w:val="none"/>
        </w:rPr>
        <w:t xml:space="preserve">https://mic.mediacdn.vn//Upload_Moi/FileBaoCao/cam-nang-chuyen-doi-so-2021.pdf</w:t>
      </w:r>
      <w:r>
        <w:rPr>
          <w:rFonts w:ascii="Times New Roman" w:hAnsi="Times New Roman" w:eastAsia="Times New Roman" w:cs="Times New Roman"/>
          <w:color w:val="1f1f1f"/>
          <w:sz w:val="26"/>
          <w:szCs w:val="26"/>
          <w:u w:val="none"/>
        </w:rPr>
      </w:r>
      <w:r>
        <w:rPr>
          <w:rFonts w:ascii="Times New Roman" w:hAnsi="Times New Roman" w:eastAsia="Times New Roman" w:cs="Times New Roman"/>
          <w:sz w:val="26"/>
          <w:szCs w:val="26"/>
        </w:rPr>
      </w:r>
    </w:p>
    <w:p w14:paraId="7D131577">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Chính phủ (2022), </w:t>
      </w:r>
      <w:r>
        <w:rPr>
          <w:rFonts w:ascii="Times New Roman" w:hAnsi="Times New Roman" w:eastAsia="Times New Roman" w:cs="Times New Roman"/>
          <w:i/>
          <w:color w:val="1f1f1f"/>
          <w:sz w:val="26"/>
          <w:szCs w:val="26"/>
          <w:u w:val="none"/>
        </w:rPr>
        <w:t xml:space="preserve">Quyết định số 964/QĐ-TTg phê duyệt Chiến lược An toàn, An ninh mạng quốc gia, chủ động ứng phó với các thách thức từ không gian mạng đến năm 2025, tầm nhìn 2030</w:t>
      </w:r>
      <w:r>
        <w:rPr>
          <w:rFonts w:ascii="Times New Roman" w:hAnsi="Times New Roman" w:eastAsia="Times New Roman" w:cs="Times New Roman"/>
          <w:color w:val="1f1f1f"/>
          <w:sz w:val="26"/>
          <w:szCs w:val="26"/>
          <w:u w:val="none"/>
        </w:rPr>
        <w:t xml:space="preserve">, Hà Nội, Truy cập ngày 20/12/2025 tại </w:t>
      </w:r>
      <w:r>
        <w:rPr>
          <w:rFonts w:ascii="Times New Roman" w:hAnsi="Times New Roman" w:eastAsia="Times New Roman" w:cs="Times New Roman"/>
          <w:color w:val="1f1f1f"/>
          <w:sz w:val="26"/>
          <w:szCs w:val="26"/>
          <w:u w:val="none"/>
        </w:rPr>
        <w:t xml:space="preserve">https://thuvienphapluat.vn/van-ban/Cong-nghe-thong-tin/Quyet-dinh-964-QD-TTg-2022-phe-duyet-Chien-luoc-An-toan-An-ninh-mang-quoc-gia-den-2025-525540.aspx</w:t>
      </w:r>
      <w:r>
        <w:rPr>
          <w:rFonts w:ascii="Times New Roman" w:hAnsi="Times New Roman" w:eastAsia="Times New Roman" w:cs="Times New Roman"/>
          <w:color w:val="1f1f1f"/>
          <w:sz w:val="26"/>
          <w:szCs w:val="26"/>
          <w:u w:val="none"/>
        </w:rPr>
      </w:r>
      <w:r>
        <w:rPr>
          <w:rFonts w:ascii="Times New Roman" w:hAnsi="Times New Roman" w:eastAsia="Times New Roman" w:cs="Times New Roman"/>
          <w:sz w:val="26"/>
          <w:szCs w:val="26"/>
        </w:rPr>
      </w:r>
    </w:p>
    <w:p w14:paraId="676C8B66">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Dalai Lama (2005), </w:t>
      </w:r>
      <w:r>
        <w:rPr>
          <w:rFonts w:ascii="Times New Roman" w:hAnsi="Times New Roman" w:eastAsia="Times New Roman" w:cs="Times New Roman"/>
          <w:i/>
          <w:color w:val="1f1f1f"/>
          <w:sz w:val="26"/>
          <w:szCs w:val="26"/>
          <w:u w:val="none"/>
        </w:rPr>
        <w:t xml:space="preserve">Đạo đức cho thiên niên kỷ mới</w:t>
      </w:r>
      <w:r>
        <w:rPr>
          <w:rFonts w:ascii="Times New Roman" w:hAnsi="Times New Roman" w:eastAsia="Times New Roman" w:cs="Times New Roman"/>
          <w:color w:val="1f1f1f"/>
          <w:sz w:val="26"/>
          <w:szCs w:val="26"/>
          <w:u w:val="none"/>
        </w:rPr>
        <w:t xml:space="preserve"> (Nguyễn Minh Tiến dịch), Nxb. Tôn giáo, Hà Nội.</w:t>
      </w:r>
      <w:r>
        <w:rPr>
          <w:rFonts w:ascii="Times New Roman" w:hAnsi="Times New Roman" w:eastAsia="Times New Roman" w:cs="Times New Roman"/>
          <w:sz w:val="26"/>
          <w:szCs w:val="26"/>
        </w:rPr>
      </w:r>
    </w:p>
    <w:p w14:paraId="4898F3A5">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Doãn Chính (2013), </w:t>
      </w:r>
      <w:r>
        <w:rPr>
          <w:rFonts w:ascii="Times New Roman" w:hAnsi="Times New Roman" w:eastAsia="Times New Roman" w:cs="Times New Roman"/>
          <w:i/>
          <w:color w:val="1f1f1f"/>
          <w:sz w:val="26"/>
          <w:szCs w:val="26"/>
          <w:u w:val="none"/>
        </w:rPr>
        <w:t xml:space="preserve">Lịch sử triết học Ấn Độ cổ đại</w:t>
      </w:r>
      <w:r>
        <w:rPr>
          <w:rFonts w:ascii="Times New Roman" w:hAnsi="Times New Roman" w:eastAsia="Times New Roman" w:cs="Times New Roman"/>
          <w:color w:val="1f1f1f"/>
          <w:sz w:val="26"/>
          <w:szCs w:val="26"/>
          <w:u w:val="none"/>
        </w:rPr>
        <w:t xml:space="preserve">, Nxb. Chính trị Quốc gia Sự thật, Hà Nội.</w:t>
      </w:r>
      <w:r>
        <w:rPr>
          <w:rFonts w:ascii="Times New Roman" w:hAnsi="Times New Roman" w:eastAsia="Times New Roman" w:cs="Times New Roman"/>
          <w:sz w:val="26"/>
          <w:szCs w:val="26"/>
        </w:rPr>
      </w:r>
    </w:p>
    <w:p w14:paraId="5F0A57E1">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Doãn Chính (2015), </w:t>
      </w:r>
      <w:r>
        <w:rPr>
          <w:rFonts w:ascii="Times New Roman" w:hAnsi="Times New Roman" w:eastAsia="Times New Roman" w:cs="Times New Roman"/>
          <w:i/>
          <w:color w:val="1f1f1f"/>
          <w:sz w:val="26"/>
          <w:szCs w:val="26"/>
          <w:u w:val="none"/>
        </w:rPr>
        <w:t xml:space="preserve">Vấn đề con người trong triết học phương Đông</w:t>
      </w:r>
      <w:r>
        <w:rPr>
          <w:rFonts w:ascii="Times New Roman" w:hAnsi="Times New Roman" w:eastAsia="Times New Roman" w:cs="Times New Roman"/>
          <w:color w:val="1f1f1f"/>
          <w:sz w:val="26"/>
          <w:szCs w:val="26"/>
          <w:u w:val="none"/>
        </w:rPr>
        <w:t xml:space="preserve">, Nxb. Chính trị Quốc gia Sự thật, Hà Nội.</w:t>
      </w:r>
      <w:r>
        <w:rPr>
          <w:rFonts w:ascii="Times New Roman" w:hAnsi="Times New Roman" w:eastAsia="Times New Roman" w:cs="Times New Roman"/>
          <w:sz w:val="26"/>
          <w:szCs w:val="26"/>
        </w:rPr>
      </w:r>
    </w:p>
    <w:p w14:paraId="487F5BBF">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Keown, D. (2016), </w:t>
      </w:r>
      <w:r>
        <w:rPr>
          <w:rFonts w:ascii="Times New Roman" w:hAnsi="Times New Roman" w:eastAsia="Times New Roman" w:cs="Times New Roman"/>
          <w:i/>
          <w:color w:val="1f1f1f"/>
          <w:sz w:val="26"/>
          <w:szCs w:val="26"/>
          <w:u w:val="none"/>
        </w:rPr>
        <w:t xml:space="preserve">Đạo đức Phật giáo</w:t>
      </w:r>
      <w:r>
        <w:rPr>
          <w:rFonts w:ascii="Times New Roman" w:hAnsi="Times New Roman" w:eastAsia="Times New Roman" w:cs="Times New Roman"/>
          <w:color w:val="1f1f1f"/>
          <w:sz w:val="26"/>
          <w:szCs w:val="26"/>
          <w:u w:val="none"/>
        </w:rPr>
        <w:t xml:space="preserve"> (Thích Nguyên Tạng dịch), Nxb. Hồng Đức, TP. Hồ Chí Minh.</w:t>
      </w:r>
      <w:r>
        <w:rPr>
          <w:rFonts w:ascii="Times New Roman" w:hAnsi="Times New Roman" w:eastAsia="Times New Roman" w:cs="Times New Roman"/>
          <w:sz w:val="26"/>
          <w:szCs w:val="26"/>
        </w:rPr>
      </w:r>
    </w:p>
    <w:p w14:paraId="6765DDE0">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Lê Mạnh Thát (2006), </w:t>
      </w:r>
      <w:r>
        <w:rPr>
          <w:rFonts w:ascii="Times New Roman" w:hAnsi="Times New Roman" w:eastAsia="Times New Roman" w:cs="Times New Roman"/>
          <w:i/>
          <w:color w:val="1f1f1f"/>
          <w:sz w:val="26"/>
          <w:szCs w:val="26"/>
          <w:u w:val="none"/>
        </w:rPr>
        <w:t xml:space="preserve">Lịch sử Phật giáo Việt Nam (Tập 1)</w:t>
      </w:r>
      <w:r>
        <w:rPr>
          <w:rFonts w:ascii="Times New Roman" w:hAnsi="Times New Roman" w:eastAsia="Times New Roman" w:cs="Times New Roman"/>
          <w:color w:val="1f1f1f"/>
          <w:sz w:val="26"/>
          <w:szCs w:val="26"/>
          <w:u w:val="none"/>
        </w:rPr>
        <w:t xml:space="preserve">, Nxb. Tổng hợp TP. Hồ Chí Minh.</w:t>
      </w:r>
      <w:r>
        <w:rPr>
          <w:rFonts w:ascii="Times New Roman" w:hAnsi="Times New Roman" w:eastAsia="Times New Roman" w:cs="Times New Roman"/>
          <w:sz w:val="26"/>
          <w:szCs w:val="26"/>
        </w:rPr>
      </w:r>
    </w:p>
    <w:p w14:paraId="7435BEB6">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Lương Duy Thứ (Chủ biên) (2000), </w:t>
      </w:r>
      <w:r>
        <w:rPr>
          <w:rFonts w:ascii="Times New Roman" w:hAnsi="Times New Roman" w:eastAsia="Times New Roman" w:cs="Times New Roman"/>
          <w:i/>
          <w:color w:val="1f1f1f"/>
          <w:sz w:val="26"/>
          <w:szCs w:val="26"/>
          <w:u w:val="none"/>
        </w:rPr>
        <w:t xml:space="preserve">Đại cương văn hóa phương Đông</w:t>
      </w:r>
      <w:r>
        <w:rPr>
          <w:rFonts w:ascii="Times New Roman" w:hAnsi="Times New Roman" w:eastAsia="Times New Roman" w:cs="Times New Roman"/>
          <w:color w:val="1f1f1f"/>
          <w:sz w:val="26"/>
          <w:szCs w:val="26"/>
          <w:u w:val="none"/>
        </w:rPr>
        <w:t xml:space="preserve">, Nxb. Đại học Quốc gia TP. Hồ Chí Minh.</w:t>
      </w:r>
      <w:r>
        <w:rPr>
          <w:rFonts w:ascii="Times New Roman" w:hAnsi="Times New Roman" w:eastAsia="Times New Roman" w:cs="Times New Roman"/>
          <w:sz w:val="26"/>
          <w:szCs w:val="26"/>
        </w:rPr>
      </w:r>
    </w:p>
    <w:p w14:paraId="54BD588F">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Nguyễn Duy Hinh (1999), </w:t>
      </w:r>
      <w:r>
        <w:rPr>
          <w:rFonts w:ascii="Times New Roman" w:hAnsi="Times New Roman" w:eastAsia="Times New Roman" w:cs="Times New Roman"/>
          <w:i/>
          <w:color w:val="1f1f1f"/>
          <w:sz w:val="26"/>
          <w:szCs w:val="26"/>
          <w:u w:val="none"/>
        </w:rPr>
        <w:t xml:space="preserve">Tư tưởng Phật giáo Việt Nam</w:t>
      </w:r>
      <w:r>
        <w:rPr>
          <w:rFonts w:ascii="Times New Roman" w:hAnsi="Times New Roman" w:eastAsia="Times New Roman" w:cs="Times New Roman"/>
          <w:color w:val="1f1f1f"/>
          <w:sz w:val="26"/>
          <w:szCs w:val="26"/>
          <w:u w:val="none"/>
        </w:rPr>
        <w:t xml:space="preserve">, Nxb. Khoa học Xã hội, Hà Nội.</w:t>
      </w:r>
      <w:r>
        <w:rPr>
          <w:rFonts w:ascii="Times New Roman" w:hAnsi="Times New Roman" w:eastAsia="Times New Roman" w:cs="Times New Roman"/>
          <w:sz w:val="26"/>
          <w:szCs w:val="26"/>
        </w:rPr>
      </w:r>
    </w:p>
    <w:p w14:paraId="0AD21A54">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Nguyễn Đăng Thục (2007), </w:t>
      </w:r>
      <w:r>
        <w:rPr>
          <w:rFonts w:ascii="Times New Roman" w:hAnsi="Times New Roman" w:eastAsia="Times New Roman" w:cs="Times New Roman"/>
          <w:i/>
          <w:color w:val="1f1f1f"/>
          <w:sz w:val="26"/>
          <w:szCs w:val="26"/>
          <w:u w:val="none"/>
        </w:rPr>
        <w:t xml:space="preserve">Lịch sử tư tưởng Việt Nam</w:t>
      </w:r>
      <w:r>
        <w:rPr>
          <w:rFonts w:ascii="Times New Roman" w:hAnsi="Times New Roman" w:eastAsia="Times New Roman" w:cs="Times New Roman"/>
          <w:color w:val="1f1f1f"/>
          <w:sz w:val="26"/>
          <w:szCs w:val="26"/>
          <w:u w:val="none"/>
        </w:rPr>
        <w:t xml:space="preserve">, Nxb. TP. Hồ Chí Minh.</w:t>
      </w:r>
      <w:r>
        <w:rPr>
          <w:rFonts w:ascii="Times New Roman" w:hAnsi="Times New Roman" w:eastAsia="Times New Roman" w:cs="Times New Roman"/>
          <w:sz w:val="26"/>
          <w:szCs w:val="26"/>
        </w:rPr>
      </w:r>
    </w:p>
    <w:p w14:paraId="6DC50367">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Nguyễn Hùng Hậu (2010), </w:t>
      </w:r>
      <w:r>
        <w:rPr>
          <w:rFonts w:ascii="Times New Roman" w:hAnsi="Times New Roman" w:eastAsia="Times New Roman" w:cs="Times New Roman"/>
          <w:i/>
          <w:color w:val="1f1f1f"/>
          <w:sz w:val="26"/>
          <w:szCs w:val="26"/>
          <w:u w:val="none"/>
        </w:rPr>
        <w:t xml:space="preserve">Đại cương Lịch sử Triết học phương Đông cổ đại</w:t>
      </w:r>
      <w:r>
        <w:rPr>
          <w:rFonts w:ascii="Times New Roman" w:hAnsi="Times New Roman" w:eastAsia="Times New Roman" w:cs="Times New Roman"/>
          <w:color w:val="1f1f1f"/>
          <w:sz w:val="26"/>
          <w:szCs w:val="26"/>
          <w:u w:val="none"/>
        </w:rPr>
        <w:t xml:space="preserve">, Nxb. Chính trị Quốc gia, Hà Nội.</w:t>
      </w:r>
      <w:r>
        <w:rPr>
          <w:rFonts w:ascii="Times New Roman" w:hAnsi="Times New Roman" w:eastAsia="Times New Roman" w:cs="Times New Roman"/>
          <w:sz w:val="26"/>
          <w:szCs w:val="26"/>
        </w:rPr>
      </w:r>
    </w:p>
    <w:p w14:paraId="2EFC6093">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Nguyễn Thế Đăng (2015), </w:t>
      </w:r>
      <w:r>
        <w:rPr>
          <w:rFonts w:ascii="Times New Roman" w:hAnsi="Times New Roman" w:eastAsia="Times New Roman" w:cs="Times New Roman"/>
          <w:i/>
          <w:color w:val="1f1f1f"/>
          <w:sz w:val="26"/>
          <w:szCs w:val="26"/>
          <w:u w:val="none"/>
        </w:rPr>
        <w:t xml:space="preserve">Phật học tinh hoa</w:t>
      </w:r>
      <w:r>
        <w:rPr>
          <w:rFonts w:ascii="Times New Roman" w:hAnsi="Times New Roman" w:eastAsia="Times New Roman" w:cs="Times New Roman"/>
          <w:color w:val="1f1f1f"/>
          <w:sz w:val="26"/>
          <w:szCs w:val="26"/>
          <w:u w:val="none"/>
        </w:rPr>
        <w:t xml:space="preserve">, Nxb. Thiện Tri Thức, TP. Hồ Chí Minh.</w:t>
      </w:r>
      <w:r>
        <w:rPr>
          <w:rFonts w:ascii="Times New Roman" w:hAnsi="Times New Roman" w:eastAsia="Times New Roman" w:cs="Times New Roman"/>
          <w:sz w:val="26"/>
          <w:szCs w:val="26"/>
        </w:rPr>
      </w:r>
    </w:p>
    <w:p w14:paraId="50A17A27">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Nguyễn Văn Huyên (2002), </w:t>
      </w:r>
      <w:r>
        <w:rPr>
          <w:rFonts w:ascii="Times New Roman" w:hAnsi="Times New Roman" w:eastAsia="Times New Roman" w:cs="Times New Roman"/>
          <w:i/>
          <w:color w:val="1f1f1f"/>
          <w:sz w:val="26"/>
          <w:szCs w:val="26"/>
          <w:u w:val="none"/>
        </w:rPr>
        <w:t xml:space="preserve">Góp phần nghiên cứu văn hóa Việt Nam</w:t>
      </w:r>
      <w:r>
        <w:rPr>
          <w:rFonts w:ascii="Times New Roman" w:hAnsi="Times New Roman" w:eastAsia="Times New Roman" w:cs="Times New Roman"/>
          <w:color w:val="1f1f1f"/>
          <w:sz w:val="26"/>
          <w:szCs w:val="26"/>
          <w:u w:val="none"/>
        </w:rPr>
        <w:t xml:space="preserve">, Nxb. Khoa học Xã hội, Hà Nội.</w:t>
      </w:r>
      <w:r>
        <w:rPr>
          <w:rFonts w:ascii="Times New Roman" w:hAnsi="Times New Roman" w:eastAsia="Times New Roman" w:cs="Times New Roman"/>
          <w:sz w:val="26"/>
          <w:szCs w:val="26"/>
        </w:rPr>
      </w:r>
    </w:p>
    <w:p w14:paraId="6AB25329">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Nguyễn Văn Thành (2020), "Đạo đức nghề nghiệp trong kỷ nguyên số", </w:t>
      </w:r>
      <w:r>
        <w:rPr>
          <w:rFonts w:ascii="Times New Roman" w:hAnsi="Times New Roman" w:eastAsia="Times New Roman" w:cs="Times New Roman"/>
          <w:i/>
          <w:color w:val="1f1f1f"/>
          <w:sz w:val="26"/>
          <w:szCs w:val="26"/>
          <w:u w:val="none"/>
        </w:rPr>
        <w:t xml:space="preserve">Tạp chí Triết học</w:t>
      </w:r>
      <w:r>
        <w:rPr>
          <w:rFonts w:ascii="Times New Roman" w:hAnsi="Times New Roman" w:eastAsia="Times New Roman" w:cs="Times New Roman"/>
          <w:color w:val="1f1f1f"/>
          <w:sz w:val="26"/>
          <w:szCs w:val="26"/>
          <w:u w:val="none"/>
        </w:rPr>
        <w:t xml:space="preserve">, số 3, tr. 45–52.</w:t>
      </w:r>
      <w:r>
        <w:rPr>
          <w:rFonts w:ascii="Times New Roman" w:hAnsi="Times New Roman" w:eastAsia="Times New Roman" w:cs="Times New Roman"/>
          <w:sz w:val="26"/>
          <w:szCs w:val="26"/>
        </w:rPr>
      </w:r>
    </w:p>
    <w:p w14:paraId="5CF77FCD">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Phạm Quang Huy (2019), "An ninh mạng và thách thức quản trị hiện đại", </w:t>
      </w:r>
      <w:r>
        <w:rPr>
          <w:rFonts w:ascii="Times New Roman" w:hAnsi="Times New Roman" w:eastAsia="Times New Roman" w:cs="Times New Roman"/>
          <w:i/>
          <w:color w:val="1f1f1f"/>
          <w:sz w:val="26"/>
          <w:szCs w:val="26"/>
          <w:u w:val="none"/>
        </w:rPr>
        <w:t xml:space="preserve">Tạp chí Khoa học xã hội</w:t>
      </w:r>
      <w:r>
        <w:rPr>
          <w:rFonts w:ascii="Times New Roman" w:hAnsi="Times New Roman" w:eastAsia="Times New Roman" w:cs="Times New Roman"/>
          <w:color w:val="1f1f1f"/>
          <w:sz w:val="26"/>
          <w:szCs w:val="26"/>
          <w:u w:val="none"/>
        </w:rPr>
        <w:t xml:space="preserve">, số 5, tr. 66–73.</w:t>
      </w:r>
      <w:r>
        <w:rPr>
          <w:rFonts w:ascii="Times New Roman" w:hAnsi="Times New Roman" w:eastAsia="Times New Roman" w:cs="Times New Roman"/>
          <w:sz w:val="26"/>
          <w:szCs w:val="26"/>
        </w:rPr>
      </w:r>
    </w:p>
    <w:p w14:paraId="3F835913">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Quốc hội (2018), </w:t>
      </w:r>
      <w:r>
        <w:rPr>
          <w:rFonts w:ascii="Times New Roman" w:hAnsi="Times New Roman" w:eastAsia="Times New Roman" w:cs="Times New Roman"/>
          <w:i/>
          <w:color w:val="1f1f1f"/>
          <w:sz w:val="26"/>
          <w:szCs w:val="26"/>
          <w:u w:val="none"/>
        </w:rPr>
        <w:t xml:space="preserve">Luật An ninh mạng (Luật số 24/2018/QH14)</w:t>
      </w:r>
      <w:r>
        <w:rPr>
          <w:rFonts w:ascii="Times New Roman" w:hAnsi="Times New Roman" w:eastAsia="Times New Roman" w:cs="Times New Roman"/>
          <w:color w:val="1f1f1f"/>
          <w:sz w:val="26"/>
          <w:szCs w:val="26"/>
          <w:u w:val="none"/>
        </w:rPr>
        <w:t xml:space="preserve">, Nxb. Chính trị Quốc gia Sự thật, Hà Nội.</w:t>
      </w:r>
      <w:r>
        <w:rPr>
          <w:rFonts w:ascii="Times New Roman" w:hAnsi="Times New Roman" w:eastAsia="Times New Roman" w:cs="Times New Roman"/>
          <w:sz w:val="26"/>
          <w:szCs w:val="26"/>
        </w:rPr>
      </w:r>
    </w:p>
    <w:p w14:paraId="2B6A0B90">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Thích Mãn Giác (2004), </w:t>
      </w:r>
      <w:r>
        <w:rPr>
          <w:rFonts w:ascii="Times New Roman" w:hAnsi="Times New Roman" w:eastAsia="Times New Roman" w:cs="Times New Roman"/>
          <w:i/>
          <w:color w:val="1f1f1f"/>
          <w:sz w:val="26"/>
          <w:szCs w:val="26"/>
          <w:u w:val="none"/>
        </w:rPr>
        <w:t xml:space="preserve">Triết học Phật giáo</w:t>
      </w:r>
      <w:r>
        <w:rPr>
          <w:rFonts w:ascii="Times New Roman" w:hAnsi="Times New Roman" w:eastAsia="Times New Roman" w:cs="Times New Roman"/>
          <w:color w:val="1f1f1f"/>
          <w:sz w:val="26"/>
          <w:szCs w:val="26"/>
          <w:u w:val="none"/>
        </w:rPr>
        <w:t xml:space="preserve">, Nxb. Văn hóa Sài Gòn, TP. Hồ Chí Minh.</w:t>
      </w:r>
      <w:r>
        <w:rPr>
          <w:rFonts w:ascii="Times New Roman" w:hAnsi="Times New Roman" w:eastAsia="Times New Roman" w:cs="Times New Roman"/>
          <w:sz w:val="26"/>
          <w:szCs w:val="26"/>
        </w:rPr>
      </w:r>
    </w:p>
    <w:p w14:paraId="671F5CE7">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Thích Minh Châu (dịch) (2012), </w:t>
      </w:r>
      <w:r>
        <w:rPr>
          <w:rFonts w:ascii="Times New Roman" w:hAnsi="Times New Roman" w:eastAsia="Times New Roman" w:cs="Times New Roman"/>
          <w:i/>
          <w:color w:val="1f1f1f"/>
          <w:sz w:val="26"/>
          <w:szCs w:val="26"/>
          <w:u w:val="none"/>
        </w:rPr>
        <w:t xml:space="preserve">Kinh Trung Bộ (Majjhima Nikaya), Tập 1</w:t>
      </w:r>
      <w:r>
        <w:rPr>
          <w:rFonts w:ascii="Times New Roman" w:hAnsi="Times New Roman" w:eastAsia="Times New Roman" w:cs="Times New Roman"/>
          <w:color w:val="1f1f1f"/>
          <w:sz w:val="26"/>
          <w:szCs w:val="26"/>
          <w:u w:val="none"/>
        </w:rPr>
        <w:t xml:space="preserve">, Nxb. Tôn giáo, Hà Nội.</w:t>
      </w:r>
      <w:r>
        <w:rPr>
          <w:rFonts w:ascii="Times New Roman" w:hAnsi="Times New Roman" w:eastAsia="Times New Roman" w:cs="Times New Roman"/>
          <w:sz w:val="26"/>
          <w:szCs w:val="26"/>
        </w:rPr>
      </w:r>
    </w:p>
    <w:p w14:paraId="4979570A">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Thích Nhật Từ (2019), </w:t>
      </w:r>
      <w:r>
        <w:rPr>
          <w:rFonts w:ascii="Times New Roman" w:hAnsi="Times New Roman" w:eastAsia="Times New Roman" w:cs="Times New Roman"/>
          <w:i/>
          <w:color w:val="1f1f1f"/>
          <w:sz w:val="26"/>
          <w:szCs w:val="26"/>
          <w:u w:val="none"/>
        </w:rPr>
        <w:t xml:space="preserve">Phật giáo và Quản trị</w:t>
      </w:r>
      <w:r>
        <w:rPr>
          <w:rFonts w:ascii="Times New Roman" w:hAnsi="Times New Roman" w:eastAsia="Times New Roman" w:cs="Times New Roman"/>
          <w:color w:val="1f1f1f"/>
          <w:sz w:val="26"/>
          <w:szCs w:val="26"/>
          <w:u w:val="none"/>
        </w:rPr>
        <w:t xml:space="preserve">, Nxb. Hồng Đức, TP. Hồ Chí Minh.</w:t>
      </w:r>
      <w:r>
        <w:rPr>
          <w:rFonts w:ascii="Times New Roman" w:hAnsi="Times New Roman" w:eastAsia="Times New Roman" w:cs="Times New Roman"/>
          <w:sz w:val="26"/>
          <w:szCs w:val="26"/>
        </w:rPr>
      </w:r>
    </w:p>
    <w:p w14:paraId="1E55E760">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Thích Thanh Kiểm (2011), </w:t>
      </w:r>
      <w:r>
        <w:rPr>
          <w:rFonts w:ascii="Times New Roman" w:hAnsi="Times New Roman" w:eastAsia="Times New Roman" w:cs="Times New Roman"/>
          <w:i/>
          <w:color w:val="1f1f1f"/>
          <w:sz w:val="26"/>
          <w:szCs w:val="26"/>
          <w:u w:val="none"/>
        </w:rPr>
        <w:t xml:space="preserve">Lược sử Phật giáo Ấn Độ</w:t>
      </w:r>
      <w:r>
        <w:rPr>
          <w:rFonts w:ascii="Times New Roman" w:hAnsi="Times New Roman" w:eastAsia="Times New Roman" w:cs="Times New Roman"/>
          <w:color w:val="1f1f1f"/>
          <w:sz w:val="26"/>
          <w:szCs w:val="26"/>
          <w:u w:val="none"/>
        </w:rPr>
        <w:t xml:space="preserve">, Nxb. Tôn giáo, Hà Nội.</w:t>
      </w:r>
      <w:r>
        <w:rPr>
          <w:rFonts w:ascii="Times New Roman" w:hAnsi="Times New Roman" w:eastAsia="Times New Roman" w:cs="Times New Roman"/>
          <w:sz w:val="26"/>
          <w:szCs w:val="26"/>
        </w:rPr>
      </w:r>
    </w:p>
    <w:p w14:paraId="4536CC24">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Thích Thiện Siêu (2002), </w:t>
      </w:r>
      <w:r>
        <w:rPr>
          <w:rFonts w:ascii="Times New Roman" w:hAnsi="Times New Roman" w:eastAsia="Times New Roman" w:cs="Times New Roman"/>
          <w:i/>
          <w:color w:val="1f1f1f"/>
          <w:sz w:val="26"/>
          <w:szCs w:val="26"/>
          <w:u w:val="none"/>
        </w:rPr>
        <w:t xml:space="preserve">Vô ngã là niết bàn</w:t>
      </w:r>
      <w:r>
        <w:rPr>
          <w:rFonts w:ascii="Times New Roman" w:hAnsi="Times New Roman" w:eastAsia="Times New Roman" w:cs="Times New Roman"/>
          <w:color w:val="1f1f1f"/>
          <w:sz w:val="26"/>
          <w:szCs w:val="26"/>
          <w:u w:val="none"/>
        </w:rPr>
        <w:t xml:space="preserve">, Nxb. Tôn giáo, Hà Nội.</w:t>
      </w:r>
      <w:r>
        <w:rPr>
          <w:rFonts w:ascii="Times New Roman" w:hAnsi="Times New Roman" w:eastAsia="Times New Roman" w:cs="Times New Roman"/>
          <w:sz w:val="26"/>
          <w:szCs w:val="26"/>
        </w:rPr>
      </w:r>
    </w:p>
    <w:p w14:paraId="41778234">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Trần Văn Tài (2021), "Văn hóa tổ chức và quản trị rủi ro", </w:t>
      </w:r>
      <w:r>
        <w:rPr>
          <w:rFonts w:ascii="Times New Roman" w:hAnsi="Times New Roman" w:eastAsia="Times New Roman" w:cs="Times New Roman"/>
          <w:i/>
          <w:color w:val="1f1f1f"/>
          <w:sz w:val="26"/>
          <w:szCs w:val="26"/>
          <w:u w:val="none"/>
        </w:rPr>
        <w:t xml:space="preserve">Tạp chí Phát triển bền vững</w:t>
      </w:r>
      <w:r>
        <w:rPr>
          <w:rFonts w:ascii="Times New Roman" w:hAnsi="Times New Roman" w:eastAsia="Times New Roman" w:cs="Times New Roman"/>
          <w:color w:val="1f1f1f"/>
          <w:sz w:val="26"/>
          <w:szCs w:val="26"/>
          <w:u w:val="none"/>
        </w:rPr>
        <w:t xml:space="preserve">, số 2, tr. 28–35.</w:t>
      </w:r>
      <w:r>
        <w:rPr>
          <w:rFonts w:ascii="Times New Roman" w:hAnsi="Times New Roman" w:eastAsia="Times New Roman" w:cs="Times New Roman"/>
          <w:sz w:val="26"/>
          <w:szCs w:val="26"/>
        </w:rPr>
      </w:r>
    </w:p>
    <w:p w14:paraId="2839E758">
      <w:pPr>
        <w:pStyle w:val="1087"/>
        <w:numPr>
          <w:ilvl w:val="0"/>
          <w:numId w:val="43"/>
        </w:numPr>
        <w:pBdr>
          <w:top w:val="none" w:color="000000" w:sz="4" w:space="0"/>
          <w:left w:val="none" w:color="000000" w:sz="4" w:space="0"/>
          <w:bottom w:val="none" w:color="000000" w:sz="4" w:space="0"/>
          <w:right w:val="none" w:color="000000" w:sz="4" w:space="0"/>
        </w:pBdr>
        <w:spacing w:after="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VNPT (2023), </w:t>
      </w:r>
      <w:r>
        <w:rPr>
          <w:rFonts w:ascii="Times New Roman" w:hAnsi="Times New Roman" w:eastAsia="Times New Roman" w:cs="Times New Roman"/>
          <w:i/>
          <w:color w:val="1f1f1f"/>
          <w:sz w:val="26"/>
          <w:szCs w:val="26"/>
          <w:u w:val="none"/>
        </w:rPr>
        <w:t xml:space="preserve">Báo cáo thường niên 2022: Hành trình dẫn dắt chuyển đổi số</w:t>
      </w:r>
      <w:r>
        <w:rPr>
          <w:rFonts w:ascii="Times New Roman" w:hAnsi="Times New Roman" w:eastAsia="Times New Roman" w:cs="Times New Roman"/>
          <w:color w:val="1f1f1f"/>
          <w:sz w:val="26"/>
          <w:szCs w:val="26"/>
          <w:u w:val="none"/>
        </w:rPr>
        <w:t xml:space="preserve">, Hà Nội.</w:t>
      </w:r>
      <w:r>
        <w:rPr>
          <w:rFonts w:ascii="Times New Roman" w:hAnsi="Times New Roman" w:eastAsia="Times New Roman" w:cs="Times New Roman"/>
          <w:sz w:val="26"/>
          <w:szCs w:val="26"/>
        </w:rPr>
      </w:r>
    </w:p>
    <w:p w14:paraId="07B732DD">
      <w:pPr>
        <w:pStyle w:val="1087"/>
        <w:numPr>
          <w:ilvl w:val="0"/>
          <w:numId w:val="43"/>
        </w:numPr>
        <w:pBdr>
          <w:top w:val="none" w:color="000000" w:sz="4" w:space="0"/>
          <w:left w:val="none" w:color="000000" w:sz="4" w:space="0"/>
          <w:bottom w:val="none" w:color="000000" w:sz="4" w:space="0"/>
          <w:right w:val="none" w:color="000000" w:sz="4" w:space="0"/>
        </w:pBdr>
        <w:spacing w:after="36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u w:val="none"/>
        </w:rPr>
        <w:t xml:space="preserve">VNPT-IT (2023), </w:t>
      </w:r>
      <w:r>
        <w:rPr>
          <w:rFonts w:ascii="Times New Roman" w:hAnsi="Times New Roman" w:eastAsia="Times New Roman" w:cs="Times New Roman"/>
          <w:i/>
          <w:color w:val="1f1f1f"/>
          <w:sz w:val="26"/>
          <w:szCs w:val="26"/>
          <w:u w:val="none"/>
        </w:rPr>
        <w:t xml:space="preserve">Báo cáo tổng kết công tác An toàn thông tin năm 2023 (Tài liệu lưu hành nội bộ)</w:t>
      </w:r>
      <w:r>
        <w:rPr>
          <w:rFonts w:ascii="Times New Roman" w:hAnsi="Times New Roman" w:eastAsia="Times New Roman" w:cs="Times New Roman"/>
          <w:color w:val="1f1f1f"/>
          <w:sz w:val="26"/>
          <w:szCs w:val="26"/>
          <w:u w:val="none"/>
        </w:rPr>
        <w:t xml:space="preserve">, Đồng Tháp.</w:t>
      </w:r>
      <w:r>
        <w:rPr>
          <w:rFonts w:ascii="Times New Roman" w:hAnsi="Times New Roman" w:eastAsia="Times New Roman" w:cs="Times New Roman"/>
          <w:sz w:val="26"/>
          <w:szCs w:val="26"/>
        </w:rPr>
      </w:r>
    </w:p>
    <w:p w14:paraId="675A0101">
      <w:pPr>
        <w:pStyle w:val="1087"/>
        <w:numPr>
          <w:ilvl w:val="0"/>
          <w:numId w:val="43"/>
        </w:numPr>
        <w:pBdr>
          <w:top w:val="none" w:color="000000" w:sz="4" w:space="0"/>
          <w:left w:val="none" w:color="000000" w:sz="4" w:space="0"/>
          <w:bottom w:val="none" w:color="000000" w:sz="4" w:space="0"/>
          <w:right w:val="none" w:color="000000" w:sz="4" w:space="0"/>
        </w:pBdr>
        <w:spacing w:after="360" w:before="0" w:line="360" w:lineRule="auto"/>
        <w:ind w:right="0"/>
        <w:rPr>
          <w:rFonts w:ascii="Times New Roman" w:hAnsi="Times New Roman" w:cs="Times New Roman"/>
          <w:sz w:val="26"/>
          <w:szCs w:val="26"/>
        </w:rPr>
      </w:pPr>
      <w:r>
        <w:rPr>
          <w:rFonts w:ascii="Times New Roman" w:hAnsi="Times New Roman" w:eastAsia="Times New Roman" w:cs="Times New Roman"/>
          <w:color w:val="1f1f1f"/>
          <w:sz w:val="26"/>
          <w:szCs w:val="26"/>
          <w:highlight w:val="none"/>
          <w:u w:val="none"/>
        </w:rPr>
      </w:r>
      <w:r>
        <w:rPr>
          <w:rFonts w:ascii="Times New Roman" w:hAnsi="Times New Roman" w:eastAsia="Times New Roman" w:cs="Times New Roman"/>
          <w:color w:val="1f1f1f"/>
          <w:sz w:val="26"/>
          <w:szCs w:val="26"/>
          <w:highlight w:val="none"/>
          <w:u w:val="none"/>
        </w:rPr>
        <w:t xml:space="preserve">Walpola Rahula (2001), Những gì Đức Phật dạy (Thích Nữ Trí Hải dịch), Nxb. Tôn giáo, Hà Nội.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sectPr>
      <w:headerReference w:type="default" r:id="rId17"/>
      <w:headerReference w:type="first" r:id="rId18"/>
      <w:footnotePr/>
      <w:endnotePr/>
      <w:type w:val="nextPage"/>
      <w:pgSz w:h="16838" w:orient="portrait" w:w="11906"/>
      <w:pgMar w:top="1138" w:right="1138" w:bottom="1138" w:left="1699" w:header="0" w:footer="0"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Georgia">
    <w:panose1 w:val="02040502050405020303"/>
  </w:font>
  <w:font w:name="Linux Libertine G">
    <w:panose1 w:val="05040102010807070707"/>
  </w:font>
  <w:font w:name="Liberation Sans"/>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651BFA">
    <w:pPr>
      <w:pStyle w:val="1092"/>
      <w:pBdr/>
      <w:spacing/>
      <w:ind/>
      <w:jc w:val="center"/>
      <w:rPr/>
    </w:pPr>
    <w:fldSimple w:instr="PAGE \* MERGEFORMAT">
      <w:r>
        <w:rPr>
          <w:rFonts w:ascii="Times New Roman" w:hAnsi="Times New Roman" w:eastAsia="Times New Roman" w:cs="Times New Roman"/>
        </w:rPr>
        <w:t xml:space="preserve">1</w:t>
      </w:r>
    </w:fldSimple>
    <w:r>
      <w:rPr>
        <w:rFonts w:ascii="Times New Roman" w:hAnsi="Times New Roman" w:eastAsia="Times New Roman" w:cs="Times New Roman"/>
      </w:rPr>
    </w:r>
    <w:r>
      <w:rPr>
        <w:rFonts w:ascii="Times New Roman" w:hAnsi="Times New Roman" w:eastAsia="Times New Roman" w:cs="Times New Roman"/>
      </w:rPr>
    </w:r>
    <w:r/>
  </w:p>
  <w:p w14:paraId="0D4B652A">
    <w:pPr>
      <w:pStyle w:val="1092"/>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4046248">
    <w:pPr>
      <w:pStyle w:val="1092"/>
      <w:pBdr/>
      <w:spacing/>
      <w:ind/>
      <w:jc w:val="center"/>
      <w:rPr>
        <w:rFonts w:ascii="Times New Roman" w:hAnsi="Times New Roman" w:cs="Times New Roman"/>
      </w:rPr>
    </w:pPr>
    <w:fldSimple w:instr="PAGE \* MERGEFORMAT">
      <w:r>
        <w:rPr>
          <w:rFonts w:ascii="Times New Roman" w:hAnsi="Times New Roman" w:eastAsia="Times New Roman" w:cs="Times New Roman"/>
        </w:rPr>
        <w:t xml:space="preserve">1</w:t>
      </w:r>
    </w:fldSimple>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28D828B">
    <w:pPr>
      <w:pStyle w:val="1092"/>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16BE008">
    <w:pPr>
      <w:pStyle w:val="1092"/>
      <w:pBdr/>
      <w:spacing/>
      <w:ind/>
      <w:jc w:val="center"/>
      <w:rPr/>
    </w:pPr>
    <w:r/>
    <w:r/>
  </w:p>
  <w:p w14:paraId="6B71DDC7">
    <w:pPr>
      <w:pStyle w:val="1092"/>
      <w:pBdr/>
      <w:spacing/>
      <w:ind/>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81DB378">
    <w:pPr>
      <w:pStyle w:val="1092"/>
      <w:pBdr/>
      <w:spacing/>
      <w:ind/>
      <w:jc w:val="center"/>
      <w:rPr/>
    </w:pPr>
    <w:r/>
    <w:r/>
  </w:p>
  <w:p w14:paraId="1ABA8681">
    <w:pPr>
      <w:pStyle w:val="1092"/>
      <w:pBdr/>
      <w:spacing/>
      <w:ind/>
      <w:rPr/>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58B7C45">
    <w:pPr>
      <w:pStyle w:val="1092"/>
      <w:pBdr/>
      <w:spacing/>
      <w:ind/>
      <w:jc w:val="center"/>
      <w:rPr/>
    </w:pPr>
    <w:fldSimple w:instr="PAGE \* MERGEFORMAT">
      <w:r>
        <w:t xml:space="preserve">1</w:t>
      </w:r>
    </w:fldSimple>
    <w:r/>
    <w:r/>
  </w:p>
  <w:p w14:paraId="5E28FB02">
    <w:pPr>
      <w:pStyle w:val="109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BCED154">
    <w:pPr>
      <w:pStyle w:val="109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070947">
    <w:pPr>
      <w:pStyle w:val="1091"/>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84C9B54">
    <w:pPr>
      <w:pStyle w:val="1091"/>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074A341">
    <w:pPr>
      <w:pStyle w:val="1091"/>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3B7BBC2">
    <w:pPr>
      <w:pStyle w:val="1091"/>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F095A82">
    <w:pPr>
      <w:pStyle w:val="1091"/>
      <w:pBdr/>
      <w:spacing/>
      <w:ind/>
      <w:rPr/>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F579693">
    <w:pPr>
      <w:pStyle w:val="1091"/>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C6FC400">
    <w:pPr>
      <w:pStyle w:val="1091"/>
      <w:pBdr/>
      <w:spacing/>
      <w:ind/>
      <w:rPr/>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0E1069">
    <w:pPr>
      <w:pStyle w:val="109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52CDD"/>
    <w:lvl w:ilvl="0">
      <w:isLgl w:val="true"/>
      <w:lvlJc w:val="left"/>
      <w:lvlText w:val="●"/>
      <w:numFmt w:val="bullet"/>
      <w:pPr>
        <w:pBdr/>
        <w:tabs>
          <w:tab w:val="num" w:leader="none" w:pos="0"/>
        </w:tabs>
        <w:spacing/>
        <w:ind w:hanging="360" w:left="465"/>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1">
      <w:isLgl w:val="true"/>
      <w:lvlJc w:val="left"/>
      <w:lvlText w:val="○"/>
      <w:numFmt w:val="bullet"/>
      <w:pPr>
        <w:pBdr/>
        <w:tabs>
          <w:tab w:val="num" w:leader="none" w:pos="0"/>
        </w:tabs>
        <w:spacing/>
        <w:ind w:hanging="360" w:left="870"/>
      </w:pPr>
      <w:rPr>
        <w:rFonts w:hint="default" w:ascii="Arial" w:hAnsi="Arial" w:cs="Arial"/>
        <w:b w:val="0"/>
        <w:bCs w:val="0"/>
        <w:i w:val="0"/>
        <w:iCs w:val="0"/>
        <w:caps w:val="0"/>
        <w:smallCaps w:val="0"/>
        <w:strike w:val="0"/>
        <w:color w:val="000000"/>
        <w:position w:val="0"/>
        <w:sz w:val="26"/>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1">
    <w:nsid w:val="0BAF6782"/>
    <w:lvl w:ilvl="0">
      <w:isLgl w:val="true"/>
      <w:lvlJc w:val="left"/>
      <w:lvlText w:val="%1."/>
      <w:numFmt w:val="decimal"/>
      <w:pPr>
        <w:pBdr/>
        <w:tabs>
          <w:tab w:val="num" w:leader="none" w:pos="0"/>
        </w:tabs>
        <w:spacing/>
        <w:ind w:hanging="360" w:left="480"/>
      </w:pPr>
      <w:rPr>
        <w:rFonts w:ascii="Times New Roman" w:hAnsi="Times New Roman" w:eastAsia="Arial" w:cs="Arial"/>
        <w:b/>
        <w:bCs w:val="0"/>
        <w:i w:val="0"/>
        <w:iCs w:val="0"/>
        <w:caps w:val="0"/>
        <w:smallCaps w:val="0"/>
        <w:strike w:val="0"/>
        <w:color w:val="000000"/>
        <w:position w:val="0"/>
        <w:sz w:val="26"/>
        <w:szCs w:val="22"/>
        <w:u w:val="none"/>
        <w:vertAlign w:val="baseline"/>
      </w:rPr>
      <w:start w:val="1"/>
      <w:suff w:val="space"/>
    </w:lvl>
    <w:lvl w:ilvl="1">
      <w:isLgl w:val="true"/>
      <w:lvlJc w:val="left"/>
      <w:lvlText w:val="○"/>
      <w:numFmt w:val="bullet"/>
      <w:pPr>
        <w:pBdr/>
        <w:tabs>
          <w:tab w:val="num" w:leader="none" w:pos="0"/>
        </w:tabs>
        <w:spacing/>
        <w:ind w:hanging="360" w:left="885"/>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2">
    <w:nsid w:val="0C986828"/>
    <w:lvl w:ilvl="0">
      <w:isLgl w:val="true"/>
      <w:lvlJc w:val="left"/>
      <w:lvlText w:val="%1."/>
      <w:numFmt w:val="decimal"/>
      <w:pPr>
        <w:pBdr/>
        <w:tabs>
          <w:tab w:val="num" w:leader="none" w:pos="0"/>
        </w:tabs>
        <w:spacing/>
        <w:ind w:hanging="360" w:left="480"/>
      </w:pPr>
      <w:rPr>
        <w:rFonts w:ascii="Times New Roman" w:hAnsi="Times New Roman" w:eastAsia="Arial" w:cs="Arial"/>
        <w:b w:val="0"/>
        <w:bCs w:val="0"/>
        <w:i w:val="0"/>
        <w:iCs w:val="0"/>
        <w:caps w:val="0"/>
        <w:smallCaps w:val="0"/>
        <w:strike w:val="0"/>
        <w:color w:val="000000"/>
        <w:position w:val="0"/>
        <w:sz w:val="26"/>
        <w:szCs w:val="22"/>
        <w:u w:val="none"/>
        <w:vertAlign w:val="baseline"/>
      </w:rPr>
      <w:start w:val="1"/>
      <w:suff w:val="tab"/>
    </w:lvl>
    <w:lvl w:ilvl="1">
      <w:isLgl w:val="true"/>
      <w:lvlJc w:val="left"/>
      <w:lvlText w:val="○"/>
      <w:numFmt w:val="bullet"/>
      <w:pPr>
        <w:pBdr/>
        <w:tabs>
          <w:tab w:val="num" w:leader="none" w:pos="0"/>
        </w:tabs>
        <w:spacing/>
        <w:ind w:hanging="360" w:left="14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3">
    <w:nsid w:val="0F211CD2"/>
    <w:lvl w:ilvl="0">
      <w:isLgl w:val="true"/>
      <w:lvlJc w:val="left"/>
      <w:lvlText w:val="●"/>
      <w:numFmt w:val="bullet"/>
      <w:pPr>
        <w:pBdr/>
        <w:tabs>
          <w:tab w:val="num" w:leader="none" w:pos="0"/>
        </w:tabs>
        <w:spacing/>
        <w:ind w:hanging="360" w:left="465"/>
      </w:pPr>
      <w:rPr>
        <w:rFonts w:hint="default" w:ascii="Arial" w:hAnsi="Arial" w:cs="Arial"/>
        <w:b w:val="0"/>
        <w:bCs w:val="0"/>
        <w:i w:val="0"/>
        <w:iCs w:val="0"/>
        <w:caps w:val="0"/>
        <w:smallCaps w:val="0"/>
        <w:strike w:val="0"/>
        <w:color w:val="000000"/>
        <w:position w:val="0"/>
        <w:sz w:val="26"/>
        <w:szCs w:val="22"/>
        <w:u w:val="none"/>
        <w:vertAlign w:val="baseline"/>
      </w:rPr>
      <w:start w:val="1"/>
      <w:suff w:val="tab"/>
    </w:lvl>
    <w:lvl w:ilvl="1">
      <w:isLgl w:val="true"/>
      <w:lvlJc w:val="left"/>
      <w:lvlText w:val="○"/>
      <w:numFmt w:val="bullet"/>
      <w:pPr>
        <w:pBdr/>
        <w:tabs>
          <w:tab w:val="num" w:leader="none" w:pos="0"/>
        </w:tabs>
        <w:spacing/>
        <w:ind w:hanging="360" w:left="87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4">
    <w:nsid w:val="0F462DC4"/>
    <w:lvl w:ilvl="0">
      <w:isLgl w:val="true"/>
      <w:lvlJc w:val="left"/>
      <w:lvlText w:val="●"/>
      <w:numFmt w:val="bullet"/>
      <w:pPr>
        <w:pBdr/>
        <w:tabs>
          <w:tab w:val="num" w:leader="none" w:pos="0"/>
        </w:tabs>
        <w:spacing/>
        <w:ind w:hanging="360" w:left="465"/>
      </w:pPr>
      <w:rPr>
        <w:rFonts w:hint="default" w:ascii="Arial" w:hAnsi="Arial" w:cs="Arial"/>
        <w:b w:val="0"/>
        <w:bCs w:val="0"/>
        <w:i w:val="0"/>
        <w:iCs w:val="0"/>
        <w:caps w:val="0"/>
        <w:smallCaps w:val="0"/>
        <w:strike w:val="0"/>
        <w:color w:val="000000"/>
        <w:position w:val="0"/>
        <w:sz w:val="26"/>
        <w:szCs w:val="22"/>
        <w:u w:val="none"/>
        <w:vertAlign w:val="baseline"/>
      </w:rPr>
      <w:start w:val="1"/>
      <w:suff w:val="tab"/>
    </w:lvl>
    <w:lvl w:ilvl="1">
      <w:isLgl w:val="true"/>
      <w:lvlJc w:val="left"/>
      <w:lvlText w:val="○"/>
      <w:numFmt w:val="bullet"/>
      <w:pPr>
        <w:pBdr/>
        <w:tabs>
          <w:tab w:val="num" w:leader="none" w:pos="0"/>
        </w:tabs>
        <w:spacing/>
        <w:ind w:hanging="360" w:left="87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5">
    <w:nsid w:val="0FE20D27"/>
    <w:lvl w:ilvl="0">
      <w:isLgl w:val="true"/>
      <w:lvlJc w:val="left"/>
      <w:lvlText w:val="%1."/>
      <w:numFmt w:val="decimal"/>
      <w:pPr>
        <w:pBdr/>
        <w:tabs>
          <w:tab w:val="num" w:leader="none" w:pos="0"/>
        </w:tabs>
        <w:spacing/>
        <w:ind w:hanging="360" w:left="480"/>
      </w:pPr>
      <w:rPr>
        <w:rFonts w:ascii="Times New Roman" w:hAnsi="Times New Roman" w:eastAsia="Arial" w:cs="Arial"/>
        <w:b w:val="0"/>
        <w:bCs w:val="0"/>
        <w:i w:val="0"/>
        <w:iCs w:val="0"/>
        <w:caps w:val="0"/>
        <w:smallCaps w:val="0"/>
        <w:strike w:val="0"/>
        <w:color w:val="000000"/>
        <w:position w:val="0"/>
        <w:sz w:val="26"/>
        <w:szCs w:val="22"/>
        <w:u w:val="none"/>
        <w:vertAlign w:val="baseline"/>
      </w:rPr>
      <w:start w:val="1"/>
      <w:suff w:val="tab"/>
    </w:lvl>
    <w:lvl w:ilvl="1">
      <w:isLgl w:val="true"/>
      <w:lvlJc w:val="left"/>
      <w:lvlText w:val="○"/>
      <w:numFmt w:val="bullet"/>
      <w:pPr>
        <w:pBdr/>
        <w:tabs>
          <w:tab w:val="num" w:leader="none" w:pos="0"/>
        </w:tabs>
        <w:spacing/>
        <w:ind w:hanging="360" w:left="14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6">
    <w:nsid w:val="1AA2772B"/>
    <w:lvl w:ilvl="0">
      <w:isLgl w:val="true"/>
      <w:lvlJc w:val="left"/>
      <w:lvlText w:val="●"/>
      <w:numFmt w:val="bullet"/>
      <w:pPr>
        <w:pBdr/>
        <w:tabs>
          <w:tab w:val="num" w:leader="none" w:pos="0"/>
        </w:tabs>
        <w:spacing/>
        <w:ind w:hanging="360" w:left="465"/>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1">
      <w:isLgl w:val="true"/>
      <w:lvlJc w:val="left"/>
      <w:lvlText w:val="○"/>
      <w:numFmt w:val="bullet"/>
      <w:pPr>
        <w:pBdr/>
        <w:tabs>
          <w:tab w:val="num" w:leader="none" w:pos="0"/>
        </w:tabs>
        <w:spacing/>
        <w:ind w:hanging="360" w:left="870"/>
      </w:pPr>
      <w:rPr>
        <w:rFonts w:hint="default" w:ascii="Arial" w:hAnsi="Arial" w:cs="Arial"/>
        <w:b w:val="0"/>
        <w:bCs w:val="0"/>
        <w:i w:val="0"/>
        <w:iCs w:val="0"/>
        <w:caps w:val="0"/>
        <w:smallCaps w:val="0"/>
        <w:strike w:val="0"/>
        <w:color w:val="000000"/>
        <w:position w:val="0"/>
        <w:sz w:val="26"/>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7">
    <w:nsid w:val="1B677A56"/>
    <w:lvl w:ilvl="0">
      <w:isLgl w:val="true"/>
      <w:lvlJc w:val="left"/>
      <w:lvlText w:val="●"/>
      <w:numFmt w:val="bullet"/>
      <w:pPr>
        <w:pBdr/>
        <w:tabs>
          <w:tab w:val="num" w:leader="none" w:pos="0"/>
        </w:tabs>
        <w:spacing/>
        <w:ind w:hanging="360" w:left="465"/>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1">
      <w:isLgl w:val="true"/>
      <w:lvlJc w:val="left"/>
      <w:lvlText w:val="○"/>
      <w:numFmt w:val="bullet"/>
      <w:pPr>
        <w:pBdr/>
        <w:tabs>
          <w:tab w:val="num" w:leader="none" w:pos="0"/>
        </w:tabs>
        <w:spacing/>
        <w:ind w:hanging="360" w:left="870"/>
      </w:pPr>
      <w:rPr>
        <w:rFonts w:hint="default" w:ascii="Arial" w:hAnsi="Arial" w:cs="Arial"/>
        <w:b w:val="0"/>
        <w:bCs w:val="0"/>
        <w:i w:val="0"/>
        <w:iCs w:val="0"/>
        <w:caps w:val="0"/>
        <w:smallCaps w:val="0"/>
        <w:strike w:val="0"/>
        <w:color w:val="000000"/>
        <w:position w:val="0"/>
        <w:sz w:val="26"/>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8">
    <w:nsid w:val="1BF66FF5"/>
    <w:lvl w:ilvl="0">
      <w:isLgl w:val="true"/>
      <w:lvlJc w:val="left"/>
      <w:lvlText w:val="%1."/>
      <w:numFmt w:val="decimal"/>
      <w:pPr>
        <w:pBdr/>
        <w:tabs>
          <w:tab w:val="num" w:leader="none" w:pos="0"/>
        </w:tabs>
        <w:spacing/>
        <w:ind w:hanging="360" w:left="480"/>
      </w:pPr>
      <w:rPr>
        <w:rFonts w:ascii="Times New Roman" w:hAnsi="Times New Roman" w:eastAsia="Arial" w:cs="Arial"/>
        <w:b w:val="0"/>
        <w:bCs w:val="0"/>
        <w:i w:val="0"/>
        <w:iCs w:val="0"/>
        <w:caps w:val="0"/>
        <w:smallCaps w:val="0"/>
        <w:strike w:val="0"/>
        <w:color w:val="000000"/>
        <w:position w:val="0"/>
        <w:sz w:val="26"/>
        <w:szCs w:val="22"/>
        <w:u w:val="none"/>
        <w:vertAlign w:val="baseline"/>
      </w:rPr>
      <w:start w:val="1"/>
      <w:suff w:val="tab"/>
    </w:lvl>
    <w:lvl w:ilvl="1">
      <w:isLgl w:val="true"/>
      <w:lvlJc w:val="left"/>
      <w:lvlText w:val="○"/>
      <w:numFmt w:val="bullet"/>
      <w:pPr>
        <w:pBdr/>
        <w:tabs>
          <w:tab w:val="num" w:leader="none" w:pos="0"/>
        </w:tabs>
        <w:spacing/>
        <w:ind w:hanging="360" w:left="14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9">
    <w:nsid w:val="265845A6"/>
    <w:lvl w:ilvl="0">
      <w:isLgl w:val="true"/>
      <w:lvlJc w:val="left"/>
      <w:lvlText w:val="●"/>
      <w:numFmt w:val="bullet"/>
      <w:pPr>
        <w:pBdr/>
        <w:tabs>
          <w:tab w:val="num" w:leader="none" w:pos="0"/>
        </w:tabs>
        <w:spacing/>
        <w:ind w:hanging="360" w:left="465"/>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1">
      <w:isLgl w:val="true"/>
      <w:lvlJc w:val="left"/>
      <w:lvlText w:val="○"/>
      <w:numFmt w:val="bullet"/>
      <w:pPr>
        <w:pBdr/>
        <w:tabs>
          <w:tab w:val="num" w:leader="none" w:pos="0"/>
        </w:tabs>
        <w:spacing/>
        <w:ind w:hanging="360" w:left="870"/>
      </w:pPr>
      <w:rPr>
        <w:rFonts w:hint="default" w:ascii="Arial" w:hAnsi="Arial" w:cs="Arial"/>
        <w:b w:val="0"/>
        <w:bCs w:val="0"/>
        <w:i w:val="0"/>
        <w:iCs w:val="0"/>
        <w:caps w:val="0"/>
        <w:smallCaps w:val="0"/>
        <w:strike w:val="0"/>
        <w:color w:val="000000"/>
        <w:position w:val="0"/>
        <w:sz w:val="26"/>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10">
    <w:nsid w:val="492D04C8"/>
    <w:lvl w:ilvl="0">
      <w:isLgl w:val="true"/>
      <w:lvlJc w:val="left"/>
      <w:lvlText w:val="%1."/>
      <w:numFmt w:val="decimal"/>
      <w:pPr>
        <w:pBdr/>
        <w:tabs>
          <w:tab w:val="num" w:leader="none" w:pos="0"/>
        </w:tabs>
        <w:spacing/>
        <w:ind w:hanging="360" w:left="480"/>
      </w:pPr>
      <w:rPr>
        <w:rFonts w:eastAsia="Arial" w:cs="Arial"/>
        <w:b w:val="0"/>
        <w:bCs w:val="0"/>
        <w:i w:val="0"/>
        <w:iCs w:val="0"/>
        <w:caps w:val="0"/>
        <w:smallCaps w:val="0"/>
        <w:strike w:val="0"/>
        <w:color w:val="000000"/>
        <w:position w:val="0"/>
        <w:sz w:val="22"/>
        <w:szCs w:val="22"/>
        <w:u w:val="none"/>
        <w:vertAlign w:val="baseline"/>
      </w:rPr>
      <w:start w:val="1"/>
      <w:suff w:val="tab"/>
    </w:lvl>
    <w:lvl w:ilvl="1">
      <w:isLgl w:val="true"/>
      <w:lvlJc w:val="left"/>
      <w:lvlText w:val="○"/>
      <w:numFmt w:val="bullet"/>
      <w:pPr>
        <w:pBdr/>
        <w:tabs>
          <w:tab w:val="num" w:leader="none" w:pos="0"/>
        </w:tabs>
        <w:spacing/>
        <w:ind w:hanging="360" w:left="885"/>
      </w:pPr>
      <w:rPr>
        <w:rFonts w:hint="default" w:ascii="Arial" w:hAnsi="Arial" w:cs="Arial"/>
        <w:b w:val="0"/>
        <w:bCs w:val="0"/>
        <w:i w:val="0"/>
        <w:iCs w:val="0"/>
        <w:caps w:val="0"/>
        <w:smallCaps w:val="0"/>
        <w:strike w:val="0"/>
        <w:color w:val="000000"/>
        <w:position w:val="0"/>
        <w:sz w:val="26"/>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11">
    <w:nsid w:val="550F5C37"/>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12">
    <w:nsid w:val="58B43EF5"/>
    <w:lvl w:ilvl="0">
      <w:isLgl w:val="true"/>
      <w:lvlJc w:val="left"/>
      <w:lvlText w:val="●"/>
      <w:numFmt w:val="bullet"/>
      <w:pPr>
        <w:pBdr/>
        <w:tabs>
          <w:tab w:val="num" w:leader="none" w:pos="0"/>
        </w:tabs>
        <w:spacing/>
        <w:ind w:hanging="360" w:left="465"/>
      </w:pPr>
      <w:rPr>
        <w:rFonts w:hint="default" w:ascii="Arial" w:hAnsi="Arial" w:cs="Arial"/>
        <w:b w:val="0"/>
        <w:bCs w:val="0"/>
        <w:i w:val="0"/>
        <w:iCs w:val="0"/>
        <w:caps w:val="0"/>
        <w:smallCaps w:val="0"/>
        <w:strike w:val="0"/>
        <w:color w:val="000000"/>
        <w:position w:val="0"/>
        <w:sz w:val="26"/>
        <w:szCs w:val="22"/>
        <w:u w:val="none"/>
        <w:vertAlign w:val="baseline"/>
      </w:rPr>
      <w:start w:val="1"/>
      <w:suff w:val="tab"/>
    </w:lvl>
    <w:lvl w:ilvl="1">
      <w:isLgl w:val="true"/>
      <w:lvlJc w:val="left"/>
      <w:lvlText w:val="○"/>
      <w:numFmt w:val="bullet"/>
      <w:pPr>
        <w:pBdr/>
        <w:tabs>
          <w:tab w:val="num" w:leader="none" w:pos="0"/>
        </w:tabs>
        <w:spacing/>
        <w:ind w:hanging="360" w:left="87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13">
    <w:nsid w:val="631C76CD"/>
    <w:lvl w:ilvl="0">
      <w:isLgl w:val="true"/>
      <w:lvlJc w:val="left"/>
      <w:lvlText w:val="●"/>
      <w:numFmt w:val="bullet"/>
      <w:pPr>
        <w:pBdr/>
        <w:tabs>
          <w:tab w:val="num" w:leader="none" w:pos="0"/>
        </w:tabs>
        <w:spacing/>
        <w:ind w:hanging="360" w:left="465"/>
      </w:pPr>
      <w:rPr>
        <w:rFonts w:hint="default" w:ascii="Arial" w:hAnsi="Arial" w:cs="Arial"/>
        <w:b w:val="0"/>
        <w:bCs w:val="0"/>
        <w:i w:val="0"/>
        <w:iCs w:val="0"/>
        <w:caps w:val="0"/>
        <w:smallCaps w:val="0"/>
        <w:strike w:val="0"/>
        <w:color w:val="000000"/>
        <w:position w:val="0"/>
        <w:sz w:val="26"/>
        <w:szCs w:val="22"/>
        <w:u w:val="none"/>
        <w:vertAlign w:val="baseline"/>
      </w:rPr>
      <w:start w:val="1"/>
      <w:suff w:val="tab"/>
    </w:lvl>
    <w:lvl w:ilvl="1">
      <w:isLgl w:val="true"/>
      <w:lvlJc w:val="left"/>
      <w:lvlText w:val="○"/>
      <w:numFmt w:val="bullet"/>
      <w:pPr>
        <w:pBdr/>
        <w:tabs>
          <w:tab w:val="num" w:leader="none" w:pos="0"/>
        </w:tabs>
        <w:spacing/>
        <w:ind w:hanging="360" w:left="14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14">
    <w:nsid w:val="640600C2"/>
    <w:lvl w:ilvl="0">
      <w:isLgl w:val="true"/>
      <w:lvlJc w:val="left"/>
      <w:lvlText w:val="%1."/>
      <w:numFmt w:val="decimal"/>
      <w:pPr>
        <w:pBdr/>
        <w:tabs>
          <w:tab w:val="num" w:leader="none" w:pos="0"/>
        </w:tabs>
        <w:spacing/>
        <w:ind w:hanging="360" w:left="480"/>
      </w:pPr>
      <w:rPr>
        <w:rFonts w:ascii="Times New Roman" w:hAnsi="Times New Roman" w:eastAsia="Arial" w:cs="Arial"/>
        <w:b w:val="0"/>
        <w:bCs w:val="0"/>
        <w:i w:val="0"/>
        <w:iCs w:val="0"/>
        <w:caps w:val="0"/>
        <w:smallCaps w:val="0"/>
        <w:strike w:val="0"/>
        <w:color w:val="000000"/>
        <w:position w:val="0"/>
        <w:sz w:val="26"/>
        <w:szCs w:val="22"/>
        <w:u w:val="none"/>
        <w:vertAlign w:val="baseline"/>
      </w:rPr>
      <w:start w:val="1"/>
      <w:suff w:val="tab"/>
    </w:lvl>
    <w:lvl w:ilvl="1">
      <w:isLgl w:val="true"/>
      <w:lvlJc w:val="left"/>
      <w:lvlText w:val="○"/>
      <w:numFmt w:val="bullet"/>
      <w:pPr>
        <w:pBdr/>
        <w:tabs>
          <w:tab w:val="num" w:leader="none" w:pos="0"/>
        </w:tabs>
        <w:spacing/>
        <w:ind w:hanging="360" w:left="14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15">
    <w:nsid w:val="66F81382"/>
    <w:lvl w:ilvl="0">
      <w:isLgl w:val="true"/>
      <w:lvlJc w:val="left"/>
      <w:lvlText w:val="%1."/>
      <w:numFmt w:val="decimal"/>
      <w:pPr>
        <w:pBdr/>
        <w:tabs>
          <w:tab w:val="num" w:leader="none" w:pos="0"/>
        </w:tabs>
        <w:spacing/>
        <w:ind w:hanging="360" w:left="480"/>
      </w:pPr>
      <w:rPr>
        <w:rFonts w:eastAsia="Arial" w:cs="Arial"/>
        <w:b w:val="0"/>
        <w:bCs w:val="0"/>
        <w:i w:val="0"/>
        <w:iCs w:val="0"/>
        <w:caps w:val="0"/>
        <w:smallCaps w:val="0"/>
        <w:strike w:val="0"/>
        <w:color w:val="000000"/>
        <w:position w:val="0"/>
        <w:sz w:val="22"/>
        <w:szCs w:val="22"/>
        <w:u w:val="none"/>
        <w:vertAlign w:val="baseline"/>
      </w:rPr>
      <w:start w:val="1"/>
      <w:suff w:val="tab"/>
    </w:lvl>
    <w:lvl w:ilvl="1">
      <w:isLgl w:val="true"/>
      <w:lvlJc w:val="left"/>
      <w:lvlText w:val="○"/>
      <w:numFmt w:val="bullet"/>
      <w:pPr>
        <w:pBdr/>
        <w:tabs>
          <w:tab w:val="num" w:leader="none" w:pos="0"/>
        </w:tabs>
        <w:spacing/>
        <w:ind w:hanging="360" w:left="885"/>
      </w:pPr>
      <w:rPr>
        <w:rFonts w:hint="default" w:ascii="Arial" w:hAnsi="Arial" w:cs="Arial"/>
        <w:b w:val="0"/>
        <w:bCs w:val="0"/>
        <w:i w:val="0"/>
        <w:iCs w:val="0"/>
        <w:caps w:val="0"/>
        <w:smallCaps w:val="0"/>
        <w:strike w:val="0"/>
        <w:color w:val="000000"/>
        <w:position w:val="0"/>
        <w:sz w:val="26"/>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16">
    <w:nsid w:val="67557E11"/>
    <w:lvl w:ilvl="0">
      <w:isLgl w:val="true"/>
      <w:lvlJc w:val="left"/>
      <w:lvlText w:val="●"/>
      <w:numFmt w:val="bullet"/>
      <w:pPr>
        <w:pBdr/>
        <w:tabs>
          <w:tab w:val="num" w:leader="none" w:pos="0"/>
        </w:tabs>
        <w:spacing/>
        <w:ind w:hanging="360" w:left="465"/>
      </w:pPr>
      <w:rPr>
        <w:rFonts w:hint="default" w:ascii="Arial" w:hAnsi="Arial" w:cs="Arial"/>
        <w:b w:val="0"/>
        <w:bCs w:val="0"/>
        <w:i w:val="0"/>
        <w:iCs w:val="0"/>
        <w:caps w:val="0"/>
        <w:smallCaps w:val="0"/>
        <w:strike w:val="0"/>
        <w:color w:val="000000"/>
        <w:position w:val="0"/>
        <w:sz w:val="26"/>
        <w:szCs w:val="22"/>
        <w:u w:val="none"/>
        <w:vertAlign w:val="baseline"/>
      </w:rPr>
      <w:start w:val="1"/>
      <w:suff w:val="tab"/>
    </w:lvl>
    <w:lvl w:ilvl="1">
      <w:isLgl w:val="true"/>
      <w:lvlJc w:val="left"/>
      <w:lvlText w:val="○"/>
      <w:numFmt w:val="bullet"/>
      <w:pPr>
        <w:pBdr/>
        <w:tabs>
          <w:tab w:val="num" w:leader="none" w:pos="0"/>
        </w:tabs>
        <w:spacing/>
        <w:ind w:hanging="360" w:left="14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17">
    <w:nsid w:val="694424F0"/>
    <w:lvl w:ilvl="0">
      <w:isLgl w:val="true"/>
      <w:lvlJc w:val="left"/>
      <w:lvlText w:val="●"/>
      <w:numFmt w:val="bullet"/>
      <w:pPr>
        <w:pBdr/>
        <w:tabs>
          <w:tab w:val="num" w:leader="none" w:pos="0"/>
        </w:tabs>
        <w:spacing/>
        <w:ind w:hanging="360" w:left="465"/>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1">
      <w:isLgl w:val="true"/>
      <w:lvlJc w:val="left"/>
      <w:lvlText w:val="○"/>
      <w:numFmt w:val="bullet"/>
      <w:pPr>
        <w:pBdr/>
        <w:tabs>
          <w:tab w:val="num" w:leader="none" w:pos="0"/>
        </w:tabs>
        <w:spacing/>
        <w:ind w:hanging="360" w:left="870"/>
      </w:pPr>
      <w:rPr>
        <w:rFonts w:hint="default" w:ascii="Arial" w:hAnsi="Arial" w:cs="Arial"/>
        <w:b w:val="0"/>
        <w:bCs w:val="0"/>
        <w:i w:val="0"/>
        <w:iCs w:val="0"/>
        <w:caps w:val="0"/>
        <w:smallCaps w:val="0"/>
        <w:strike w:val="0"/>
        <w:color w:val="000000"/>
        <w:position w:val="0"/>
        <w:sz w:val="26"/>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18">
    <w:nsid w:val="6BC649C0"/>
    <w:lvl w:ilvl="0">
      <w:isLgl w:val="true"/>
      <w:lvlJc w:val="left"/>
      <w:lvlText w:val="●"/>
      <w:numFmt w:val="bullet"/>
      <w:pPr>
        <w:pBdr/>
        <w:tabs>
          <w:tab w:val="num" w:leader="none" w:pos="0"/>
        </w:tabs>
        <w:spacing/>
        <w:ind w:hanging="360" w:left="465"/>
      </w:pPr>
      <w:rPr>
        <w:rFonts w:hint="default" w:ascii="Arial" w:hAnsi="Arial" w:cs="Arial"/>
        <w:b w:val="0"/>
        <w:bCs w:val="0"/>
        <w:i w:val="0"/>
        <w:iCs w:val="0"/>
        <w:caps w:val="0"/>
        <w:smallCaps w:val="0"/>
        <w:strike w:val="0"/>
        <w:color w:val="000000"/>
        <w:position w:val="0"/>
        <w:sz w:val="26"/>
        <w:szCs w:val="22"/>
        <w:u w:val="none"/>
        <w:vertAlign w:val="baseline"/>
      </w:rPr>
      <w:start w:val="1"/>
      <w:suff w:val="tab"/>
    </w:lvl>
    <w:lvl w:ilvl="1">
      <w:isLgl w:val="true"/>
      <w:lvlJc w:val="left"/>
      <w:lvlText w:val="○"/>
      <w:numFmt w:val="bullet"/>
      <w:pPr>
        <w:pBdr/>
        <w:tabs>
          <w:tab w:val="num" w:leader="none" w:pos="0"/>
        </w:tabs>
        <w:spacing/>
        <w:ind w:hanging="360" w:left="14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19">
    <w:nsid w:val="6EA87222"/>
    <w:lvl w:ilvl="0">
      <w:isLgl w:val="true"/>
      <w:lvlJc w:val="left"/>
      <w:lvlText w:val="●"/>
      <w:numFmt w:val="bullet"/>
      <w:pPr>
        <w:pBdr/>
        <w:tabs>
          <w:tab w:val="num" w:leader="none" w:pos="0"/>
        </w:tabs>
        <w:spacing/>
        <w:ind w:hanging="360" w:left="465"/>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1">
      <w:isLgl w:val="true"/>
      <w:lvlJc w:val="left"/>
      <w:lvlText w:val="○"/>
      <w:numFmt w:val="bullet"/>
      <w:pPr>
        <w:pBdr/>
        <w:tabs>
          <w:tab w:val="num" w:leader="none" w:pos="0"/>
        </w:tabs>
        <w:spacing/>
        <w:ind w:hanging="360" w:left="870"/>
      </w:pPr>
      <w:rPr>
        <w:rFonts w:hint="default" w:ascii="Arial" w:hAnsi="Arial" w:cs="Arial"/>
        <w:b w:val="0"/>
        <w:bCs w:val="0"/>
        <w:i w:val="0"/>
        <w:iCs w:val="0"/>
        <w:caps w:val="0"/>
        <w:smallCaps w:val="0"/>
        <w:strike w:val="0"/>
        <w:color w:val="000000"/>
        <w:position w:val="0"/>
        <w:sz w:val="26"/>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20">
    <w:nsid w:val="71A75C6D"/>
    <w:lvl w:ilvl="0">
      <w:isLgl w:val="true"/>
      <w:lvlJc w:val="left"/>
      <w:lvlText w:val="%1."/>
      <w:numFmt w:val="decimal"/>
      <w:pPr>
        <w:pBdr/>
        <w:tabs>
          <w:tab w:val="num" w:leader="none" w:pos="0"/>
        </w:tabs>
        <w:spacing/>
        <w:ind w:hanging="360" w:left="480"/>
      </w:pPr>
      <w:rPr>
        <w:rFonts w:eastAsia="Arial" w:cs="Arial"/>
        <w:b w:val="0"/>
        <w:bCs w:val="0"/>
        <w:i w:val="0"/>
        <w:iCs w:val="0"/>
        <w:caps w:val="0"/>
        <w:smallCaps w:val="0"/>
        <w:strike w:val="0"/>
        <w:color w:val="000000"/>
        <w:position w:val="0"/>
        <w:sz w:val="22"/>
        <w:szCs w:val="22"/>
        <w:u w:val="none"/>
        <w:vertAlign w:val="baseline"/>
      </w:rPr>
      <w:start w:val="1"/>
      <w:suff w:val="tab"/>
    </w:lvl>
    <w:lvl w:ilvl="1">
      <w:isLgl w:val="true"/>
      <w:lvlJc w:val="left"/>
      <w:lvlText w:val="○"/>
      <w:numFmt w:val="bullet"/>
      <w:pPr>
        <w:pBdr/>
        <w:tabs>
          <w:tab w:val="num" w:leader="none" w:pos="0"/>
        </w:tabs>
        <w:spacing/>
        <w:ind w:hanging="360" w:left="885"/>
      </w:pPr>
      <w:rPr>
        <w:rFonts w:hint="default" w:ascii="Arial" w:hAnsi="Arial" w:cs="Arial"/>
        <w:b w:val="0"/>
        <w:bCs w:val="0"/>
        <w:i w:val="0"/>
        <w:iCs w:val="0"/>
        <w:caps w:val="0"/>
        <w:smallCaps w:val="0"/>
        <w:strike w:val="0"/>
        <w:color w:val="000000"/>
        <w:position w:val="0"/>
        <w:sz w:val="26"/>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21">
    <w:nsid w:val="39D0A99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0E2EC48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59564F20"/>
    <w:lvl w:ilvl="0">
      <w:isLgl w:val="true"/>
      <w:lvlJc w:val="left"/>
      <w:lvlText w:val="●"/>
      <w:numFmt w:val="bullet"/>
      <w:pPr>
        <w:pBdr/>
        <w:spacing/>
        <w:ind w:hanging="360" w:left="709"/>
      </w:pPr>
      <w:rPr>
        <w:rFonts w:ascii="Arial" w:hAnsi="Arial" w:cs="Arial"/>
        <w:b w:val="0"/>
        <w:bCs w:val="0"/>
        <w:i w:val="0"/>
        <w:iCs w:val="0"/>
        <w:caps w:val="0"/>
        <w:smallCaps w:val="0"/>
        <w:strike w:val="0"/>
        <w:color w:val="000000"/>
        <w:position w:val="0"/>
        <w:u w:val="none"/>
        <w:vertAlign w:val="baselin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087293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5E7BB91E"/>
    <w:lvl w:ilvl="0">
      <w:isLgl w:val="true"/>
      <w:lvlJc w:val="left"/>
      <w:lvlText w:val="●"/>
      <w:numFmt w:val="bullet"/>
      <w:pPr>
        <w:pBdr/>
        <w:spacing/>
        <w:ind w:hanging="360" w:left="1174"/>
      </w:pPr>
      <w:rPr>
        <w:rFonts w:ascii="Arial" w:hAnsi="Arial" w:cs="Arial"/>
        <w:b w:val="0"/>
        <w:bCs w:val="0"/>
        <w:i w:val="0"/>
        <w:iCs w:val="0"/>
        <w:caps w:val="0"/>
        <w:smallCaps w:val="0"/>
        <w:strike w:val="0"/>
        <w:color w:val="000000"/>
        <w:position w:val="0"/>
        <w:u w:val="none"/>
        <w:vertAlign w:val="baseline"/>
      </w:rPr>
      <w:start w:val="1"/>
      <w:suff w:val="tab"/>
    </w:lvl>
    <w:lvl w:ilvl="1">
      <w:isLgl w:val="false"/>
      <w:lvlJc w:val="left"/>
      <w:lvlText w:val="o"/>
      <w:numFmt w:val="bullet"/>
      <w:pPr>
        <w:pBdr/>
        <w:spacing/>
        <w:ind w:hanging="360" w:left="1905"/>
      </w:pPr>
      <w:rPr>
        <w:rFonts w:hint="default" w:ascii="Courier New" w:hAnsi="Courier New" w:eastAsia="Courier New" w:cs="Courier New"/>
      </w:rPr>
      <w:start w:val="1"/>
      <w:suff w:val="tab"/>
    </w:lvl>
    <w:lvl w:ilvl="2">
      <w:isLgl w:val="false"/>
      <w:lvlJc w:val="left"/>
      <w:lvlText w:val="§"/>
      <w:numFmt w:val="bullet"/>
      <w:pPr>
        <w:pBdr/>
        <w:spacing/>
        <w:ind w:hanging="360" w:left="2625"/>
      </w:pPr>
      <w:rPr>
        <w:rFonts w:hint="default" w:ascii="Wingdings" w:hAnsi="Wingdings" w:eastAsia="Wingdings" w:cs="Wingdings"/>
      </w:rPr>
      <w:start w:val="1"/>
      <w:suff w:val="tab"/>
    </w:lvl>
    <w:lvl w:ilvl="3">
      <w:isLgl w:val="false"/>
      <w:lvlJc w:val="left"/>
      <w:lvlText w:val="·"/>
      <w:numFmt w:val="bullet"/>
      <w:pPr>
        <w:pBdr/>
        <w:spacing/>
        <w:ind w:hanging="360" w:left="3345"/>
      </w:pPr>
      <w:rPr>
        <w:rFonts w:hint="default" w:ascii="Symbol" w:hAnsi="Symbol" w:eastAsia="Symbol" w:cs="Symbol"/>
      </w:rPr>
      <w:start w:val="1"/>
      <w:suff w:val="tab"/>
    </w:lvl>
    <w:lvl w:ilvl="4">
      <w:isLgl w:val="false"/>
      <w:lvlJc w:val="left"/>
      <w:lvlText w:val="o"/>
      <w:numFmt w:val="bullet"/>
      <w:pPr>
        <w:pBdr/>
        <w:spacing/>
        <w:ind w:hanging="360" w:left="4065"/>
      </w:pPr>
      <w:rPr>
        <w:rFonts w:hint="default" w:ascii="Courier New" w:hAnsi="Courier New" w:eastAsia="Courier New" w:cs="Courier New"/>
      </w:rPr>
      <w:start w:val="1"/>
      <w:suff w:val="tab"/>
    </w:lvl>
    <w:lvl w:ilvl="5">
      <w:isLgl w:val="false"/>
      <w:lvlJc w:val="left"/>
      <w:lvlText w:val="§"/>
      <w:numFmt w:val="bullet"/>
      <w:pPr>
        <w:pBdr/>
        <w:spacing/>
        <w:ind w:hanging="360" w:left="4785"/>
      </w:pPr>
      <w:rPr>
        <w:rFonts w:hint="default" w:ascii="Wingdings" w:hAnsi="Wingdings" w:eastAsia="Wingdings" w:cs="Wingdings"/>
      </w:rPr>
      <w:start w:val="1"/>
      <w:suff w:val="tab"/>
    </w:lvl>
    <w:lvl w:ilvl="6">
      <w:isLgl w:val="false"/>
      <w:lvlJc w:val="left"/>
      <w:lvlText w:val="·"/>
      <w:numFmt w:val="bullet"/>
      <w:pPr>
        <w:pBdr/>
        <w:spacing/>
        <w:ind w:hanging="360" w:left="5505"/>
      </w:pPr>
      <w:rPr>
        <w:rFonts w:hint="default" w:ascii="Symbol" w:hAnsi="Symbol" w:eastAsia="Symbol" w:cs="Symbol"/>
      </w:rPr>
      <w:start w:val="1"/>
      <w:suff w:val="tab"/>
    </w:lvl>
    <w:lvl w:ilvl="7">
      <w:isLgl w:val="false"/>
      <w:lvlJc w:val="left"/>
      <w:lvlText w:val="o"/>
      <w:numFmt w:val="bullet"/>
      <w:pPr>
        <w:pBdr/>
        <w:spacing/>
        <w:ind w:hanging="360" w:left="6225"/>
      </w:pPr>
      <w:rPr>
        <w:rFonts w:hint="default" w:ascii="Courier New" w:hAnsi="Courier New" w:eastAsia="Courier New" w:cs="Courier New"/>
      </w:rPr>
      <w:start w:val="1"/>
      <w:suff w:val="tab"/>
    </w:lvl>
    <w:lvl w:ilvl="8">
      <w:isLgl w:val="false"/>
      <w:lvlJc w:val="left"/>
      <w:lvlText w:val="§"/>
      <w:numFmt w:val="bullet"/>
      <w:pPr>
        <w:pBdr/>
        <w:spacing/>
        <w:ind w:hanging="360" w:left="6945"/>
      </w:pPr>
      <w:rPr>
        <w:rFonts w:hint="default" w:ascii="Wingdings" w:hAnsi="Wingdings" w:eastAsia="Wingdings" w:cs="Wingdings"/>
      </w:rPr>
      <w:start w:val="1"/>
      <w:suff w:val="tab"/>
    </w:lvl>
  </w:abstractNum>
  <w:abstractNum w:abstractNumId="26">
    <w:nsid w:val="6D13574A"/>
    <w:lvl w:ilvl="0">
      <w:isLgl w:val="false"/>
      <w:lvlJc w:val="left"/>
      <w:lvlText w:val="CHƯƠNG %1. "/>
      <w:numFmt w:val="upperRoman"/>
      <w:pPr>
        <w:pBdr/>
        <w:spacing/>
        <w:ind w:hanging="360" w:left="709"/>
      </w:pPr>
      <w:pStyle w:val="1038"/>
      <w:rPr>
        <w:rFonts w:ascii="Times New Roman" w:hAnsi="Times New Roman" w:eastAsia="Times New Roman" w:cs="Times New Roman"/>
        <w:b/>
      </w:rPr>
      <w:start w:val="1"/>
      <w:suff w:val="tab"/>
    </w:lvl>
    <w:lvl w:ilvl="1">
      <w:isLgl w:val="false"/>
      <w:lvlJc w:val="left"/>
      <w:lvlText w:val="%1I.%2."/>
      <w:numFmt w:val="decimal"/>
      <w:pPr>
        <w:pBdr/>
        <w:spacing/>
        <w:ind w:hanging="360" w:left="1069"/>
      </w:pPr>
      <w:pStyle w:val="1039"/>
      <w:rPr>
        <w:rFonts w:ascii="Times New Roman" w:hAnsi="Times New Roman" w:eastAsia="Times New Roman" w:cs="Times New Roman"/>
      </w:rPr>
      <w:start w:val="1"/>
      <w:suff w:val="space"/>
    </w:lvl>
    <w:lvl w:ilvl="2">
      <w:isLgl w:val="false"/>
      <w:lvlJc w:val="left"/>
      <w:lvlText w:val="%3)"/>
      <w:numFmt w:val="lowerLetter"/>
      <w:pPr>
        <w:pBdr/>
        <w:spacing/>
        <w:ind w:hanging="360" w:left="1429"/>
      </w:pPr>
      <w:pStyle w:val="1040"/>
      <w:rPr>
        <w:rFonts w:ascii="Times New Roman" w:hAnsi="Times New Roman" w:eastAsia="Times New Roman" w:cs="Times New Roman"/>
      </w:rPr>
      <w:start w:val="1"/>
      <w:suff w:val="space"/>
    </w:lvl>
    <w:lvl w:ilvl="3">
      <w:isLgl w:val="false"/>
      <w:lvlJc w:val="left"/>
      <w:lvlText w:val="%4)"/>
      <w:numFmt w:val="decimal"/>
      <w:pPr>
        <w:pBdr/>
        <w:spacing/>
        <w:ind w:hanging="360" w:left="1789"/>
      </w:pPr>
      <w:pStyle w:val="1041"/>
      <w:rPr/>
      <w:start w:val="1"/>
      <w:suff w:val="tab"/>
    </w:lvl>
    <w:lvl w:ilvl="4">
      <w:isLgl w:val="false"/>
      <w:lvlJc w:val="left"/>
      <w:lvlText w:val="%5)"/>
      <w:numFmt w:val="lowerLetter"/>
      <w:pPr>
        <w:pBdr/>
        <w:spacing/>
        <w:ind w:hanging="360" w:left="2149"/>
      </w:pPr>
      <w:pStyle w:val="1042"/>
      <w:rPr/>
      <w:start w:val="1"/>
      <w:suff w:val="tab"/>
    </w:lvl>
    <w:lvl w:ilvl="5">
      <w:isLgl w:val="false"/>
      <w:lvlJc w:val="left"/>
      <w:lvlText w:val="%6)"/>
      <w:numFmt w:val="lowerRoman"/>
      <w:pPr>
        <w:pBdr/>
        <w:spacing/>
        <w:ind w:hanging="360" w:left="2509"/>
      </w:pPr>
      <w:pStyle w:val="1043"/>
      <w:rPr/>
      <w:start w:val="1"/>
      <w:suff w:val="tab"/>
    </w:lvl>
    <w:lvl w:ilvl="6">
      <w:isLgl w:val="false"/>
      <w:lvlJc w:val="left"/>
      <w:lvlText w:val="%7)"/>
      <w:numFmt w:val="decimal"/>
      <w:pPr>
        <w:pBdr/>
        <w:spacing/>
        <w:ind w:hanging="360" w:left="2869"/>
      </w:pPr>
      <w:pStyle w:val="1044"/>
      <w:rPr/>
      <w:start w:val="1"/>
      <w:suff w:val="tab"/>
    </w:lvl>
    <w:lvl w:ilvl="7">
      <w:isLgl w:val="false"/>
      <w:lvlJc w:val="left"/>
      <w:lvlText w:val="%8)"/>
      <w:numFmt w:val="lowerLetter"/>
      <w:pPr>
        <w:pBdr/>
        <w:spacing/>
        <w:ind w:hanging="360" w:left="3229"/>
      </w:pPr>
      <w:pStyle w:val="1045"/>
      <w:rPr/>
      <w:start w:val="1"/>
      <w:suff w:val="tab"/>
    </w:lvl>
    <w:lvl w:ilvl="8">
      <w:isLgl w:val="false"/>
      <w:lvlJc w:val="left"/>
      <w:lvlText w:val="%9)"/>
      <w:numFmt w:val="lowerRoman"/>
      <w:pPr>
        <w:pBdr/>
        <w:spacing/>
        <w:ind w:hanging="360" w:left="3589"/>
      </w:pPr>
      <w:pStyle w:val="1046"/>
      <w:rPr/>
      <w:start w:val="1"/>
      <w:suff w:val="tab"/>
    </w:lvl>
  </w:abstractNum>
  <w:abstractNum w:abstractNumId="27">
    <w:nsid w:val="4FE7B849"/>
    <w:lvl w:ilvl="0">
      <w:isLgl w:val="false"/>
      <w:lvlJc w:val="left"/>
      <w:lvlText w:val="CHƯƠNG %1. "/>
      <w:numFmt w:val="upperRoman"/>
      <w:pPr>
        <w:pBdr/>
        <w:spacing/>
        <w:ind w:hanging="360" w:left="709"/>
      </w:pPr>
      <w:pStyle w:val="1038"/>
      <w:rPr>
        <w:rFonts w:ascii="Times New Roman" w:hAnsi="Times New Roman" w:eastAsia="Times New Roman" w:cs="Times New Roman"/>
        <w:b/>
      </w:rPr>
      <w:start w:val="1"/>
      <w:suff w:val="nothing"/>
    </w:lvl>
    <w:lvl w:ilvl="1">
      <w:isLgl w:val="false"/>
      <w:lvlJc w:val="left"/>
      <w:lvlText w:val="%1.%2."/>
      <w:numFmt w:val="decimal"/>
      <w:pPr>
        <w:pBdr/>
        <w:spacing/>
        <w:ind w:hanging="360" w:left="1069"/>
      </w:pPr>
      <w:pStyle w:val="1039"/>
      <w:rPr>
        <w:rFonts w:ascii="Times New Roman" w:hAnsi="Times New Roman" w:eastAsia="Times New Roman" w:cs="Times New Roman"/>
      </w:rPr>
      <w:start w:val="1"/>
      <w:suff w:val="tab"/>
    </w:lvl>
    <w:lvl w:ilvl="2">
      <w:isLgl w:val="false"/>
      <w:lvlJc w:val="left"/>
      <w:lvlText w:val="%3)"/>
      <w:numFmt w:val="lowerLetter"/>
      <w:pPr>
        <w:pBdr/>
        <w:spacing/>
        <w:ind w:hanging="360" w:left="1429"/>
      </w:pPr>
      <w:pStyle w:val="1040"/>
      <w:rPr>
        <w:rFonts w:ascii="Times New Roman" w:hAnsi="Times New Roman" w:eastAsia="Times New Roman" w:cs="Times New Roman"/>
      </w:rPr>
      <w:start w:val="1"/>
      <w:suff w:val="tab"/>
    </w:lvl>
    <w:lvl w:ilvl="3">
      <w:isLgl w:val="false"/>
      <w:lvlJc w:val="left"/>
      <w:lvlText w:val="%4)"/>
      <w:numFmt w:val="decimal"/>
      <w:pPr>
        <w:pBdr/>
        <w:spacing/>
        <w:ind w:hanging="360" w:left="1789"/>
      </w:pPr>
      <w:pStyle w:val="1041"/>
      <w:rPr/>
      <w:start w:val="1"/>
      <w:suff w:val="tab"/>
    </w:lvl>
    <w:lvl w:ilvl="4">
      <w:isLgl w:val="false"/>
      <w:lvlJc w:val="left"/>
      <w:lvlText w:val="%5)"/>
      <w:numFmt w:val="lowerLetter"/>
      <w:pPr>
        <w:pBdr/>
        <w:spacing/>
        <w:ind w:hanging="360" w:left="2149"/>
      </w:pPr>
      <w:pStyle w:val="1042"/>
      <w:rPr/>
      <w:start w:val="1"/>
      <w:suff w:val="tab"/>
    </w:lvl>
    <w:lvl w:ilvl="5">
      <w:isLgl w:val="false"/>
      <w:lvlJc w:val="left"/>
      <w:lvlText w:val="%6)"/>
      <w:numFmt w:val="lowerRoman"/>
      <w:pPr>
        <w:pBdr/>
        <w:spacing/>
        <w:ind w:hanging="360" w:left="2509"/>
      </w:pPr>
      <w:pStyle w:val="1043"/>
      <w:rPr/>
      <w:start w:val="1"/>
      <w:suff w:val="tab"/>
    </w:lvl>
    <w:lvl w:ilvl="6">
      <w:isLgl w:val="false"/>
      <w:lvlJc w:val="left"/>
      <w:lvlText w:val="%7)"/>
      <w:numFmt w:val="decimal"/>
      <w:pPr>
        <w:pBdr/>
        <w:spacing/>
        <w:ind w:hanging="360" w:left="2869"/>
      </w:pPr>
      <w:pStyle w:val="1044"/>
      <w:rPr/>
      <w:start w:val="1"/>
      <w:suff w:val="tab"/>
    </w:lvl>
    <w:lvl w:ilvl="7">
      <w:isLgl w:val="false"/>
      <w:lvlJc w:val="left"/>
      <w:lvlText w:val="%8)"/>
      <w:numFmt w:val="lowerLetter"/>
      <w:pPr>
        <w:pBdr/>
        <w:spacing/>
        <w:ind w:hanging="360" w:left="3229"/>
      </w:pPr>
      <w:pStyle w:val="1045"/>
      <w:rPr/>
      <w:start w:val="1"/>
      <w:suff w:val="tab"/>
    </w:lvl>
    <w:lvl w:ilvl="8">
      <w:isLgl w:val="false"/>
      <w:lvlJc w:val="left"/>
      <w:lvlText w:val="%9)"/>
      <w:numFmt w:val="lowerRoman"/>
      <w:pPr>
        <w:pBdr/>
        <w:spacing/>
        <w:ind w:hanging="360" w:left="3589"/>
      </w:pPr>
      <w:pStyle w:val="1046"/>
      <w:rPr/>
      <w:start w:val="1"/>
      <w:suff w:val="tab"/>
    </w:lvl>
  </w:abstractNum>
  <w:abstractNum w:abstractNumId="28">
    <w:nsid w:val="0378BEDD"/>
    <w:lvl w:ilvl="0">
      <w:isLgl w:val="false"/>
      <w:lvlJc w:val="left"/>
      <w:lvlText w:val="CHƯƠNG %1. "/>
      <w:numFmt w:val="upperRoman"/>
      <w:pPr>
        <w:pBdr/>
        <w:spacing/>
        <w:ind w:hanging="360" w:left="709"/>
      </w:pPr>
      <w:pStyle w:val="1038"/>
      <w:rPr>
        <w:rFonts w:ascii="Times New Roman" w:hAnsi="Times New Roman" w:eastAsia="Times New Roman" w:cs="Times New Roman"/>
        <w:b/>
      </w:rPr>
      <w:start w:val="1"/>
      <w:suff w:val="tab"/>
    </w:lvl>
    <w:lvl w:ilvl="1">
      <w:isLgl w:val="false"/>
      <w:lvlJc w:val="left"/>
      <w:lvlText w:val="%1.%2."/>
      <w:numFmt w:val="decimal"/>
      <w:pPr>
        <w:pBdr/>
        <w:spacing/>
        <w:ind w:hanging="360" w:left="1069"/>
      </w:pPr>
      <w:pStyle w:val="1039"/>
      <w:rPr>
        <w:rFonts w:ascii="Times New Roman" w:hAnsi="Times New Roman" w:eastAsia="Times New Roman" w:cs="Times New Roman"/>
      </w:rPr>
      <w:start w:val="1"/>
      <w:suff w:val="space"/>
    </w:lvl>
    <w:lvl w:ilvl="2">
      <w:isLgl w:val="false"/>
      <w:lvlJc w:val="left"/>
      <w:lvlText w:val="%3)"/>
      <w:numFmt w:val="lowerLetter"/>
      <w:pPr>
        <w:pBdr/>
        <w:spacing/>
        <w:ind w:hanging="360" w:left="1429"/>
      </w:pPr>
      <w:pStyle w:val="1040"/>
      <w:rPr>
        <w:rFonts w:ascii="Times New Roman" w:hAnsi="Times New Roman" w:eastAsia="Times New Roman" w:cs="Times New Roman"/>
      </w:rPr>
      <w:start w:val="1"/>
      <w:suff w:val="space"/>
    </w:lvl>
    <w:lvl w:ilvl="3">
      <w:isLgl w:val="false"/>
      <w:lvlJc w:val="left"/>
      <w:lvlText w:val="%4)"/>
      <w:numFmt w:val="decimal"/>
      <w:pPr>
        <w:pBdr/>
        <w:spacing/>
        <w:ind w:hanging="360" w:left="1789"/>
      </w:pPr>
      <w:pStyle w:val="1041"/>
      <w:rPr/>
      <w:start w:val="1"/>
      <w:suff w:val="tab"/>
    </w:lvl>
    <w:lvl w:ilvl="4">
      <w:isLgl w:val="false"/>
      <w:lvlJc w:val="left"/>
      <w:lvlText w:val="%5)"/>
      <w:numFmt w:val="lowerLetter"/>
      <w:pPr>
        <w:pBdr/>
        <w:spacing/>
        <w:ind w:hanging="360" w:left="2149"/>
      </w:pPr>
      <w:pStyle w:val="1042"/>
      <w:rPr/>
      <w:start w:val="1"/>
      <w:suff w:val="tab"/>
    </w:lvl>
    <w:lvl w:ilvl="5">
      <w:isLgl w:val="false"/>
      <w:lvlJc w:val="left"/>
      <w:lvlText w:val="%6)"/>
      <w:numFmt w:val="lowerRoman"/>
      <w:pPr>
        <w:pBdr/>
        <w:spacing/>
        <w:ind w:hanging="360" w:left="2509"/>
      </w:pPr>
      <w:pStyle w:val="1043"/>
      <w:rPr/>
      <w:start w:val="1"/>
      <w:suff w:val="tab"/>
    </w:lvl>
    <w:lvl w:ilvl="6">
      <w:isLgl w:val="false"/>
      <w:lvlJc w:val="left"/>
      <w:lvlText w:val="%7)"/>
      <w:numFmt w:val="decimal"/>
      <w:pPr>
        <w:pBdr/>
        <w:spacing/>
        <w:ind w:hanging="360" w:left="2869"/>
      </w:pPr>
      <w:pStyle w:val="1044"/>
      <w:rPr/>
      <w:start w:val="1"/>
      <w:suff w:val="tab"/>
    </w:lvl>
    <w:lvl w:ilvl="7">
      <w:isLgl w:val="false"/>
      <w:lvlJc w:val="left"/>
      <w:lvlText w:val="%8)"/>
      <w:numFmt w:val="lowerLetter"/>
      <w:pPr>
        <w:pBdr/>
        <w:spacing/>
        <w:ind w:hanging="360" w:left="3229"/>
      </w:pPr>
      <w:pStyle w:val="1045"/>
      <w:rPr/>
      <w:start w:val="1"/>
      <w:suff w:val="tab"/>
    </w:lvl>
    <w:lvl w:ilvl="8">
      <w:isLgl w:val="false"/>
      <w:lvlJc w:val="left"/>
      <w:lvlText w:val="%9)"/>
      <w:numFmt w:val="lowerRoman"/>
      <w:pPr>
        <w:pBdr/>
        <w:spacing/>
        <w:ind w:hanging="360" w:left="3589"/>
      </w:pPr>
      <w:pStyle w:val="1046"/>
      <w:rPr/>
      <w:start w:val="1"/>
      <w:suff w:val="tab"/>
    </w:lvl>
  </w:abstractNum>
  <w:abstractNum w:abstractNumId="29">
    <w:nsid w:val="040EFC59"/>
    <w:lvl w:ilvl="0">
      <w:isLgl w:val="false"/>
      <w:lvlJc w:val="left"/>
      <w:lvlText w:val="CHƯƠNG %1. "/>
      <w:numFmt w:val="upperRoman"/>
      <w:pPr>
        <w:pBdr/>
        <w:spacing/>
        <w:ind w:hanging="360" w:left="709"/>
      </w:pPr>
      <w:pStyle w:val="1038"/>
      <w:rPr>
        <w:rFonts w:ascii="Times New Roman" w:hAnsi="Times New Roman" w:eastAsia="Times New Roman" w:cs="Times New Roman"/>
        <w:b/>
      </w:rPr>
      <w:start w:val="1"/>
      <w:suff w:val="nothing"/>
    </w:lvl>
    <w:lvl w:ilvl="1">
      <w:isLgl w:val="false"/>
      <w:lvlJc w:val="left"/>
      <w:lvlText w:val="%1.%2."/>
      <w:numFmt w:val="decimal"/>
      <w:pPr>
        <w:pBdr/>
        <w:spacing/>
        <w:ind w:hanging="360" w:left="1069"/>
      </w:pPr>
      <w:pStyle w:val="1039"/>
      <w:rPr>
        <w:rFonts w:ascii="Times New Roman" w:hAnsi="Times New Roman" w:eastAsia="Times New Roman" w:cs="Times New Roman"/>
      </w:rPr>
      <w:start w:val="1"/>
      <w:suff w:val="tab"/>
    </w:lvl>
    <w:lvl w:ilvl="2">
      <w:isLgl w:val="false"/>
      <w:lvlJc w:val="left"/>
      <w:lvlText w:val="%3)"/>
      <w:numFmt w:val="lowerLetter"/>
      <w:pPr>
        <w:pBdr/>
        <w:spacing/>
        <w:ind w:hanging="360" w:left="1429"/>
      </w:pPr>
      <w:pStyle w:val="1040"/>
      <w:rPr>
        <w:rFonts w:ascii="Times New Roman" w:hAnsi="Times New Roman" w:eastAsia="Times New Roman" w:cs="Times New Roman"/>
      </w:rPr>
      <w:start w:val="1"/>
      <w:suff w:val="tab"/>
    </w:lvl>
    <w:lvl w:ilvl="3">
      <w:isLgl w:val="false"/>
      <w:lvlJc w:val="left"/>
      <w:lvlText w:val="%4)"/>
      <w:numFmt w:val="decimal"/>
      <w:pPr>
        <w:pBdr/>
        <w:spacing/>
        <w:ind w:hanging="360" w:left="1789"/>
      </w:pPr>
      <w:pStyle w:val="1041"/>
      <w:rPr/>
      <w:start w:val="1"/>
      <w:suff w:val="tab"/>
    </w:lvl>
    <w:lvl w:ilvl="4">
      <w:isLgl w:val="false"/>
      <w:lvlJc w:val="left"/>
      <w:lvlText w:val="%5)"/>
      <w:numFmt w:val="lowerLetter"/>
      <w:pPr>
        <w:pBdr/>
        <w:spacing/>
        <w:ind w:hanging="360" w:left="2149"/>
      </w:pPr>
      <w:pStyle w:val="1042"/>
      <w:rPr/>
      <w:start w:val="1"/>
      <w:suff w:val="tab"/>
    </w:lvl>
    <w:lvl w:ilvl="5">
      <w:isLgl w:val="false"/>
      <w:lvlJc w:val="left"/>
      <w:lvlText w:val="%6)"/>
      <w:numFmt w:val="lowerRoman"/>
      <w:pPr>
        <w:pBdr/>
        <w:spacing/>
        <w:ind w:hanging="360" w:left="2509"/>
      </w:pPr>
      <w:pStyle w:val="1043"/>
      <w:rPr/>
      <w:start w:val="1"/>
      <w:suff w:val="tab"/>
    </w:lvl>
    <w:lvl w:ilvl="6">
      <w:isLgl w:val="false"/>
      <w:lvlJc w:val="left"/>
      <w:lvlText w:val="%7)"/>
      <w:numFmt w:val="decimal"/>
      <w:pPr>
        <w:pBdr/>
        <w:spacing/>
        <w:ind w:hanging="360" w:left="2869"/>
      </w:pPr>
      <w:pStyle w:val="1044"/>
      <w:rPr/>
      <w:start w:val="1"/>
      <w:suff w:val="tab"/>
    </w:lvl>
    <w:lvl w:ilvl="7">
      <w:isLgl w:val="false"/>
      <w:lvlJc w:val="left"/>
      <w:lvlText w:val="%8)"/>
      <w:numFmt w:val="lowerLetter"/>
      <w:pPr>
        <w:pBdr/>
        <w:spacing/>
        <w:ind w:hanging="360" w:left="3229"/>
      </w:pPr>
      <w:pStyle w:val="1045"/>
      <w:rPr/>
      <w:start w:val="1"/>
      <w:suff w:val="tab"/>
    </w:lvl>
    <w:lvl w:ilvl="8">
      <w:isLgl w:val="false"/>
      <w:lvlJc w:val="left"/>
      <w:lvlText w:val="%9)"/>
      <w:numFmt w:val="lowerRoman"/>
      <w:pPr>
        <w:pBdr/>
        <w:spacing/>
        <w:ind w:hanging="360" w:left="3589"/>
      </w:pPr>
      <w:pStyle w:val="1046"/>
      <w:rPr/>
      <w:start w:val="1"/>
      <w:suff w:val="tab"/>
    </w:lvl>
  </w:abstractNum>
  <w:abstractNum w:abstractNumId="30">
    <w:nsid w:val="599FFF1C"/>
    <w:lvl w:ilvl="0">
      <w:isLgl w:val="false"/>
      <w:lvlJc w:val="left"/>
      <w:lvlText w:val="CHƯƠNG %1. "/>
      <w:numFmt w:val="upperRoman"/>
      <w:pPr>
        <w:pBdr/>
        <w:spacing/>
        <w:ind w:hanging="360" w:left="709"/>
      </w:pPr>
      <w:pStyle w:val="1038"/>
      <w:rPr>
        <w:rFonts w:ascii="Times New Roman" w:hAnsi="Times New Roman" w:eastAsia="Times New Roman" w:cs="Times New Roman"/>
        <w:b/>
      </w:rPr>
      <w:start w:val="1"/>
      <w:suff w:val="tab"/>
    </w:lvl>
    <w:lvl w:ilvl="1">
      <w:isLgl w:val="false"/>
      <w:lvlJc w:val="left"/>
      <w:lvlText w:val="%1.%2."/>
      <w:numFmt w:val="decimal"/>
      <w:pPr>
        <w:pBdr/>
        <w:spacing/>
        <w:ind w:hanging="360" w:left="1069"/>
      </w:pPr>
      <w:pStyle w:val="1039"/>
      <w:rPr>
        <w:rFonts w:ascii="Times New Roman" w:hAnsi="Times New Roman" w:eastAsia="Times New Roman" w:cs="Times New Roman"/>
      </w:rPr>
      <w:start w:val="1"/>
      <w:suff w:val="space"/>
    </w:lvl>
    <w:lvl w:ilvl="2">
      <w:isLgl w:val="false"/>
      <w:lvlJc w:val="left"/>
      <w:lvlText w:val="%3)"/>
      <w:numFmt w:val="lowerLetter"/>
      <w:pPr>
        <w:pBdr/>
        <w:spacing/>
        <w:ind w:hanging="360" w:left="1429"/>
      </w:pPr>
      <w:pStyle w:val="1040"/>
      <w:rPr>
        <w:rFonts w:ascii="Times New Roman" w:hAnsi="Times New Roman" w:eastAsia="Times New Roman" w:cs="Times New Roman"/>
      </w:rPr>
      <w:start w:val="1"/>
      <w:suff w:val="tab"/>
    </w:lvl>
    <w:lvl w:ilvl="3">
      <w:isLgl w:val="false"/>
      <w:lvlJc w:val="left"/>
      <w:lvlText w:val="%4)"/>
      <w:numFmt w:val="decimal"/>
      <w:pPr>
        <w:pBdr/>
        <w:spacing/>
        <w:ind w:hanging="360" w:left="1789"/>
      </w:pPr>
      <w:pStyle w:val="1041"/>
      <w:rPr/>
      <w:start w:val="1"/>
      <w:suff w:val="tab"/>
    </w:lvl>
    <w:lvl w:ilvl="4">
      <w:isLgl w:val="false"/>
      <w:lvlJc w:val="left"/>
      <w:lvlText w:val="%5)"/>
      <w:numFmt w:val="lowerLetter"/>
      <w:pPr>
        <w:pBdr/>
        <w:spacing/>
        <w:ind w:hanging="360" w:left="2149"/>
      </w:pPr>
      <w:pStyle w:val="1042"/>
      <w:rPr/>
      <w:start w:val="1"/>
      <w:suff w:val="tab"/>
    </w:lvl>
    <w:lvl w:ilvl="5">
      <w:isLgl w:val="false"/>
      <w:lvlJc w:val="left"/>
      <w:lvlText w:val="%6)"/>
      <w:numFmt w:val="lowerRoman"/>
      <w:pPr>
        <w:pBdr/>
        <w:spacing/>
        <w:ind w:hanging="360" w:left="2509"/>
      </w:pPr>
      <w:pStyle w:val="1043"/>
      <w:rPr/>
      <w:start w:val="1"/>
      <w:suff w:val="tab"/>
    </w:lvl>
    <w:lvl w:ilvl="6">
      <w:isLgl w:val="false"/>
      <w:lvlJc w:val="left"/>
      <w:lvlText w:val="%7)"/>
      <w:numFmt w:val="decimal"/>
      <w:pPr>
        <w:pBdr/>
        <w:spacing/>
        <w:ind w:hanging="360" w:left="2869"/>
      </w:pPr>
      <w:pStyle w:val="1044"/>
      <w:rPr/>
      <w:start w:val="1"/>
      <w:suff w:val="tab"/>
    </w:lvl>
    <w:lvl w:ilvl="7">
      <w:isLgl w:val="false"/>
      <w:lvlJc w:val="left"/>
      <w:lvlText w:val="%8)"/>
      <w:numFmt w:val="lowerLetter"/>
      <w:pPr>
        <w:pBdr/>
        <w:spacing/>
        <w:ind w:hanging="360" w:left="3229"/>
      </w:pPr>
      <w:pStyle w:val="1045"/>
      <w:rPr/>
      <w:start w:val="1"/>
      <w:suff w:val="tab"/>
    </w:lvl>
    <w:lvl w:ilvl="8">
      <w:isLgl w:val="false"/>
      <w:lvlJc w:val="left"/>
      <w:lvlText w:val="%9)"/>
      <w:numFmt w:val="lowerRoman"/>
      <w:pPr>
        <w:pBdr/>
        <w:spacing/>
        <w:ind w:hanging="360" w:left="3589"/>
      </w:pPr>
      <w:pStyle w:val="1046"/>
      <w:rPr/>
      <w:start w:val="1"/>
      <w:suff w:val="tab"/>
    </w:lvl>
  </w:abstractNum>
  <w:abstractNum w:abstractNumId="31">
    <w:nsid w:val="68511BAF"/>
    <w:lvl w:ilvl="0">
      <w:isLgl w:val="false"/>
      <w:lvlJc w:val="left"/>
      <w:lvlText w:val="CHƯƠNG %1. "/>
      <w:numFmt w:val="upperRoman"/>
      <w:pPr>
        <w:pBdr/>
        <w:spacing/>
        <w:ind w:hanging="360" w:left="709"/>
      </w:pPr>
      <w:pStyle w:val="1038"/>
      <w:rPr>
        <w:rFonts w:ascii="Times New Roman" w:hAnsi="Times New Roman" w:eastAsia="Times New Roman" w:cs="Times New Roman"/>
        <w:b/>
      </w:rPr>
      <w:start w:val="1"/>
      <w:suff w:val="tab"/>
    </w:lvl>
    <w:lvl w:ilvl="1">
      <w:isLgl w:val="false"/>
      <w:lvlJc w:val="left"/>
      <w:lvlText w:val="%1.%2."/>
      <w:numFmt w:val="decimal"/>
      <w:pPr>
        <w:pBdr/>
        <w:spacing/>
        <w:ind w:hanging="360" w:left="1069"/>
      </w:pPr>
      <w:pStyle w:val="1039"/>
      <w:rPr>
        <w:rFonts w:ascii="Times New Roman" w:hAnsi="Times New Roman" w:eastAsia="Times New Roman" w:cs="Times New Roman"/>
      </w:rPr>
      <w:start w:val="1"/>
      <w:suff w:val="space"/>
    </w:lvl>
    <w:lvl w:ilvl="2">
      <w:isLgl w:val="false"/>
      <w:lvlJc w:val="left"/>
      <w:lvlText w:val="%3)"/>
      <w:numFmt w:val="lowerLetter"/>
      <w:pPr>
        <w:pBdr/>
        <w:spacing/>
        <w:ind w:hanging="360" w:left="1429"/>
      </w:pPr>
      <w:pStyle w:val="1040"/>
      <w:rPr>
        <w:rFonts w:ascii="Times New Roman" w:hAnsi="Times New Roman" w:eastAsia="Times New Roman" w:cs="Times New Roman"/>
      </w:rPr>
      <w:start w:val="1"/>
      <w:suff w:val="tab"/>
    </w:lvl>
    <w:lvl w:ilvl="3">
      <w:isLgl w:val="false"/>
      <w:lvlJc w:val="left"/>
      <w:lvlText w:val="%4)"/>
      <w:numFmt w:val="decimal"/>
      <w:pPr>
        <w:pBdr/>
        <w:spacing/>
        <w:ind w:hanging="360" w:left="1789"/>
      </w:pPr>
      <w:pStyle w:val="1041"/>
      <w:rPr/>
      <w:start w:val="1"/>
      <w:suff w:val="tab"/>
    </w:lvl>
    <w:lvl w:ilvl="4">
      <w:isLgl w:val="false"/>
      <w:lvlJc w:val="left"/>
      <w:lvlText w:val="%5)"/>
      <w:numFmt w:val="lowerLetter"/>
      <w:pPr>
        <w:pBdr/>
        <w:spacing/>
        <w:ind w:hanging="360" w:left="2149"/>
      </w:pPr>
      <w:pStyle w:val="1042"/>
      <w:rPr/>
      <w:start w:val="1"/>
      <w:suff w:val="tab"/>
    </w:lvl>
    <w:lvl w:ilvl="5">
      <w:isLgl w:val="false"/>
      <w:lvlJc w:val="left"/>
      <w:lvlText w:val="%6)"/>
      <w:numFmt w:val="lowerRoman"/>
      <w:pPr>
        <w:pBdr/>
        <w:spacing/>
        <w:ind w:hanging="360" w:left="2509"/>
      </w:pPr>
      <w:pStyle w:val="1043"/>
      <w:rPr/>
      <w:start w:val="1"/>
      <w:suff w:val="tab"/>
    </w:lvl>
    <w:lvl w:ilvl="6">
      <w:isLgl w:val="false"/>
      <w:lvlJc w:val="left"/>
      <w:lvlText w:val="%7)"/>
      <w:numFmt w:val="decimal"/>
      <w:pPr>
        <w:pBdr/>
        <w:spacing/>
        <w:ind w:hanging="360" w:left="2869"/>
      </w:pPr>
      <w:pStyle w:val="1044"/>
      <w:rPr/>
      <w:start w:val="1"/>
      <w:suff w:val="tab"/>
    </w:lvl>
    <w:lvl w:ilvl="7">
      <w:isLgl w:val="false"/>
      <w:lvlJc w:val="left"/>
      <w:lvlText w:val="%8)"/>
      <w:numFmt w:val="lowerLetter"/>
      <w:pPr>
        <w:pBdr/>
        <w:spacing/>
        <w:ind w:hanging="360" w:left="3229"/>
      </w:pPr>
      <w:pStyle w:val="1045"/>
      <w:rPr/>
      <w:start w:val="1"/>
      <w:suff w:val="tab"/>
    </w:lvl>
    <w:lvl w:ilvl="8">
      <w:isLgl w:val="false"/>
      <w:lvlJc w:val="left"/>
      <w:lvlText w:val="%9)"/>
      <w:numFmt w:val="lowerRoman"/>
      <w:pPr>
        <w:pBdr/>
        <w:spacing/>
        <w:ind w:hanging="360" w:left="3589"/>
      </w:pPr>
      <w:pStyle w:val="1046"/>
      <w:rPr/>
      <w:start w:val="1"/>
      <w:suff w:val="tab"/>
    </w:lvl>
  </w:abstractNum>
  <w:abstractNum w:abstractNumId="32">
    <w:nsid w:val="577DAE83"/>
    <w:lvl w:ilvl="0">
      <w:isLgl w:val="false"/>
      <w:lvlJc w:val="left"/>
      <w:lvlText w:val="CHƯƠNG %1. "/>
      <w:numFmt w:val="upperRoman"/>
      <w:pPr>
        <w:pBdr/>
        <w:spacing/>
        <w:ind w:hanging="360" w:left="709"/>
      </w:pPr>
      <w:pStyle w:val="1038"/>
      <w:rPr>
        <w:rFonts w:ascii="Times New Roman" w:hAnsi="Times New Roman" w:eastAsia="Times New Roman" w:cs="Times New Roman"/>
        <w:b/>
      </w:rPr>
      <w:start w:val="1"/>
      <w:suff w:val="nothing"/>
    </w:lvl>
    <w:lvl w:ilvl="1">
      <w:isLgl w:val="false"/>
      <w:lvlJc w:val="left"/>
      <w:lvlText w:val="%1.%2."/>
      <w:numFmt w:val="decimal"/>
      <w:pPr>
        <w:pBdr/>
        <w:spacing/>
        <w:ind w:hanging="360" w:left="1069"/>
      </w:pPr>
      <w:pStyle w:val="1039"/>
      <w:rPr>
        <w:rFonts w:ascii="Times New Roman" w:hAnsi="Times New Roman" w:eastAsia="Times New Roman" w:cs="Times New Roman"/>
      </w:rPr>
      <w:start w:val="1"/>
      <w:suff w:val="tab"/>
    </w:lvl>
    <w:lvl w:ilvl="2">
      <w:isLgl w:val="false"/>
      <w:lvlJc w:val="left"/>
      <w:lvlText w:val="%3)"/>
      <w:numFmt w:val="lowerLetter"/>
      <w:pPr>
        <w:pBdr/>
        <w:spacing/>
        <w:ind w:hanging="360" w:left="1429"/>
      </w:pPr>
      <w:pStyle w:val="1040"/>
      <w:rPr>
        <w:rFonts w:ascii="Times New Roman" w:hAnsi="Times New Roman" w:eastAsia="Times New Roman" w:cs="Times New Roman"/>
      </w:rPr>
      <w:start w:val="1"/>
      <w:suff w:val="tab"/>
    </w:lvl>
    <w:lvl w:ilvl="3">
      <w:isLgl w:val="false"/>
      <w:lvlJc w:val="left"/>
      <w:lvlText w:val="%4)"/>
      <w:numFmt w:val="decimal"/>
      <w:pPr>
        <w:pBdr/>
        <w:spacing/>
        <w:ind w:hanging="360" w:left="1789"/>
      </w:pPr>
      <w:pStyle w:val="1041"/>
      <w:rPr/>
      <w:start w:val="1"/>
      <w:suff w:val="tab"/>
    </w:lvl>
    <w:lvl w:ilvl="4">
      <w:isLgl w:val="false"/>
      <w:lvlJc w:val="left"/>
      <w:lvlText w:val="%5)"/>
      <w:numFmt w:val="lowerLetter"/>
      <w:pPr>
        <w:pBdr/>
        <w:spacing/>
        <w:ind w:hanging="360" w:left="2149"/>
      </w:pPr>
      <w:pStyle w:val="1042"/>
      <w:rPr/>
      <w:start w:val="1"/>
      <w:suff w:val="tab"/>
    </w:lvl>
    <w:lvl w:ilvl="5">
      <w:isLgl w:val="false"/>
      <w:lvlJc w:val="left"/>
      <w:lvlText w:val="%6)"/>
      <w:numFmt w:val="lowerRoman"/>
      <w:pPr>
        <w:pBdr/>
        <w:spacing/>
        <w:ind w:hanging="360" w:left="2509"/>
      </w:pPr>
      <w:pStyle w:val="1043"/>
      <w:rPr/>
      <w:start w:val="1"/>
      <w:suff w:val="tab"/>
    </w:lvl>
    <w:lvl w:ilvl="6">
      <w:isLgl w:val="false"/>
      <w:lvlJc w:val="left"/>
      <w:lvlText w:val="%7)"/>
      <w:numFmt w:val="decimal"/>
      <w:pPr>
        <w:pBdr/>
        <w:spacing/>
        <w:ind w:hanging="360" w:left="2869"/>
      </w:pPr>
      <w:pStyle w:val="1044"/>
      <w:rPr/>
      <w:start w:val="1"/>
      <w:suff w:val="tab"/>
    </w:lvl>
    <w:lvl w:ilvl="7">
      <w:isLgl w:val="false"/>
      <w:lvlJc w:val="left"/>
      <w:lvlText w:val="%8)"/>
      <w:numFmt w:val="lowerLetter"/>
      <w:pPr>
        <w:pBdr/>
        <w:spacing/>
        <w:ind w:hanging="360" w:left="3229"/>
      </w:pPr>
      <w:pStyle w:val="1045"/>
      <w:rPr/>
      <w:start w:val="1"/>
      <w:suff w:val="tab"/>
    </w:lvl>
    <w:lvl w:ilvl="8">
      <w:isLgl w:val="false"/>
      <w:lvlJc w:val="left"/>
      <w:lvlText w:val="%9)"/>
      <w:numFmt w:val="lowerRoman"/>
      <w:pPr>
        <w:pBdr/>
        <w:spacing/>
        <w:ind w:hanging="360" w:left="3589"/>
      </w:pPr>
      <w:pStyle w:val="1046"/>
      <w:rPr/>
      <w:start w:val="1"/>
      <w:suff w:val="tab"/>
    </w:lvl>
  </w:abstractNum>
  <w:abstractNum w:abstractNumId="33">
    <w:nsid w:val="7619AD22"/>
    <w:lvl w:ilvl="0">
      <w:isLgl w:val="false"/>
      <w:lvlJc w:val="left"/>
      <w:lvlText w:val="CHƯƠNG %1. "/>
      <w:numFmt w:val="upperRoman"/>
      <w:pPr>
        <w:pBdr/>
        <w:spacing/>
        <w:ind w:hanging="360" w:left="709"/>
      </w:pPr>
      <w:pStyle w:val="1038"/>
      <w:rPr>
        <w:rFonts w:ascii="Times New Roman" w:hAnsi="Times New Roman" w:eastAsia="Times New Roman" w:cs="Times New Roman"/>
        <w:b/>
      </w:rPr>
      <w:start w:val="1"/>
      <w:suff w:val="nothing"/>
    </w:lvl>
    <w:lvl w:ilvl="1">
      <w:isLgl w:val="false"/>
      <w:lvlJc w:val="left"/>
      <w:lvlText w:val="%1.%2."/>
      <w:numFmt w:val="decimal"/>
      <w:pPr>
        <w:pBdr/>
        <w:spacing/>
        <w:ind w:hanging="360" w:left="1069"/>
      </w:pPr>
      <w:pStyle w:val="1039"/>
      <w:rPr>
        <w:rFonts w:ascii="Times New Roman" w:hAnsi="Times New Roman" w:eastAsia="Times New Roman" w:cs="Times New Roman"/>
      </w:rPr>
      <w:start w:val="1"/>
      <w:suff w:val="tab"/>
    </w:lvl>
    <w:lvl w:ilvl="2">
      <w:isLgl w:val="false"/>
      <w:lvlJc w:val="left"/>
      <w:lvlText w:val="%3)"/>
      <w:numFmt w:val="lowerLetter"/>
      <w:pPr>
        <w:pBdr/>
        <w:spacing/>
        <w:ind w:hanging="360" w:left="1429"/>
      </w:pPr>
      <w:pStyle w:val="1040"/>
      <w:rPr>
        <w:rFonts w:ascii="Times New Roman" w:hAnsi="Times New Roman" w:eastAsia="Times New Roman" w:cs="Times New Roman"/>
      </w:rPr>
      <w:start w:val="1"/>
      <w:suff w:val="tab"/>
    </w:lvl>
    <w:lvl w:ilvl="3">
      <w:isLgl w:val="false"/>
      <w:lvlJc w:val="left"/>
      <w:lvlText w:val="%4)"/>
      <w:numFmt w:val="decimal"/>
      <w:pPr>
        <w:pBdr/>
        <w:spacing/>
        <w:ind w:hanging="360" w:left="1789"/>
      </w:pPr>
      <w:pStyle w:val="1041"/>
      <w:rPr/>
      <w:start w:val="1"/>
      <w:suff w:val="tab"/>
    </w:lvl>
    <w:lvl w:ilvl="4">
      <w:isLgl w:val="false"/>
      <w:lvlJc w:val="left"/>
      <w:lvlText w:val="%5)"/>
      <w:numFmt w:val="lowerLetter"/>
      <w:pPr>
        <w:pBdr/>
        <w:spacing/>
        <w:ind w:hanging="360" w:left="2149"/>
      </w:pPr>
      <w:pStyle w:val="1042"/>
      <w:rPr/>
      <w:start w:val="1"/>
      <w:suff w:val="tab"/>
    </w:lvl>
    <w:lvl w:ilvl="5">
      <w:isLgl w:val="false"/>
      <w:lvlJc w:val="left"/>
      <w:lvlText w:val="%6)"/>
      <w:numFmt w:val="lowerRoman"/>
      <w:pPr>
        <w:pBdr/>
        <w:spacing/>
        <w:ind w:hanging="360" w:left="2509"/>
      </w:pPr>
      <w:pStyle w:val="1043"/>
      <w:rPr/>
      <w:start w:val="1"/>
      <w:suff w:val="tab"/>
    </w:lvl>
    <w:lvl w:ilvl="6">
      <w:isLgl w:val="false"/>
      <w:lvlJc w:val="left"/>
      <w:lvlText w:val="%7)"/>
      <w:numFmt w:val="decimal"/>
      <w:pPr>
        <w:pBdr/>
        <w:spacing/>
        <w:ind w:hanging="360" w:left="2869"/>
      </w:pPr>
      <w:pStyle w:val="1044"/>
      <w:rPr/>
      <w:start w:val="1"/>
      <w:suff w:val="tab"/>
    </w:lvl>
    <w:lvl w:ilvl="7">
      <w:isLgl w:val="false"/>
      <w:lvlJc w:val="left"/>
      <w:lvlText w:val="%8)"/>
      <w:numFmt w:val="lowerLetter"/>
      <w:pPr>
        <w:pBdr/>
        <w:spacing/>
        <w:ind w:hanging="360" w:left="3229"/>
      </w:pPr>
      <w:pStyle w:val="1045"/>
      <w:rPr/>
      <w:start w:val="1"/>
      <w:suff w:val="tab"/>
    </w:lvl>
    <w:lvl w:ilvl="8">
      <w:isLgl w:val="false"/>
      <w:lvlJc w:val="left"/>
      <w:lvlText w:val="%9)"/>
      <w:numFmt w:val="lowerRoman"/>
      <w:pPr>
        <w:pBdr/>
        <w:spacing/>
        <w:ind w:hanging="360" w:left="3589"/>
      </w:pPr>
      <w:pStyle w:val="1046"/>
      <w:rPr/>
      <w:start w:val="1"/>
      <w:suff w:val="tab"/>
    </w:lvl>
  </w:abstractNum>
  <w:abstractNum w:abstractNumId="34">
    <w:nsid w:val="2179A152"/>
    <w:lvl w:ilvl="0">
      <w:isLgl w:val="false"/>
      <w:lvlJc w:val="left"/>
      <w:lvlText w:val="CHƯƠNG %1. "/>
      <w:numFmt w:val="upperRoman"/>
      <w:pPr>
        <w:pBdr/>
        <w:spacing/>
        <w:ind w:hanging="360" w:left="709"/>
      </w:pPr>
      <w:pStyle w:val="1038"/>
      <w:rPr>
        <w:rFonts w:ascii="Times New Roman" w:hAnsi="Times New Roman" w:eastAsia="Times New Roman" w:cs="Times New Roman"/>
        <w:b/>
      </w:rPr>
      <w:start w:val="1"/>
      <w:suff w:val="tab"/>
    </w:lvl>
    <w:lvl w:ilvl="1">
      <w:isLgl w:val="false"/>
      <w:lvlJc w:val="left"/>
      <w:lvlText w:val="%1I.%2."/>
      <w:numFmt w:val="decimal"/>
      <w:pPr>
        <w:pBdr/>
        <w:spacing/>
        <w:ind w:hanging="360" w:left="1069"/>
      </w:pPr>
      <w:pStyle w:val="1039"/>
      <w:rPr>
        <w:rFonts w:ascii="Times New Roman" w:hAnsi="Times New Roman" w:eastAsia="Times New Roman" w:cs="Times New Roman"/>
      </w:rPr>
      <w:start w:val="1"/>
      <w:suff w:val="space"/>
    </w:lvl>
    <w:lvl w:ilvl="2">
      <w:isLgl w:val="false"/>
      <w:lvlJc w:val="left"/>
      <w:lvlText w:val="%3)"/>
      <w:numFmt w:val="lowerLetter"/>
      <w:pPr>
        <w:pBdr/>
        <w:spacing/>
        <w:ind w:hanging="360" w:left="1429"/>
      </w:pPr>
      <w:pStyle w:val="1040"/>
      <w:rPr>
        <w:rFonts w:ascii="Times New Roman" w:hAnsi="Times New Roman" w:eastAsia="Times New Roman" w:cs="Times New Roman"/>
      </w:rPr>
      <w:start w:val="1"/>
      <w:suff w:val="tab"/>
    </w:lvl>
    <w:lvl w:ilvl="3">
      <w:isLgl w:val="false"/>
      <w:lvlJc w:val="left"/>
      <w:lvlText w:val="%4)"/>
      <w:numFmt w:val="decimal"/>
      <w:pPr>
        <w:pBdr/>
        <w:spacing/>
        <w:ind w:hanging="360" w:left="1789"/>
      </w:pPr>
      <w:pStyle w:val="1041"/>
      <w:rPr/>
      <w:start w:val="1"/>
      <w:suff w:val="tab"/>
    </w:lvl>
    <w:lvl w:ilvl="4">
      <w:isLgl w:val="false"/>
      <w:lvlJc w:val="left"/>
      <w:lvlText w:val="%5)"/>
      <w:numFmt w:val="lowerLetter"/>
      <w:pPr>
        <w:pBdr/>
        <w:spacing/>
        <w:ind w:hanging="360" w:left="2149"/>
      </w:pPr>
      <w:pStyle w:val="1042"/>
      <w:rPr/>
      <w:start w:val="1"/>
      <w:suff w:val="tab"/>
    </w:lvl>
    <w:lvl w:ilvl="5">
      <w:isLgl w:val="false"/>
      <w:lvlJc w:val="left"/>
      <w:lvlText w:val="%6)"/>
      <w:numFmt w:val="lowerRoman"/>
      <w:pPr>
        <w:pBdr/>
        <w:spacing/>
        <w:ind w:hanging="360" w:left="2509"/>
      </w:pPr>
      <w:pStyle w:val="1043"/>
      <w:rPr/>
      <w:start w:val="1"/>
      <w:suff w:val="tab"/>
    </w:lvl>
    <w:lvl w:ilvl="6">
      <w:isLgl w:val="false"/>
      <w:lvlJc w:val="left"/>
      <w:lvlText w:val="%7)"/>
      <w:numFmt w:val="decimal"/>
      <w:pPr>
        <w:pBdr/>
        <w:spacing/>
        <w:ind w:hanging="360" w:left="2869"/>
      </w:pPr>
      <w:pStyle w:val="1044"/>
      <w:rPr/>
      <w:start w:val="1"/>
      <w:suff w:val="tab"/>
    </w:lvl>
    <w:lvl w:ilvl="7">
      <w:isLgl w:val="false"/>
      <w:lvlJc w:val="left"/>
      <w:lvlText w:val="%8)"/>
      <w:numFmt w:val="lowerLetter"/>
      <w:pPr>
        <w:pBdr/>
        <w:spacing/>
        <w:ind w:hanging="360" w:left="3229"/>
      </w:pPr>
      <w:pStyle w:val="1045"/>
      <w:rPr/>
      <w:start w:val="1"/>
      <w:suff w:val="tab"/>
    </w:lvl>
    <w:lvl w:ilvl="8">
      <w:isLgl w:val="false"/>
      <w:lvlJc w:val="left"/>
      <w:lvlText w:val="%9)"/>
      <w:numFmt w:val="lowerRoman"/>
      <w:pPr>
        <w:pBdr/>
        <w:spacing/>
        <w:ind w:hanging="360" w:left="3589"/>
      </w:pPr>
      <w:pStyle w:val="1046"/>
      <w:rPr/>
      <w:start w:val="1"/>
      <w:suff w:val="tab"/>
    </w:lvl>
  </w:abstractNum>
  <w:abstractNum w:abstractNumId="35">
    <w:nsid w:val="20C2991C"/>
    <w:lvl w:ilvl="0">
      <w:isLgl w:val="false"/>
      <w:lvlJc w:val="left"/>
      <w:lvlText w:val="CHƯƠNG %1. "/>
      <w:numFmt w:val="upperRoman"/>
      <w:pPr>
        <w:pBdr/>
        <w:spacing/>
        <w:ind w:hanging="360" w:left="709"/>
      </w:pPr>
      <w:pStyle w:val="1038"/>
      <w:rPr>
        <w:rFonts w:ascii="Times New Roman" w:hAnsi="Times New Roman" w:eastAsia="Times New Roman" w:cs="Times New Roman"/>
        <w:b/>
      </w:rPr>
      <w:start w:val="1"/>
      <w:suff w:val="tab"/>
    </w:lvl>
    <w:lvl w:ilvl="1">
      <w:isLgl w:val="false"/>
      <w:lvlJc w:val="left"/>
      <w:lvlText w:val="%1I.%2."/>
      <w:numFmt w:val="decimal"/>
      <w:pPr>
        <w:pBdr/>
        <w:spacing/>
        <w:ind w:hanging="360" w:left="1069"/>
      </w:pPr>
      <w:pStyle w:val="1039"/>
      <w:rPr>
        <w:rFonts w:ascii="Times New Roman" w:hAnsi="Times New Roman" w:eastAsia="Times New Roman" w:cs="Times New Roman"/>
      </w:rPr>
      <w:start w:val="1"/>
      <w:suff w:val="space"/>
    </w:lvl>
    <w:lvl w:ilvl="2">
      <w:isLgl w:val="false"/>
      <w:lvlJc w:val="left"/>
      <w:lvlText w:val="%3)"/>
      <w:numFmt w:val="lowerLetter"/>
      <w:pPr>
        <w:pBdr/>
        <w:spacing/>
        <w:ind w:hanging="360" w:left="1429"/>
      </w:pPr>
      <w:pStyle w:val="1040"/>
      <w:rPr>
        <w:rFonts w:ascii="Times New Roman" w:hAnsi="Times New Roman" w:eastAsia="Times New Roman" w:cs="Times New Roman"/>
      </w:rPr>
      <w:start w:val="1"/>
      <w:suff w:val="space"/>
    </w:lvl>
    <w:lvl w:ilvl="3">
      <w:isLgl w:val="false"/>
      <w:lvlJc w:val="left"/>
      <w:lvlText w:val="%4)"/>
      <w:numFmt w:val="decimal"/>
      <w:pPr>
        <w:pBdr/>
        <w:spacing/>
        <w:ind w:hanging="360" w:left="1789"/>
      </w:pPr>
      <w:pStyle w:val="1041"/>
      <w:rPr/>
      <w:start w:val="1"/>
      <w:suff w:val="tab"/>
    </w:lvl>
    <w:lvl w:ilvl="4">
      <w:isLgl w:val="false"/>
      <w:lvlJc w:val="left"/>
      <w:lvlText w:val="%5)"/>
      <w:numFmt w:val="lowerLetter"/>
      <w:pPr>
        <w:pBdr/>
        <w:spacing/>
        <w:ind w:hanging="360" w:left="2149"/>
      </w:pPr>
      <w:pStyle w:val="1042"/>
      <w:rPr/>
      <w:start w:val="1"/>
      <w:suff w:val="tab"/>
    </w:lvl>
    <w:lvl w:ilvl="5">
      <w:isLgl w:val="false"/>
      <w:lvlJc w:val="left"/>
      <w:lvlText w:val="%6)"/>
      <w:numFmt w:val="lowerRoman"/>
      <w:pPr>
        <w:pBdr/>
        <w:spacing/>
        <w:ind w:hanging="360" w:left="2509"/>
      </w:pPr>
      <w:pStyle w:val="1043"/>
      <w:rPr/>
      <w:start w:val="1"/>
      <w:suff w:val="tab"/>
    </w:lvl>
    <w:lvl w:ilvl="6">
      <w:isLgl w:val="false"/>
      <w:lvlJc w:val="left"/>
      <w:lvlText w:val="%7)"/>
      <w:numFmt w:val="decimal"/>
      <w:pPr>
        <w:pBdr/>
        <w:spacing/>
        <w:ind w:hanging="360" w:left="2869"/>
      </w:pPr>
      <w:pStyle w:val="1044"/>
      <w:rPr/>
      <w:start w:val="1"/>
      <w:suff w:val="tab"/>
    </w:lvl>
    <w:lvl w:ilvl="7">
      <w:isLgl w:val="false"/>
      <w:lvlJc w:val="left"/>
      <w:lvlText w:val="%8)"/>
      <w:numFmt w:val="lowerLetter"/>
      <w:pPr>
        <w:pBdr/>
        <w:spacing/>
        <w:ind w:hanging="360" w:left="3229"/>
      </w:pPr>
      <w:pStyle w:val="1045"/>
      <w:rPr/>
      <w:start w:val="1"/>
      <w:suff w:val="tab"/>
    </w:lvl>
    <w:lvl w:ilvl="8">
      <w:isLgl w:val="false"/>
      <w:lvlJc w:val="left"/>
      <w:lvlText w:val="%9)"/>
      <w:numFmt w:val="lowerRoman"/>
      <w:pPr>
        <w:pBdr/>
        <w:spacing/>
        <w:ind w:hanging="360" w:left="3589"/>
      </w:pPr>
      <w:pStyle w:val="1046"/>
      <w:rPr/>
      <w:start w:val="1"/>
      <w:suff w:val="tab"/>
    </w:lvl>
  </w:abstractNum>
  <w:abstractNum w:abstractNumId="36">
    <w:nsid w:val="17263F8B"/>
    <w:lvl w:ilvl="0">
      <w:isLgl w:val="false"/>
      <w:lvlJc w:val="left"/>
      <w:lvlText w:val="CHƯƠNG %1. "/>
      <w:numFmt w:val="upperRoman"/>
      <w:pPr>
        <w:pBdr/>
        <w:spacing/>
        <w:ind w:hanging="360" w:left="709"/>
      </w:pPr>
      <w:pStyle w:val="1038"/>
      <w:rPr>
        <w:rFonts w:ascii="Times New Roman" w:hAnsi="Times New Roman" w:eastAsia="Times New Roman" w:cs="Times New Roman"/>
        <w:b/>
      </w:rPr>
      <w:start w:val="1"/>
      <w:suff w:val="tab"/>
    </w:lvl>
    <w:lvl w:ilvl="1">
      <w:isLgl w:val="false"/>
      <w:lvlJc w:val="left"/>
      <w:lvlText w:val="%1I.%2."/>
      <w:numFmt w:val="decimal"/>
      <w:pPr>
        <w:pBdr/>
        <w:spacing/>
        <w:ind w:hanging="360" w:left="1069"/>
      </w:pPr>
      <w:pStyle w:val="1039"/>
      <w:rPr>
        <w:rFonts w:ascii="Times New Roman" w:hAnsi="Times New Roman" w:eastAsia="Times New Roman" w:cs="Times New Roman"/>
      </w:rPr>
      <w:start w:val="1"/>
      <w:suff w:val="space"/>
    </w:lvl>
    <w:lvl w:ilvl="2">
      <w:isLgl w:val="false"/>
      <w:lvlJc w:val="left"/>
      <w:lvlText w:val="%3)"/>
      <w:numFmt w:val="lowerLetter"/>
      <w:pPr>
        <w:pBdr/>
        <w:spacing/>
        <w:ind w:hanging="360" w:left="1429"/>
      </w:pPr>
      <w:pStyle w:val="1040"/>
      <w:rPr>
        <w:rFonts w:ascii="Times New Roman" w:hAnsi="Times New Roman" w:eastAsia="Times New Roman" w:cs="Times New Roman"/>
      </w:rPr>
      <w:start w:val="1"/>
      <w:suff w:val="space"/>
    </w:lvl>
    <w:lvl w:ilvl="3">
      <w:isLgl w:val="false"/>
      <w:lvlJc w:val="left"/>
      <w:lvlText w:val="%4)"/>
      <w:numFmt w:val="decimal"/>
      <w:pPr>
        <w:pBdr/>
        <w:spacing/>
        <w:ind w:hanging="360" w:left="1789"/>
      </w:pPr>
      <w:pStyle w:val="1041"/>
      <w:rPr/>
      <w:start w:val="1"/>
      <w:suff w:val="tab"/>
    </w:lvl>
    <w:lvl w:ilvl="4">
      <w:isLgl w:val="false"/>
      <w:lvlJc w:val="left"/>
      <w:lvlText w:val="%5)"/>
      <w:numFmt w:val="lowerLetter"/>
      <w:pPr>
        <w:pBdr/>
        <w:spacing/>
        <w:ind w:hanging="360" w:left="2149"/>
      </w:pPr>
      <w:pStyle w:val="1042"/>
      <w:rPr/>
      <w:start w:val="1"/>
      <w:suff w:val="tab"/>
    </w:lvl>
    <w:lvl w:ilvl="5">
      <w:isLgl w:val="false"/>
      <w:lvlJc w:val="left"/>
      <w:lvlText w:val="%6)"/>
      <w:numFmt w:val="lowerRoman"/>
      <w:pPr>
        <w:pBdr/>
        <w:spacing/>
        <w:ind w:hanging="360" w:left="2509"/>
      </w:pPr>
      <w:pStyle w:val="1043"/>
      <w:rPr/>
      <w:start w:val="1"/>
      <w:suff w:val="tab"/>
    </w:lvl>
    <w:lvl w:ilvl="6">
      <w:isLgl w:val="false"/>
      <w:lvlJc w:val="left"/>
      <w:lvlText w:val="%7)"/>
      <w:numFmt w:val="decimal"/>
      <w:pPr>
        <w:pBdr/>
        <w:spacing/>
        <w:ind w:hanging="360" w:left="2869"/>
      </w:pPr>
      <w:pStyle w:val="1044"/>
      <w:rPr/>
      <w:start w:val="1"/>
      <w:suff w:val="tab"/>
    </w:lvl>
    <w:lvl w:ilvl="7">
      <w:isLgl w:val="false"/>
      <w:lvlJc w:val="left"/>
      <w:lvlText w:val="%8)"/>
      <w:numFmt w:val="lowerLetter"/>
      <w:pPr>
        <w:pBdr/>
        <w:spacing/>
        <w:ind w:hanging="360" w:left="3229"/>
      </w:pPr>
      <w:pStyle w:val="1045"/>
      <w:rPr/>
      <w:start w:val="1"/>
      <w:suff w:val="tab"/>
    </w:lvl>
    <w:lvl w:ilvl="8">
      <w:isLgl w:val="false"/>
      <w:lvlJc w:val="left"/>
      <w:lvlText w:val="%9)"/>
      <w:numFmt w:val="lowerRoman"/>
      <w:pPr>
        <w:pBdr/>
        <w:spacing/>
        <w:ind w:hanging="360" w:left="3589"/>
      </w:pPr>
      <w:pStyle w:val="1046"/>
      <w:rPr/>
      <w:start w:val="1"/>
      <w:suff w:val="tab"/>
    </w:lvl>
  </w:abstractNum>
  <w:abstractNum w:abstractNumId="37">
    <w:nsid w:val="5D4B440B"/>
    <w:lvl w:ilvl="0">
      <w:isLgl w:val="false"/>
      <w:lvlJc w:val="left"/>
      <w:lvlText w:val="CHƯƠNG %1. "/>
      <w:numFmt w:val="upperRoman"/>
      <w:pPr>
        <w:pBdr/>
        <w:spacing/>
        <w:ind w:hanging="360" w:left="709"/>
      </w:pPr>
      <w:pStyle w:val="1038"/>
      <w:rPr>
        <w:rFonts w:ascii="Times New Roman" w:hAnsi="Times New Roman" w:eastAsia="Times New Roman" w:cs="Times New Roman"/>
        <w:b/>
      </w:rPr>
      <w:start w:val="1"/>
      <w:suff w:val="tab"/>
    </w:lvl>
    <w:lvl w:ilvl="1">
      <w:isLgl w:val="false"/>
      <w:lvlJc w:val="left"/>
      <w:lvlText w:val="%1I.%2."/>
      <w:numFmt w:val="decimal"/>
      <w:pPr>
        <w:pBdr/>
        <w:spacing/>
        <w:ind w:hanging="360" w:left="1069"/>
      </w:pPr>
      <w:pStyle w:val="1039"/>
      <w:rPr>
        <w:rFonts w:ascii="Times New Roman" w:hAnsi="Times New Roman" w:eastAsia="Times New Roman" w:cs="Times New Roman"/>
      </w:rPr>
      <w:start w:val="1"/>
      <w:suff w:val="space"/>
    </w:lvl>
    <w:lvl w:ilvl="2">
      <w:isLgl w:val="false"/>
      <w:lvlJc w:val="left"/>
      <w:lvlText w:val="%3)"/>
      <w:numFmt w:val="lowerLetter"/>
      <w:pPr>
        <w:pBdr/>
        <w:spacing/>
        <w:ind w:hanging="360" w:left="1429"/>
      </w:pPr>
      <w:pStyle w:val="1040"/>
      <w:rPr>
        <w:rFonts w:ascii="Times New Roman" w:hAnsi="Times New Roman" w:eastAsia="Times New Roman" w:cs="Times New Roman"/>
      </w:rPr>
      <w:start w:val="1"/>
      <w:suff w:val="space"/>
    </w:lvl>
    <w:lvl w:ilvl="3">
      <w:isLgl w:val="false"/>
      <w:lvlJc w:val="left"/>
      <w:lvlText w:val="%4)"/>
      <w:numFmt w:val="decimal"/>
      <w:pPr>
        <w:pBdr/>
        <w:spacing/>
        <w:ind w:hanging="360" w:left="1789"/>
      </w:pPr>
      <w:pStyle w:val="1041"/>
      <w:rPr/>
      <w:start w:val="1"/>
      <w:suff w:val="tab"/>
    </w:lvl>
    <w:lvl w:ilvl="4">
      <w:isLgl w:val="false"/>
      <w:lvlJc w:val="left"/>
      <w:lvlText w:val="%5)"/>
      <w:numFmt w:val="lowerLetter"/>
      <w:pPr>
        <w:pBdr/>
        <w:spacing/>
        <w:ind w:hanging="360" w:left="2149"/>
      </w:pPr>
      <w:pStyle w:val="1042"/>
      <w:rPr/>
      <w:start w:val="1"/>
      <w:suff w:val="tab"/>
    </w:lvl>
    <w:lvl w:ilvl="5">
      <w:isLgl w:val="false"/>
      <w:lvlJc w:val="left"/>
      <w:lvlText w:val="%6)"/>
      <w:numFmt w:val="lowerRoman"/>
      <w:pPr>
        <w:pBdr/>
        <w:spacing/>
        <w:ind w:hanging="360" w:left="2509"/>
      </w:pPr>
      <w:pStyle w:val="1043"/>
      <w:rPr/>
      <w:start w:val="1"/>
      <w:suff w:val="tab"/>
    </w:lvl>
    <w:lvl w:ilvl="6">
      <w:isLgl w:val="false"/>
      <w:lvlJc w:val="left"/>
      <w:lvlText w:val="%7)"/>
      <w:numFmt w:val="decimal"/>
      <w:pPr>
        <w:pBdr/>
        <w:spacing/>
        <w:ind w:hanging="360" w:left="2869"/>
      </w:pPr>
      <w:pStyle w:val="1044"/>
      <w:rPr/>
      <w:start w:val="1"/>
      <w:suff w:val="tab"/>
    </w:lvl>
    <w:lvl w:ilvl="7">
      <w:isLgl w:val="false"/>
      <w:lvlJc w:val="left"/>
      <w:lvlText w:val="%8)"/>
      <w:numFmt w:val="lowerLetter"/>
      <w:pPr>
        <w:pBdr/>
        <w:spacing/>
        <w:ind w:hanging="360" w:left="3229"/>
      </w:pPr>
      <w:pStyle w:val="1045"/>
      <w:rPr/>
      <w:start w:val="1"/>
      <w:suff w:val="tab"/>
    </w:lvl>
    <w:lvl w:ilvl="8">
      <w:isLgl w:val="false"/>
      <w:lvlJc w:val="left"/>
      <w:lvlText w:val="%9)"/>
      <w:numFmt w:val="lowerRoman"/>
      <w:pPr>
        <w:pBdr/>
        <w:spacing/>
        <w:ind w:hanging="360" w:left="3589"/>
      </w:pPr>
      <w:pStyle w:val="1046"/>
      <w:rPr/>
      <w:start w:val="1"/>
      <w:suff w:val="tab"/>
    </w:lvl>
  </w:abstractNum>
  <w:abstractNum w:abstractNumId="38">
    <w:nsid w:val="57A8E5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051E90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17882B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640600C2"/>
    <w:lvl w:ilvl="0">
      <w:isLgl w:val="true"/>
      <w:lvlJc w:val="left"/>
      <w:lvlText w:val="%1."/>
      <w:numFmt w:val="decimal"/>
      <w:pPr>
        <w:pBdr/>
        <w:tabs>
          <w:tab w:val="num" w:leader="none" w:pos="0"/>
        </w:tabs>
        <w:spacing/>
        <w:ind w:hanging="360" w:left="480"/>
      </w:pPr>
      <w:rPr>
        <w:rFonts w:ascii="Times New Roman" w:hAnsi="Times New Roman" w:eastAsia="Arial" w:cs="Arial"/>
        <w:b w:val="0"/>
        <w:bCs w:val="0"/>
        <w:i w:val="0"/>
        <w:iCs w:val="0"/>
        <w:caps w:val="0"/>
        <w:smallCaps w:val="0"/>
        <w:strike w:val="0"/>
        <w:color w:val="000000"/>
        <w:position w:val="0"/>
        <w:sz w:val="26"/>
        <w:szCs w:val="22"/>
        <w:u w:val="none"/>
        <w:vertAlign w:val="baseline"/>
      </w:rPr>
      <w:start w:val="1"/>
      <w:suff w:val="tab"/>
    </w:lvl>
    <w:lvl w:ilvl="1">
      <w:isLgl w:val="true"/>
      <w:lvlJc w:val="left"/>
      <w:lvlText w:val="○"/>
      <w:numFmt w:val="bullet"/>
      <w:pPr>
        <w:pBdr/>
        <w:tabs>
          <w:tab w:val="num" w:leader="none" w:pos="0"/>
        </w:tabs>
        <w:spacing/>
        <w:ind w:hanging="360" w:left="14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2">
      <w:isLgl w:val="true"/>
      <w:lvlJc w:val="left"/>
      <w:lvlText w:val="■"/>
      <w:numFmt w:val="bullet"/>
      <w:pPr>
        <w:pBdr/>
        <w:tabs>
          <w:tab w:val="num" w:leader="none" w:pos="0"/>
        </w:tabs>
        <w:spacing/>
        <w:ind w:hanging="360" w:left="21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3">
      <w:isLgl w:val="true"/>
      <w:lvlJc w:val="left"/>
      <w:lvlText w:val="■"/>
      <w:numFmt w:val="bullet"/>
      <w:pPr>
        <w:pBdr/>
        <w:tabs>
          <w:tab w:val="num" w:leader="none" w:pos="0"/>
        </w:tabs>
        <w:spacing/>
        <w:ind w:hanging="360" w:left="28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4">
      <w:isLgl w:val="true"/>
      <w:lvlJc w:val="left"/>
      <w:lvlText w:val="■"/>
      <w:numFmt w:val="bullet"/>
      <w:pPr>
        <w:pBdr/>
        <w:tabs>
          <w:tab w:val="num" w:leader="none" w:pos="0"/>
        </w:tabs>
        <w:spacing/>
        <w:ind w:hanging="360" w:left="360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5">
      <w:isLgl w:val="true"/>
      <w:lvlJc w:val="left"/>
      <w:lvlText w:val="■"/>
      <w:numFmt w:val="bullet"/>
      <w:pPr>
        <w:pBdr/>
        <w:tabs>
          <w:tab w:val="num" w:leader="none" w:pos="0"/>
        </w:tabs>
        <w:spacing/>
        <w:ind w:hanging="360" w:left="432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6">
      <w:isLgl w:val="true"/>
      <w:lvlJc w:val="left"/>
      <w:lvlText w:val="■"/>
      <w:numFmt w:val="bullet"/>
      <w:pPr>
        <w:pBdr/>
        <w:tabs>
          <w:tab w:val="num" w:leader="none" w:pos="0"/>
        </w:tabs>
        <w:spacing/>
        <w:ind w:hanging="360" w:left="504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7">
      <w:isLgl w:val="true"/>
      <w:lvlJc w:val="left"/>
      <w:lvlText w:val="■"/>
      <w:numFmt w:val="bullet"/>
      <w:pPr>
        <w:pBdr/>
        <w:tabs>
          <w:tab w:val="num" w:leader="none" w:pos="0"/>
        </w:tabs>
        <w:spacing/>
        <w:ind w:hanging="360" w:left="576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lvl w:ilvl="8">
      <w:isLgl w:val="true"/>
      <w:lvlJc w:val="left"/>
      <w:lvlText w:val="■"/>
      <w:numFmt w:val="bullet"/>
      <w:pPr>
        <w:pBdr/>
        <w:tabs>
          <w:tab w:val="num" w:leader="none" w:pos="0"/>
        </w:tabs>
        <w:spacing/>
        <w:ind w:hanging="360" w:left="6480"/>
      </w:pPr>
      <w:rPr>
        <w:rFonts w:hint="default" w:ascii="Arial" w:hAnsi="Arial" w:cs="Arial"/>
        <w:b w:val="0"/>
        <w:bCs w:val="0"/>
        <w:i w:val="0"/>
        <w:iCs w:val="0"/>
        <w:caps w:val="0"/>
        <w:smallCaps w:val="0"/>
        <w:strike w:val="0"/>
        <w:color w:val="000000"/>
        <w:position w:val="0"/>
        <w:sz w:val="22"/>
        <w:szCs w:val="22"/>
        <w:u w:val="none"/>
        <w:vertAlign w:val="baseline"/>
      </w:rPr>
      <w:start w:val="1"/>
      <w:suff w:val="tab"/>
    </w:lvl>
  </w:abstractNum>
  <w:abstractNum w:abstractNumId="42">
    <w:nsid w:val="47A333F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3">
    <w:nsid w:val="47A333F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3"/>
  </w:num>
  <w:num w:numId="3">
    <w:abstractNumId w:val="14"/>
  </w:num>
  <w:num w:numId="4">
    <w:abstractNumId w:val="1"/>
  </w:num>
  <w:num w:numId="5">
    <w:abstractNumId w:val="10"/>
  </w:num>
  <w:num w:numId="6">
    <w:abstractNumId w:val="20"/>
  </w:num>
  <w:num w:numId="7">
    <w:abstractNumId w:val="15"/>
  </w:num>
  <w:num w:numId="8">
    <w:abstractNumId w:val="3"/>
  </w:num>
  <w:num w:numId="9">
    <w:abstractNumId w:val="19"/>
  </w:num>
  <w:num w:numId="10">
    <w:abstractNumId w:val="6"/>
  </w:num>
  <w:num w:numId="11">
    <w:abstractNumId w:val="18"/>
  </w:num>
  <w:num w:numId="12">
    <w:abstractNumId w:val="16"/>
  </w:num>
  <w:num w:numId="13">
    <w:abstractNumId w:val="4"/>
  </w:num>
  <w:num w:numId="14">
    <w:abstractNumId w:val="17"/>
  </w:num>
  <w:num w:numId="15">
    <w:abstractNumId w:val="7"/>
  </w:num>
  <w:num w:numId="16">
    <w:abstractNumId w:val="12"/>
  </w:num>
  <w:num w:numId="17">
    <w:abstractNumId w:val="9"/>
  </w:num>
  <w:num w:numId="18">
    <w:abstractNumId w:val="11"/>
  </w:num>
  <w:num w:numId="19">
    <w:abstractNumId w:val="8"/>
  </w:num>
  <w:num w:numId="20">
    <w:abstractNumId w:val="2"/>
  </w:num>
  <w:num w:numId="21">
    <w:abstractNumId w:val="5"/>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evenAndOddHeader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54">
    <w:name w:val="Table Grid Light"/>
    <w:basedOn w:val="10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1 Light - Accent 1"/>
    <w:basedOn w:val="10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1 Light - Accent 2"/>
    <w:basedOn w:val="10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1 Light - Accent 3"/>
    <w:basedOn w:val="10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1 Light - Accent 4"/>
    <w:basedOn w:val="10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1 Light - Accent 5"/>
    <w:basedOn w:val="10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1 Light - Accent 6"/>
    <w:basedOn w:val="10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2 - Accent 1"/>
    <w:basedOn w:val="10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2 - Accent 2"/>
    <w:basedOn w:val="10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2 - Accent 3"/>
    <w:basedOn w:val="10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2 - Accent 4"/>
    <w:basedOn w:val="10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2 - Accent 5"/>
    <w:basedOn w:val="10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2 - Accent 6"/>
    <w:basedOn w:val="10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3 - Accent 1"/>
    <w:basedOn w:val="10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3 - Accent 2"/>
    <w:basedOn w:val="10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3 - Accent 3"/>
    <w:basedOn w:val="10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3 - Accent 4"/>
    <w:basedOn w:val="10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3 - Accent 5"/>
    <w:basedOn w:val="10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3 - Accent 6"/>
    <w:basedOn w:val="10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4 - Accent 1"/>
    <w:basedOn w:val="104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4 - Accent 2"/>
    <w:basedOn w:val="104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4 - Accent 3"/>
    <w:basedOn w:val="104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4 - Accent 4"/>
    <w:basedOn w:val="104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4 - Accent 5"/>
    <w:basedOn w:val="104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4 - Accent 6"/>
    <w:basedOn w:val="104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5 Dark - Accent 2"/>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5 Dark - Accent 3"/>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5 Dark - Accent 5"/>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5 Dark - Accent 6"/>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6 Colorful - Accent 1"/>
    <w:basedOn w:val="104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84">
    <w:name w:val="Grid Table 6 Colorful - Accent 2"/>
    <w:basedOn w:val="10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85">
    <w:name w:val="Grid Table 6 Colorful - Accent 3"/>
    <w:basedOn w:val="104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86">
    <w:name w:val="Grid Table 6 Colorful - Accent 4"/>
    <w:basedOn w:val="10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87">
    <w:name w:val="Grid Table 6 Colorful - Accent 5"/>
    <w:basedOn w:val="104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88">
    <w:name w:val="Grid Table 6 Colorful - Accent 6"/>
    <w:basedOn w:val="104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89">
    <w:name w:val="Grid Table 7 Colorful - Accent 1"/>
    <w:basedOn w:val="104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7 Colorful - Accent 2"/>
    <w:basedOn w:val="104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7 Colorful - Accent 3"/>
    <w:basedOn w:val="104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7 Colorful - Accent 4"/>
    <w:basedOn w:val="104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7 Colorful - Accent 5"/>
    <w:basedOn w:val="104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7 Colorful - Accent 6"/>
    <w:basedOn w:val="104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1 Light - Accent 1"/>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1 Light - Accent 2"/>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1 Light - Accent 3"/>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1 Light - Accent 4"/>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1 Light - Accent 5"/>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1 Light - Accent 6"/>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2 - Accent 1"/>
    <w:basedOn w:val="104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2 - Accent 2"/>
    <w:basedOn w:val="104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2 - Accent 3"/>
    <w:basedOn w:val="104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2 - Accent 4"/>
    <w:basedOn w:val="104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2 - Accent 5"/>
    <w:basedOn w:val="104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2 - Accent 6"/>
    <w:basedOn w:val="104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3 - Accent 1"/>
    <w:basedOn w:val="104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3 - Accent 2"/>
    <w:basedOn w:val="10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3 - Accent 3"/>
    <w:basedOn w:val="104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3 - Accent 4"/>
    <w:basedOn w:val="10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3 - Accent 5"/>
    <w:basedOn w:val="104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3 - Accent 6"/>
    <w:basedOn w:val="104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4 - Accent 1"/>
    <w:basedOn w:val="104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4 - Accent 2"/>
    <w:basedOn w:val="104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4 - Accent 3"/>
    <w:basedOn w:val="104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4 - Accent 4"/>
    <w:basedOn w:val="104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4 - Accent 5"/>
    <w:basedOn w:val="104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4 - Accent 6"/>
    <w:basedOn w:val="104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5 Dark - Accent 1"/>
    <w:basedOn w:val="104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0">
    <w:name w:val="List Table 5 Dark - Accent 2"/>
    <w:basedOn w:val="104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1">
    <w:name w:val="List Table 5 Dark - Accent 3"/>
    <w:basedOn w:val="104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2">
    <w:name w:val="List Table 5 Dark - Accent 4"/>
    <w:basedOn w:val="104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3">
    <w:name w:val="List Table 5 Dark - Accent 5"/>
    <w:basedOn w:val="104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4">
    <w:name w:val="List Table 5 Dark - Accent 6"/>
    <w:basedOn w:val="104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5">
    <w:name w:val="List Table 6 Colorful - Accent 1"/>
    <w:basedOn w:val="104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6 Colorful - Accent 2"/>
    <w:basedOn w:val="104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6 Colorful - Accent 3"/>
    <w:basedOn w:val="104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6 Colorful - Accent 4"/>
    <w:basedOn w:val="104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6 Colorful - Accent 5"/>
    <w:basedOn w:val="104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6 Colorful - Accent 6"/>
    <w:basedOn w:val="104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7 Colorful - Accent 1"/>
    <w:basedOn w:val="104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032">
    <w:name w:val="List Table 7 Colorful - Accent 2"/>
    <w:basedOn w:val="104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033">
    <w:name w:val="List Table 7 Colorful - Accent 3"/>
    <w:basedOn w:val="104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034">
    <w:name w:val="List Table 7 Colorful - Accent 4"/>
    <w:basedOn w:val="104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035">
    <w:name w:val="List Table 7 Colorful - Accent 5"/>
    <w:basedOn w:val="104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036">
    <w:name w:val="List Table 7 Colorful - Accent 6"/>
    <w:basedOn w:val="104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paragraph" w:styleId="1037" w:default="1">
    <w:name w:val="Normal"/>
    <w:qFormat/>
    <w:pPr>
      <w:widowControl w:val="false"/>
      <w:pBdr/>
      <w:spacing/>
      <w:ind/>
    </w:pPr>
  </w:style>
  <w:style w:type="paragraph" w:styleId="1038">
    <w:name w:val="Heading 1"/>
    <w:basedOn w:val="1107"/>
    <w:next w:val="1037"/>
    <w:link w:val="1050"/>
    <w:qFormat/>
    <w:pPr>
      <w:numPr>
        <w:ilvl w:val="0"/>
        <w:numId w:val="28"/>
      </w:numPr>
      <w:pBdr/>
      <w:spacing w:after="120" w:before="120" w:line="360" w:lineRule="auto"/>
      <w:ind/>
      <w:jc w:val="center"/>
      <w:outlineLvl w:val="0"/>
    </w:pPr>
    <w:rPr>
      <w:rFonts w:ascii="Times New Roman" w:hAnsi="Times New Roman"/>
      <w:b/>
      <w:bCs/>
      <w:sz w:val="26"/>
      <w:szCs w:val="48"/>
    </w:rPr>
  </w:style>
  <w:style w:type="paragraph" w:styleId="1039">
    <w:name w:val="Heading 2"/>
    <w:basedOn w:val="1107"/>
    <w:next w:val="1037"/>
    <w:link w:val="1051"/>
    <w:qFormat/>
    <w:pPr>
      <w:numPr>
        <w:ilvl w:val="1"/>
        <w:numId w:val="27"/>
      </w:numPr>
      <w:pBdr/>
      <w:spacing w:after="170" w:before="170" w:line="360" w:lineRule="auto"/>
      <w:ind/>
      <w:jc w:val="both"/>
      <w:outlineLvl w:val="1"/>
    </w:pPr>
    <w:rPr>
      <w:rFonts w:ascii="Times New Roman" w:hAnsi="Times New Roman"/>
      <w:b/>
      <w:bCs/>
      <w:sz w:val="26"/>
      <w:szCs w:val="36"/>
    </w:rPr>
  </w:style>
  <w:style w:type="paragraph" w:styleId="1040">
    <w:name w:val="Heading 3"/>
    <w:basedOn w:val="1107"/>
    <w:next w:val="1037"/>
    <w:link w:val="1052"/>
    <w:qFormat/>
    <w:pPr>
      <w:numPr>
        <w:ilvl w:val="2"/>
        <w:numId w:val="27"/>
      </w:numPr>
      <w:pBdr/>
      <w:spacing w:after="170" w:before="170" w:line="360" w:lineRule="auto"/>
      <w:ind/>
      <w:jc w:val="both"/>
      <w:outlineLvl w:val="2"/>
    </w:pPr>
    <w:rPr>
      <w:rFonts w:ascii="Times New Roman" w:hAnsi="Times New Roman"/>
      <w:b/>
      <w:bCs/>
      <w:sz w:val="26"/>
      <w:szCs w:val="28"/>
    </w:rPr>
  </w:style>
  <w:style w:type="paragraph" w:styleId="1041">
    <w:name w:val="Heading 4"/>
    <w:basedOn w:val="1107"/>
    <w:next w:val="1037"/>
    <w:link w:val="1053"/>
    <w:qFormat/>
    <w:pPr>
      <w:numPr>
        <w:ilvl w:val="3"/>
        <w:numId w:val="27"/>
      </w:numPr>
      <w:pBdr/>
      <w:spacing w:after="255" w:before="255"/>
      <w:ind/>
      <w:outlineLvl w:val="3"/>
    </w:pPr>
    <w:rPr>
      <w:b/>
      <w:bCs/>
      <w:sz w:val="24"/>
      <w:szCs w:val="24"/>
    </w:rPr>
  </w:style>
  <w:style w:type="paragraph" w:styleId="1042">
    <w:name w:val="Heading 5"/>
    <w:basedOn w:val="1107"/>
    <w:next w:val="1037"/>
    <w:link w:val="1054"/>
    <w:qFormat/>
    <w:pPr>
      <w:numPr>
        <w:ilvl w:val="4"/>
        <w:numId w:val="27"/>
      </w:numPr>
      <w:pBdr/>
      <w:spacing w:after="255" w:before="255"/>
      <w:ind/>
      <w:outlineLvl w:val="4"/>
    </w:pPr>
    <w:rPr>
      <w:b/>
      <w:bCs/>
      <w:sz w:val="18"/>
      <w:szCs w:val="18"/>
    </w:rPr>
  </w:style>
  <w:style w:type="paragraph" w:styleId="1043">
    <w:name w:val="Heading 6"/>
    <w:basedOn w:val="1107"/>
    <w:next w:val="1037"/>
    <w:link w:val="1055"/>
    <w:qFormat/>
    <w:pPr>
      <w:numPr>
        <w:ilvl w:val="5"/>
        <w:numId w:val="27"/>
      </w:numPr>
      <w:pBdr/>
      <w:spacing w:after="360" w:before="360"/>
      <w:ind/>
      <w:outlineLvl w:val="5"/>
    </w:pPr>
    <w:rPr>
      <w:b/>
      <w:bCs/>
      <w:sz w:val="16"/>
      <w:szCs w:val="16"/>
    </w:rPr>
  </w:style>
  <w:style w:type="paragraph" w:styleId="1044">
    <w:name w:val="Heading 7"/>
    <w:basedOn w:val="1037"/>
    <w:next w:val="1037"/>
    <w:link w:val="1056"/>
    <w:uiPriority w:val="9"/>
    <w:unhideWhenUsed/>
    <w:qFormat/>
    <w:pPr>
      <w:keepNext w:val="true"/>
      <w:keepLines w:val="true"/>
      <w:numPr>
        <w:ilvl w:val="6"/>
        <w:numId w:val="27"/>
      </w:numPr>
      <w:pBdr/>
      <w:spacing w:before="40"/>
      <w:ind/>
      <w:outlineLvl w:val="6"/>
    </w:pPr>
    <w:rPr>
      <w:color w:val="595959" w:themeColor="text1" w:themeTint="A6"/>
    </w:rPr>
  </w:style>
  <w:style w:type="paragraph" w:styleId="1045">
    <w:name w:val="Heading 8"/>
    <w:basedOn w:val="1037"/>
    <w:next w:val="1037"/>
    <w:link w:val="1057"/>
    <w:uiPriority w:val="9"/>
    <w:unhideWhenUsed/>
    <w:qFormat/>
    <w:pPr>
      <w:keepNext w:val="true"/>
      <w:keepLines w:val="true"/>
      <w:numPr>
        <w:ilvl w:val="7"/>
        <w:numId w:val="27"/>
      </w:numPr>
      <w:pBdr/>
      <w:spacing/>
      <w:ind/>
      <w:outlineLvl w:val="7"/>
    </w:pPr>
    <w:rPr>
      <w:i/>
      <w:iCs/>
      <w:color w:val="272727" w:themeColor="text1" w:themeTint="D8"/>
    </w:rPr>
  </w:style>
  <w:style w:type="paragraph" w:styleId="1046">
    <w:name w:val="Heading 9"/>
    <w:basedOn w:val="1037"/>
    <w:next w:val="1037"/>
    <w:link w:val="1058"/>
    <w:uiPriority w:val="9"/>
    <w:unhideWhenUsed/>
    <w:qFormat/>
    <w:pPr>
      <w:keepNext w:val="true"/>
      <w:keepLines w:val="true"/>
      <w:numPr>
        <w:ilvl w:val="8"/>
        <w:numId w:val="27"/>
      </w:numPr>
      <w:pBdr/>
      <w:spacing/>
      <w:ind/>
      <w:outlineLvl w:val="8"/>
    </w:pPr>
    <w:rPr>
      <w:i/>
      <w:iCs/>
      <w:color w:val="272727" w:themeColor="text1" w:themeTint="D8"/>
    </w:rPr>
  </w:style>
  <w:style w:type="character" w:styleId="1047" w:default="1">
    <w:name w:val="Default Paragraph Font"/>
    <w:uiPriority w:val="1"/>
    <w:semiHidden/>
    <w:unhideWhenUsed/>
    <w:pPr>
      <w:pBdr/>
      <w:spacing/>
      <w:ind/>
    </w:pPr>
  </w:style>
  <w:style w:type="table" w:styleId="104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9" w:default="1">
    <w:name w:val="No List"/>
    <w:uiPriority w:val="99"/>
    <w:semiHidden/>
    <w:unhideWhenUsed/>
    <w:pPr>
      <w:pBdr/>
      <w:spacing/>
      <w:ind/>
    </w:pPr>
  </w:style>
  <w:style w:type="character" w:styleId="1050" w:customStyle="1">
    <w:name w:val="Heading 1 Char"/>
    <w:link w:val="1038"/>
    <w:uiPriority w:val="9"/>
    <w:qFormat/>
    <w:pPr>
      <w:pBdr/>
      <w:spacing/>
      <w:ind/>
    </w:pPr>
  </w:style>
  <w:style w:type="character" w:styleId="1051" w:customStyle="1">
    <w:name w:val="Heading 2 Char"/>
    <w:basedOn w:val="1047"/>
    <w:link w:val="1039"/>
    <w:uiPriority w:val="9"/>
    <w:qFormat/>
    <w:pPr>
      <w:pBdr/>
      <w:spacing/>
      <w:ind/>
    </w:pPr>
    <w:rPr>
      <w:rFonts w:ascii="Arial" w:hAnsi="Arial" w:eastAsia="Arial" w:cs="Arial"/>
      <w:color w:val="117a02" w:themeColor="accent1" w:themeShade="BF"/>
      <w:sz w:val="32"/>
      <w:szCs w:val="32"/>
    </w:rPr>
  </w:style>
  <w:style w:type="character" w:styleId="1052" w:customStyle="1">
    <w:name w:val="Heading 3 Char"/>
    <w:basedOn w:val="1047"/>
    <w:link w:val="1040"/>
    <w:uiPriority w:val="9"/>
    <w:qFormat/>
    <w:pPr>
      <w:pBdr/>
      <w:spacing/>
      <w:ind/>
    </w:pPr>
    <w:rPr>
      <w:rFonts w:ascii="Arial" w:hAnsi="Arial" w:eastAsia="Arial" w:cs="Arial"/>
      <w:color w:val="117a02" w:themeColor="accent1" w:themeShade="BF"/>
      <w:sz w:val="28"/>
      <w:szCs w:val="28"/>
    </w:rPr>
  </w:style>
  <w:style w:type="character" w:styleId="1053" w:customStyle="1">
    <w:name w:val="Heading 4 Char"/>
    <w:basedOn w:val="1047"/>
    <w:link w:val="1041"/>
    <w:uiPriority w:val="9"/>
    <w:qFormat/>
    <w:pPr>
      <w:pBdr/>
      <w:spacing/>
      <w:ind/>
    </w:pPr>
    <w:rPr>
      <w:rFonts w:ascii="Arial" w:hAnsi="Arial" w:eastAsia="Arial" w:cs="Arial"/>
      <w:i/>
      <w:iCs/>
      <w:color w:val="117a02" w:themeColor="accent1" w:themeShade="BF"/>
    </w:rPr>
  </w:style>
  <w:style w:type="character" w:styleId="1054" w:customStyle="1">
    <w:name w:val="Heading 5 Char"/>
    <w:basedOn w:val="1047"/>
    <w:link w:val="1042"/>
    <w:uiPriority w:val="9"/>
    <w:qFormat/>
    <w:pPr>
      <w:pBdr/>
      <w:spacing/>
      <w:ind/>
    </w:pPr>
    <w:rPr>
      <w:rFonts w:ascii="Arial" w:hAnsi="Arial" w:eastAsia="Arial" w:cs="Arial"/>
      <w:color w:val="117a02" w:themeColor="accent1" w:themeShade="BF"/>
    </w:rPr>
  </w:style>
  <w:style w:type="character" w:styleId="1055" w:customStyle="1">
    <w:name w:val="Heading 6 Char"/>
    <w:basedOn w:val="1047"/>
    <w:link w:val="1043"/>
    <w:uiPriority w:val="9"/>
    <w:qFormat/>
    <w:pPr>
      <w:pBdr/>
      <w:spacing/>
      <w:ind/>
    </w:pPr>
    <w:rPr>
      <w:rFonts w:ascii="Arial" w:hAnsi="Arial" w:eastAsia="Arial" w:cs="Arial"/>
      <w:i/>
      <w:iCs/>
      <w:color w:val="595959" w:themeColor="text1" w:themeTint="A6"/>
    </w:rPr>
  </w:style>
  <w:style w:type="character" w:styleId="1056" w:customStyle="1">
    <w:name w:val="Heading 7 Char"/>
    <w:basedOn w:val="1047"/>
    <w:link w:val="1044"/>
    <w:uiPriority w:val="9"/>
    <w:qFormat/>
    <w:pPr>
      <w:pBdr/>
      <w:spacing/>
      <w:ind/>
    </w:pPr>
    <w:rPr>
      <w:rFonts w:ascii="Arial" w:hAnsi="Arial" w:eastAsia="Arial" w:cs="Arial"/>
      <w:color w:val="595959" w:themeColor="text1" w:themeTint="A6"/>
    </w:rPr>
  </w:style>
  <w:style w:type="character" w:styleId="1057" w:customStyle="1">
    <w:name w:val="Heading 8 Char"/>
    <w:basedOn w:val="1047"/>
    <w:link w:val="1045"/>
    <w:uiPriority w:val="9"/>
    <w:qFormat/>
    <w:pPr>
      <w:pBdr/>
      <w:spacing/>
      <w:ind/>
    </w:pPr>
    <w:rPr>
      <w:rFonts w:ascii="Arial" w:hAnsi="Arial" w:eastAsia="Arial" w:cs="Arial"/>
      <w:i/>
      <w:iCs/>
      <w:color w:val="272727" w:themeColor="text1" w:themeTint="D8"/>
    </w:rPr>
  </w:style>
  <w:style w:type="character" w:styleId="1058" w:customStyle="1">
    <w:name w:val="Heading 9 Char"/>
    <w:basedOn w:val="1047"/>
    <w:link w:val="1046"/>
    <w:uiPriority w:val="9"/>
    <w:qFormat/>
    <w:pPr>
      <w:pBdr/>
      <w:spacing/>
      <w:ind/>
    </w:pPr>
    <w:rPr>
      <w:rFonts w:ascii="Arial" w:hAnsi="Arial" w:eastAsia="Arial" w:cs="Arial"/>
      <w:i/>
      <w:iCs/>
      <w:color w:val="272727" w:themeColor="text1" w:themeTint="D8"/>
    </w:rPr>
  </w:style>
  <w:style w:type="character" w:styleId="1059" w:customStyle="1">
    <w:name w:val="Title Char"/>
    <w:basedOn w:val="1047"/>
    <w:link w:val="1108"/>
    <w:uiPriority w:val="10"/>
    <w:qFormat/>
    <w:pPr>
      <w:pBdr/>
      <w:spacing/>
      <w:ind/>
    </w:pPr>
    <w:rPr>
      <w:rFonts w:ascii="Arial" w:hAnsi="Arial" w:eastAsia="Arial" w:cs="Arial"/>
      <w:spacing w:val="-10"/>
      <w:sz w:val="56"/>
      <w:szCs w:val="56"/>
    </w:rPr>
  </w:style>
  <w:style w:type="character" w:styleId="1060" w:customStyle="1">
    <w:name w:val="Subtitle Char"/>
    <w:basedOn w:val="1047"/>
    <w:link w:val="1109"/>
    <w:uiPriority w:val="11"/>
    <w:qFormat/>
    <w:pPr>
      <w:pBdr/>
      <w:spacing/>
      <w:ind/>
    </w:pPr>
    <w:rPr>
      <w:color w:val="595959" w:themeColor="text1" w:themeTint="A6"/>
      <w:spacing w:val="15"/>
      <w:sz w:val="28"/>
      <w:szCs w:val="28"/>
    </w:rPr>
  </w:style>
  <w:style w:type="character" w:styleId="1061" w:customStyle="1">
    <w:name w:val="Quote Char"/>
    <w:basedOn w:val="1047"/>
    <w:link w:val="1086"/>
    <w:uiPriority w:val="29"/>
    <w:qFormat/>
    <w:pPr>
      <w:pBdr/>
      <w:spacing/>
      <w:ind/>
    </w:pPr>
    <w:rPr>
      <w:i/>
      <w:iCs/>
      <w:color w:val="404040" w:themeColor="text1" w:themeTint="BF"/>
    </w:rPr>
  </w:style>
  <w:style w:type="character" w:styleId="1062">
    <w:name w:val="Intense Emphasis"/>
    <w:basedOn w:val="1047"/>
    <w:uiPriority w:val="21"/>
    <w:qFormat/>
    <w:pPr>
      <w:pBdr/>
      <w:spacing/>
      <w:ind/>
    </w:pPr>
    <w:rPr>
      <w:i/>
      <w:iCs/>
      <w:color w:val="117a02" w:themeColor="accent1" w:themeShade="BF"/>
    </w:rPr>
  </w:style>
  <w:style w:type="character" w:styleId="1063" w:customStyle="1">
    <w:name w:val="Intense Quote Char"/>
    <w:basedOn w:val="1047"/>
    <w:link w:val="1088"/>
    <w:uiPriority w:val="30"/>
    <w:qFormat/>
    <w:pPr>
      <w:pBdr/>
      <w:spacing/>
      <w:ind/>
    </w:pPr>
    <w:rPr>
      <w:i/>
      <w:iCs/>
      <w:color w:val="117a02" w:themeColor="accent1" w:themeShade="BF"/>
    </w:rPr>
  </w:style>
  <w:style w:type="character" w:styleId="1064">
    <w:name w:val="Intense Reference"/>
    <w:basedOn w:val="1047"/>
    <w:uiPriority w:val="32"/>
    <w:qFormat/>
    <w:pPr>
      <w:pBdr/>
      <w:spacing/>
      <w:ind/>
    </w:pPr>
    <w:rPr>
      <w:b/>
      <w:bCs/>
      <w:smallCaps/>
      <w:color w:val="117a02" w:themeColor="accent1" w:themeShade="BF"/>
      <w:spacing w:val="5"/>
    </w:rPr>
  </w:style>
  <w:style w:type="character" w:styleId="1065">
    <w:name w:val="Subtle Emphasis"/>
    <w:basedOn w:val="1047"/>
    <w:uiPriority w:val="19"/>
    <w:qFormat/>
    <w:pPr>
      <w:pBdr/>
      <w:spacing/>
      <w:ind/>
    </w:pPr>
    <w:rPr>
      <w:i/>
      <w:iCs/>
      <w:color w:val="404040" w:themeColor="text1" w:themeTint="BF"/>
    </w:rPr>
  </w:style>
  <w:style w:type="character" w:styleId="1066">
    <w:name w:val="Emphasis"/>
    <w:basedOn w:val="1047"/>
    <w:uiPriority w:val="20"/>
    <w:qFormat/>
    <w:pPr>
      <w:pBdr/>
      <w:spacing/>
      <w:ind/>
    </w:pPr>
    <w:rPr>
      <w:i/>
      <w:iCs/>
    </w:rPr>
  </w:style>
  <w:style w:type="character" w:styleId="1067">
    <w:name w:val="Strong"/>
    <w:basedOn w:val="1047"/>
    <w:uiPriority w:val="22"/>
    <w:qFormat/>
    <w:pPr>
      <w:pBdr/>
      <w:spacing/>
      <w:ind/>
    </w:pPr>
    <w:rPr>
      <w:b/>
      <w:bCs/>
    </w:rPr>
  </w:style>
  <w:style w:type="character" w:styleId="1068">
    <w:name w:val="Subtle Reference"/>
    <w:basedOn w:val="1047"/>
    <w:uiPriority w:val="31"/>
    <w:qFormat/>
    <w:pPr>
      <w:pBdr/>
      <w:spacing/>
      <w:ind/>
    </w:pPr>
    <w:rPr>
      <w:smallCaps/>
      <w:color w:val="5a5a5a" w:themeColor="text1" w:themeTint="A5"/>
    </w:rPr>
  </w:style>
  <w:style w:type="character" w:styleId="1069">
    <w:name w:val="Book Title"/>
    <w:basedOn w:val="1047"/>
    <w:uiPriority w:val="33"/>
    <w:qFormat/>
    <w:pPr>
      <w:pBdr/>
      <w:spacing/>
      <w:ind/>
    </w:pPr>
    <w:rPr>
      <w:b/>
      <w:bCs/>
      <w:i/>
      <w:iCs/>
      <w:spacing w:val="5"/>
    </w:rPr>
  </w:style>
  <w:style w:type="character" w:styleId="1070" w:customStyle="1">
    <w:name w:val="Header Char"/>
    <w:basedOn w:val="1047"/>
    <w:link w:val="1091"/>
    <w:uiPriority w:val="99"/>
    <w:qFormat/>
    <w:pPr>
      <w:pBdr/>
      <w:spacing/>
      <w:ind/>
    </w:pPr>
  </w:style>
  <w:style w:type="character" w:styleId="1071" w:customStyle="1">
    <w:name w:val="Footer Char"/>
    <w:basedOn w:val="1047"/>
    <w:link w:val="1092"/>
    <w:uiPriority w:val="99"/>
    <w:qFormat/>
    <w:pPr>
      <w:pBdr/>
      <w:spacing/>
      <w:ind/>
    </w:pPr>
  </w:style>
  <w:style w:type="character" w:styleId="1072" w:customStyle="1">
    <w:name w:val="Footnote Text Char"/>
    <w:basedOn w:val="1047"/>
    <w:link w:val="1093"/>
    <w:uiPriority w:val="99"/>
    <w:semiHidden/>
    <w:qFormat/>
    <w:pPr>
      <w:pBdr/>
      <w:spacing/>
      <w:ind/>
    </w:pPr>
    <w:rPr>
      <w:sz w:val="20"/>
      <w:szCs w:val="20"/>
    </w:rPr>
  </w:style>
  <w:style w:type="character" w:styleId="1073" w:customStyle="1">
    <w:name w:val="Footnote Characters"/>
    <w:basedOn w:val="1047"/>
    <w:uiPriority w:val="99"/>
    <w:semiHidden/>
    <w:unhideWhenUsed/>
    <w:qFormat/>
    <w:pPr>
      <w:pBdr/>
      <w:spacing/>
      <w:ind/>
    </w:pPr>
    <w:rPr>
      <w:vertAlign w:val="superscript"/>
    </w:rPr>
  </w:style>
  <w:style w:type="character" w:styleId="1074">
    <w:name w:val="footnote reference"/>
    <w:pPr>
      <w:pBdr/>
      <w:spacing/>
      <w:ind/>
    </w:pPr>
    <w:rPr>
      <w:vertAlign w:val="superscript"/>
    </w:rPr>
  </w:style>
  <w:style w:type="character" w:styleId="1075" w:customStyle="1">
    <w:name w:val="Endnote Text Char"/>
    <w:basedOn w:val="1047"/>
    <w:link w:val="1094"/>
    <w:uiPriority w:val="99"/>
    <w:semiHidden/>
    <w:qFormat/>
    <w:pPr>
      <w:pBdr/>
      <w:spacing/>
      <w:ind/>
    </w:pPr>
    <w:rPr>
      <w:sz w:val="20"/>
      <w:szCs w:val="20"/>
    </w:rPr>
  </w:style>
  <w:style w:type="character" w:styleId="1076" w:customStyle="1">
    <w:name w:val="Endnote Characters"/>
    <w:basedOn w:val="1047"/>
    <w:uiPriority w:val="99"/>
    <w:semiHidden/>
    <w:unhideWhenUsed/>
    <w:qFormat/>
    <w:pPr>
      <w:pBdr/>
      <w:spacing/>
      <w:ind/>
    </w:pPr>
    <w:rPr>
      <w:vertAlign w:val="superscript"/>
    </w:rPr>
  </w:style>
  <w:style w:type="character" w:styleId="1077">
    <w:name w:val="endnote reference"/>
    <w:pPr>
      <w:pBdr/>
      <w:spacing/>
      <w:ind/>
    </w:pPr>
    <w:rPr>
      <w:vertAlign w:val="superscript"/>
    </w:rPr>
  </w:style>
  <w:style w:type="character" w:styleId="1078">
    <w:name w:val="Hyperlink"/>
    <w:basedOn w:val="1047"/>
    <w:uiPriority w:val="99"/>
    <w:unhideWhenUsed/>
    <w:pPr>
      <w:pBdr/>
      <w:spacing/>
      <w:ind/>
    </w:pPr>
    <w:rPr>
      <w:color w:val="0000ee" w:themeColor="hyperlink"/>
      <w:u w:val="single"/>
    </w:rPr>
  </w:style>
  <w:style w:type="character" w:styleId="1079">
    <w:name w:val="FollowedHyperlink"/>
    <w:basedOn w:val="1047"/>
    <w:uiPriority w:val="99"/>
    <w:semiHidden/>
    <w:unhideWhenUsed/>
    <w:pPr>
      <w:pBdr/>
      <w:spacing/>
      <w:ind/>
    </w:pPr>
    <w:rPr>
      <w:color w:val="551a8b" w:themeColor="followedHyperlink"/>
      <w:u w:val="single"/>
    </w:rPr>
  </w:style>
  <w:style w:type="character" w:styleId="1080">
    <w:name w:val="Placeholder Text"/>
    <w:basedOn w:val="1047"/>
    <w:uiPriority w:val="99"/>
    <w:semiHidden/>
    <w:qFormat/>
    <w:pPr>
      <w:pBdr/>
      <w:spacing/>
      <w:ind/>
    </w:pPr>
    <w:rPr>
      <w:color w:val="666666"/>
    </w:rPr>
  </w:style>
  <w:style w:type="paragraph" w:styleId="1081" w:customStyle="1">
    <w:name w:val="Heading"/>
    <w:basedOn w:val="1037"/>
    <w:next w:val="1082"/>
    <w:qFormat/>
    <w:pPr>
      <w:keepNext w:val="true"/>
      <w:pBdr/>
      <w:spacing w:after="120" w:before="240"/>
      <w:ind/>
    </w:pPr>
    <w:rPr>
      <w:rFonts w:ascii="Liberation Sans" w:hAnsi="Liberation Sans" w:eastAsia="Linux Libertine G" w:cs="Linux Libertine G"/>
      <w:sz w:val="28"/>
      <w:szCs w:val="28"/>
    </w:rPr>
  </w:style>
  <w:style w:type="paragraph" w:styleId="1082">
    <w:name w:val="Body Text"/>
    <w:basedOn w:val="1037"/>
    <w:pPr>
      <w:pBdr/>
      <w:spacing w:after="170" w:before="170" w:line="360" w:lineRule="auto"/>
      <w:ind/>
      <w:jc w:val="both"/>
    </w:pPr>
    <w:rPr>
      <w:rFonts w:ascii="Times New Roman" w:hAnsi="Times New Roman"/>
      <w:sz w:val="26"/>
    </w:rPr>
  </w:style>
  <w:style w:type="paragraph" w:styleId="1083">
    <w:name w:val="List"/>
    <w:basedOn w:val="1082"/>
    <w:pPr>
      <w:pBdr/>
      <w:spacing/>
      <w:ind/>
    </w:pPr>
  </w:style>
  <w:style w:type="paragraph" w:styleId="1084">
    <w:name w:val="Caption"/>
    <w:basedOn w:val="1037"/>
    <w:qFormat/>
    <w:pPr>
      <w:suppressLineNumbers w:val="true"/>
      <w:pBdr/>
      <w:spacing w:after="120" w:before="120"/>
      <w:ind/>
    </w:pPr>
    <w:rPr>
      <w:i/>
      <w:iCs/>
      <w:sz w:val="24"/>
      <w:szCs w:val="24"/>
    </w:rPr>
  </w:style>
  <w:style w:type="paragraph" w:styleId="1085" w:customStyle="1">
    <w:name w:val="Index"/>
    <w:basedOn w:val="1037"/>
    <w:qFormat/>
    <w:pPr>
      <w:suppressLineNumbers w:val="true"/>
      <w:pBdr/>
      <w:spacing/>
      <w:ind/>
    </w:pPr>
  </w:style>
  <w:style w:type="paragraph" w:styleId="1086">
    <w:name w:val="Quote"/>
    <w:basedOn w:val="1037"/>
    <w:next w:val="1037"/>
    <w:link w:val="1061"/>
    <w:uiPriority w:val="29"/>
    <w:qFormat/>
    <w:pPr>
      <w:pBdr/>
      <w:spacing w:before="160"/>
      <w:ind/>
      <w:jc w:val="center"/>
    </w:pPr>
    <w:rPr>
      <w:i/>
      <w:iCs/>
      <w:color w:val="404040" w:themeColor="text1" w:themeTint="BF"/>
    </w:rPr>
  </w:style>
  <w:style w:type="paragraph" w:styleId="1087">
    <w:name w:val="List Paragraph"/>
    <w:basedOn w:val="1037"/>
    <w:uiPriority w:val="34"/>
    <w:qFormat/>
    <w:pPr>
      <w:pBdr/>
      <w:spacing/>
      <w:ind w:left="720"/>
      <w:contextualSpacing w:val="true"/>
    </w:pPr>
  </w:style>
  <w:style w:type="paragraph" w:styleId="1088">
    <w:name w:val="Intense Quote"/>
    <w:basedOn w:val="1037"/>
    <w:next w:val="1037"/>
    <w:link w:val="1063"/>
    <w:uiPriority w:val="30"/>
    <w:qFormat/>
    <w:pPr>
      <w:pBdr>
        <w:top w:val="single" w:color="117a02" w:themeColor="accent1" w:themeShade="BF" w:sz="4" w:space="10"/>
        <w:bottom w:val="single" w:color="117a02" w:themeColor="accent1" w:themeShade="BF" w:sz="4" w:space="10"/>
      </w:pBdr>
      <w:spacing w:after="360" w:before="360"/>
      <w:ind w:right="864" w:left="864"/>
      <w:jc w:val="center"/>
    </w:pPr>
    <w:rPr>
      <w:i/>
      <w:iCs/>
      <w:color w:val="117a02" w:themeColor="accent1" w:themeShade="BF"/>
    </w:rPr>
  </w:style>
  <w:style w:type="paragraph" w:styleId="1089">
    <w:name w:val="No Spacing"/>
    <w:basedOn w:val="1037"/>
    <w:uiPriority w:val="1"/>
    <w:qFormat/>
    <w:pPr>
      <w:pBdr/>
      <w:spacing/>
      <w:ind/>
    </w:pPr>
  </w:style>
  <w:style w:type="paragraph" w:styleId="1090" w:customStyle="1">
    <w:name w:val="Header and Footer"/>
    <w:basedOn w:val="1037"/>
    <w:qFormat/>
    <w:pPr>
      <w:pBdr/>
      <w:spacing/>
      <w:ind/>
    </w:pPr>
  </w:style>
  <w:style w:type="paragraph" w:styleId="1091">
    <w:name w:val="Header"/>
    <w:basedOn w:val="1037"/>
    <w:link w:val="1070"/>
    <w:uiPriority w:val="99"/>
    <w:unhideWhenUsed/>
    <w:pPr>
      <w:pBdr/>
      <w:tabs>
        <w:tab w:val="center" w:leader="none" w:pos="4844"/>
        <w:tab w:val="right" w:leader="none" w:pos="9689"/>
      </w:tabs>
      <w:spacing/>
      <w:ind/>
    </w:pPr>
  </w:style>
  <w:style w:type="paragraph" w:styleId="1092">
    <w:name w:val="Footer"/>
    <w:basedOn w:val="1037"/>
    <w:link w:val="1071"/>
    <w:uiPriority w:val="99"/>
    <w:unhideWhenUsed/>
    <w:pPr>
      <w:pBdr/>
      <w:tabs>
        <w:tab w:val="center" w:leader="none" w:pos="4844"/>
        <w:tab w:val="right" w:leader="none" w:pos="9689"/>
      </w:tabs>
      <w:spacing/>
      <w:ind/>
    </w:pPr>
  </w:style>
  <w:style w:type="paragraph" w:styleId="1093">
    <w:name w:val="footnote text"/>
    <w:basedOn w:val="1037"/>
    <w:link w:val="1072"/>
    <w:uiPriority w:val="99"/>
    <w:semiHidden/>
    <w:unhideWhenUsed/>
    <w:pPr>
      <w:pBdr/>
      <w:spacing/>
      <w:ind/>
    </w:pPr>
    <w:rPr>
      <w:sz w:val="20"/>
      <w:szCs w:val="20"/>
    </w:rPr>
  </w:style>
  <w:style w:type="paragraph" w:styleId="1094">
    <w:name w:val="endnote text"/>
    <w:basedOn w:val="1037"/>
    <w:link w:val="1075"/>
    <w:uiPriority w:val="99"/>
    <w:semiHidden/>
    <w:unhideWhenUsed/>
    <w:pPr>
      <w:pBdr/>
      <w:spacing/>
      <w:ind/>
    </w:pPr>
    <w:rPr>
      <w:sz w:val="20"/>
      <w:szCs w:val="20"/>
    </w:rPr>
  </w:style>
  <w:style w:type="paragraph" w:styleId="1095">
    <w:name w:val="toc 1"/>
    <w:basedOn w:val="1037"/>
    <w:next w:val="1037"/>
    <w:uiPriority w:val="39"/>
    <w:unhideWhenUsed/>
    <w:pPr>
      <w:pBdr/>
      <w:spacing w:after="100"/>
      <w:ind/>
    </w:pPr>
  </w:style>
  <w:style w:type="paragraph" w:styleId="1096">
    <w:name w:val="toc 2"/>
    <w:basedOn w:val="1037"/>
    <w:next w:val="1037"/>
    <w:uiPriority w:val="39"/>
    <w:unhideWhenUsed/>
    <w:pPr>
      <w:pBdr/>
      <w:spacing w:after="100"/>
      <w:ind w:left="220"/>
    </w:pPr>
  </w:style>
  <w:style w:type="paragraph" w:styleId="1097">
    <w:name w:val="toc 3"/>
    <w:basedOn w:val="1037"/>
    <w:next w:val="1037"/>
    <w:uiPriority w:val="39"/>
    <w:unhideWhenUsed/>
    <w:pPr>
      <w:pBdr/>
      <w:spacing w:after="100"/>
      <w:ind w:left="440"/>
    </w:pPr>
  </w:style>
  <w:style w:type="paragraph" w:styleId="1098">
    <w:name w:val="toc 4"/>
    <w:basedOn w:val="1037"/>
    <w:next w:val="1037"/>
    <w:uiPriority w:val="39"/>
    <w:unhideWhenUsed/>
    <w:pPr>
      <w:pBdr/>
      <w:spacing w:after="100"/>
      <w:ind w:left="660"/>
    </w:pPr>
  </w:style>
  <w:style w:type="paragraph" w:styleId="1099">
    <w:name w:val="toc 5"/>
    <w:basedOn w:val="1037"/>
    <w:next w:val="1037"/>
    <w:uiPriority w:val="39"/>
    <w:unhideWhenUsed/>
    <w:pPr>
      <w:pBdr/>
      <w:spacing w:after="100"/>
      <w:ind w:left="880"/>
    </w:pPr>
  </w:style>
  <w:style w:type="paragraph" w:styleId="1100">
    <w:name w:val="toc 6"/>
    <w:basedOn w:val="1037"/>
    <w:next w:val="1037"/>
    <w:uiPriority w:val="39"/>
    <w:unhideWhenUsed/>
    <w:pPr>
      <w:pBdr/>
      <w:spacing w:after="100"/>
      <w:ind w:left="1100"/>
    </w:pPr>
  </w:style>
  <w:style w:type="paragraph" w:styleId="1101">
    <w:name w:val="toc 7"/>
    <w:basedOn w:val="1037"/>
    <w:next w:val="1037"/>
    <w:uiPriority w:val="39"/>
    <w:unhideWhenUsed/>
    <w:pPr>
      <w:pBdr/>
      <w:spacing w:after="100"/>
      <w:ind w:left="1320"/>
    </w:pPr>
  </w:style>
  <w:style w:type="paragraph" w:styleId="1102">
    <w:name w:val="toc 8"/>
    <w:basedOn w:val="1037"/>
    <w:next w:val="1037"/>
    <w:uiPriority w:val="39"/>
    <w:unhideWhenUsed/>
    <w:pPr>
      <w:pBdr/>
      <w:spacing w:after="100"/>
      <w:ind w:left="1540"/>
    </w:pPr>
  </w:style>
  <w:style w:type="paragraph" w:styleId="1103">
    <w:name w:val="toc 9"/>
    <w:basedOn w:val="1037"/>
    <w:next w:val="1037"/>
    <w:uiPriority w:val="39"/>
    <w:unhideWhenUsed/>
    <w:pPr>
      <w:pBdr/>
      <w:spacing w:after="100"/>
      <w:ind w:left="1760"/>
    </w:pPr>
  </w:style>
  <w:style w:type="paragraph" w:styleId="1104">
    <w:name w:val="index heading"/>
    <w:basedOn w:val="1081"/>
    <w:pPr>
      <w:pBdr/>
      <w:spacing/>
      <w:ind/>
    </w:pPr>
  </w:style>
  <w:style w:type="paragraph" w:styleId="1105">
    <w:name w:val="TOC Heading"/>
    <w:uiPriority w:val="39"/>
    <w:unhideWhenUsed/>
    <w:qFormat/>
    <w:pPr>
      <w:pBdr/>
      <w:spacing/>
      <w:ind/>
    </w:pPr>
  </w:style>
  <w:style w:type="paragraph" w:styleId="1106">
    <w:name w:val="table of figures"/>
    <w:basedOn w:val="1037"/>
    <w:next w:val="1037"/>
    <w:uiPriority w:val="99"/>
    <w:unhideWhenUsed/>
    <w:pPr>
      <w:pBdr/>
      <w:spacing/>
      <w:ind/>
    </w:pPr>
  </w:style>
  <w:style w:type="paragraph" w:styleId="1107" w:customStyle="1">
    <w:name w:val="normal1"/>
    <w:qFormat/>
    <w:pPr>
      <w:pBdr/>
      <w:spacing/>
      <w:ind/>
    </w:pPr>
  </w:style>
  <w:style w:type="paragraph" w:styleId="1108">
    <w:name w:val="Title"/>
    <w:basedOn w:val="1107"/>
    <w:next w:val="1037"/>
    <w:link w:val="1059"/>
    <w:qFormat/>
    <w:pPr>
      <w:keepNext w:val="true"/>
      <w:keepLines w:val="true"/>
      <w:pBdr/>
      <w:spacing w:after="120" w:before="480"/>
      <w:ind/>
    </w:pPr>
    <w:rPr>
      <w:b/>
      <w:bCs/>
      <w:sz w:val="72"/>
      <w:szCs w:val="72"/>
    </w:rPr>
  </w:style>
  <w:style w:type="paragraph" w:styleId="1109">
    <w:name w:val="Subtitle"/>
    <w:basedOn w:val="1107"/>
    <w:next w:val="1037"/>
    <w:link w:val="1060"/>
    <w:qFormat/>
    <w:pPr>
      <w:keepNext w:val="true"/>
      <w:keepLines w:val="true"/>
      <w:pBdr/>
      <w:spacing w:after="80" w:before="360"/>
      <w:ind/>
    </w:pPr>
    <w:rPr>
      <w:rFonts w:ascii="Georgia" w:hAnsi="Georgia" w:eastAsia="Georgia" w:cs="Georgia"/>
      <w:i/>
      <w:iCs/>
      <w:color w:val="666666"/>
      <w:sz w:val="48"/>
      <w:szCs w:val="48"/>
    </w:rPr>
  </w:style>
  <w:style w:type="table" w:styleId="1110">
    <w:name w:val="Table Grid"/>
    <w:basedOn w:val="1048"/>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Grid Table Light"/>
    <w:basedOn w:val="104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Plain Table 1"/>
    <w:basedOn w:val="104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fffff" w:fill="ffffff" w:themeFill="text1" w:themeFillTint="00"/>
        <w:tcBorders/>
      </w:tcPr>
    </w:tblStylePr>
    <w:tblStylePr w:type="band1Vert">
      <w:pPr>
        <w:pBdr/>
        <w:spacing/>
        <w:ind/>
      </w:pPr>
      <w:tblPr>
        <w:tblBorders/>
      </w:tblPr>
      <w:tcPr>
        <w:shd w:val="clear" w:color="ffffff" w:fill="fffff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Plain Table 2"/>
    <w:basedOn w:val="1048"/>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Plain Table 3"/>
    <w:basedOn w:val="1048"/>
    <w:uiPriority w:val="99"/>
    <w:pPr>
      <w:pBdr/>
      <w:spacing/>
      <w:ind/>
    </w:pPr>
    <w:tblPr>
      <w:tblStyleRowBandSize w:val="1"/>
      <w:tblStyleColBandSize w:val="1"/>
      <w:tblBorders/>
    </w:tblPr>
    <w:tcPr>
      <w:tcBorders/>
    </w:tcPr>
    <w:tblStylePr w:type="band1Horz">
      <w:rPr>
        <w:sz w:val="22"/>
      </w:rPr>
      <w:pPr>
        <w:pBdr/>
        <w:spacing/>
        <w:ind/>
      </w:pPr>
      <w:tblPr>
        <w:tblBorders/>
      </w:tblPr>
      <w:tcPr>
        <w:shd w:val="clear" w:color="ffffff" w:fill="ffffff" w:themeFill="text1" w:themeFillTint="00"/>
        <w:tcBorders/>
      </w:tcPr>
    </w:tblStylePr>
    <w:tblStylePr w:type="band1Vert">
      <w:rPr>
        <w:sz w:val="22"/>
      </w:rPr>
      <w:pPr>
        <w:pBdr/>
        <w:spacing/>
        <w:ind/>
      </w:pPr>
      <w:tblPr>
        <w:tblBorders/>
      </w:tblPr>
      <w:tcPr>
        <w:shd w:val="clear" w:color="ffffff" w:fill="fffff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Plain Table 4"/>
    <w:basedOn w:val="1048"/>
    <w:uiPriority w:val="99"/>
    <w:pPr>
      <w:pBdr/>
      <w:spacing/>
      <w:ind/>
    </w:pPr>
    <w:tblPr>
      <w:tblStyleRowBandSize w:val="1"/>
      <w:tblStyleColBandSize w:val="1"/>
      <w:tblBorders/>
    </w:tblPr>
    <w:tcPr>
      <w:tcBorders/>
    </w:tcPr>
    <w:tblStylePr w:type="band1Horz">
      <w:rPr>
        <w:sz w:val="22"/>
      </w:rPr>
      <w:pPr>
        <w:pBdr/>
        <w:spacing/>
        <w:ind/>
      </w:pPr>
      <w:tblPr>
        <w:tblBorders/>
      </w:tblPr>
      <w:tcPr>
        <w:shd w:val="clear" w:color="ffffff" w:fill="ffffff" w:themeFill="text1" w:themeFillTint="00"/>
        <w:tcBorders/>
      </w:tcPr>
    </w:tblStylePr>
    <w:tblStylePr w:type="band1Vert">
      <w:rPr>
        <w:sz w:val="22"/>
      </w:rPr>
      <w:pPr>
        <w:pBdr/>
        <w:spacing/>
        <w:ind/>
      </w:pPr>
      <w:tblPr>
        <w:tblBorders/>
      </w:tblPr>
      <w:tcPr>
        <w:shd w:val="clear" w:color="ffffff" w:fill="fffff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Plain Table 5"/>
    <w:basedOn w:val="1048"/>
    <w:uiPriority w:val="99"/>
    <w:pPr>
      <w:pBdr/>
      <w:spacing/>
      <w:ind/>
    </w:pPr>
    <w:tblPr>
      <w:tblStyleRowBandSize w:val="1"/>
      <w:tblStyleColBandSize w:val="1"/>
      <w:tblBorders/>
    </w:tblPr>
    <w:tcPr>
      <w:tcBorders/>
    </w:tcPr>
    <w:tblStylePr w:type="band1Horz">
      <w:rPr>
        <w:sz w:val="22"/>
      </w:rPr>
      <w:pPr>
        <w:pBdr/>
        <w:spacing/>
        <w:ind/>
      </w:pPr>
      <w:tblPr>
        <w:tblBorders/>
      </w:tblPr>
      <w:tcPr>
        <w:shd w:val="clear" w:color="ffffff" w:fill="ffffff" w:themeFill="text1" w:themeFillTint="00"/>
        <w:tcBorders/>
      </w:tcPr>
    </w:tblStylePr>
    <w:tblStylePr w:type="band1Vert">
      <w:rPr>
        <w:sz w:val="22"/>
      </w:rPr>
      <w:pPr>
        <w:pBdr/>
        <w:spacing/>
        <w:ind/>
      </w:pPr>
      <w:tblPr>
        <w:tblBorders/>
      </w:tblPr>
      <w:tcPr>
        <w:shd w:val="clear" w:color="ffffff" w:fill="fffff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right w:val="single" w:color="404040" w:sz="4" w:space="0"/>
        </w:tcBorders>
      </w:tcPr>
    </w:tblStylePr>
    <w:tblStylePr w:type="firstRow">
      <w:rPr>
        <w:i/>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fill="auto"/>
        <w:tcBorders>
          <w:left w:val="single" w:color="404040" w:sz="4" w:space="0"/>
        </w:tcBorders>
      </w:tcPr>
    </w:tblStylePr>
    <w:tblStylePr w:type="lastRow">
      <w:rPr>
        <w:i/>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Grid Table 1 Light"/>
    <w:basedOn w:val="1048"/>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1 Light Accent 1"/>
    <w:basedOn w:val="1048"/>
    <w:uiPriority w:val="99"/>
    <w:pPr>
      <w:pBdr/>
      <w:spacing/>
      <w:ind/>
    </w:pPr>
    <w:tblPr>
      <w:tblStyleRowBandSize w:val="1"/>
      <w:tblStyleColBandSize w:val="1"/>
      <w:tblBorders>
        <w:top w:val="single" w:color="87fc76" w:themeColor="accent1" w:themeTint="67" w:sz="4" w:space="0"/>
        <w:left w:val="single" w:color="87fc76" w:themeColor="accent1" w:themeTint="67" w:sz="4" w:space="0"/>
        <w:bottom w:val="single" w:color="87fc76" w:themeColor="accent1" w:themeTint="67" w:sz="4" w:space="0"/>
        <w:right w:val="single" w:color="87fc76" w:themeColor="accent1" w:themeTint="67" w:sz="4" w:space="0"/>
        <w:insideH w:val="single" w:color="87fc76" w:themeColor="accent1" w:themeTint="67" w:sz="4" w:space="0"/>
        <w:insideV w:val="single" w:color="87fc76" w:themeColor="accent1" w:themeTint="67" w:sz="4" w:space="0"/>
      </w:tblBorders>
    </w:tblPr>
    <w:tcPr>
      <w:tcBorders/>
    </w:tcPr>
    <w:tblStylePr w:type="band1Horz">
      <w:rPr>
        <w:sz w:val="22"/>
      </w:rPr>
      <w:pPr>
        <w:pBdr/>
        <w:spacing/>
        <w:ind/>
      </w:pPr>
      <w:tblPr>
        <w:tblBorders/>
      </w:tblPr>
      <w:tcPr>
        <w:tcBorders>
          <w:top w:val="single" w:color="18a303" w:themeColor="accent1" w:sz="4" w:space="0"/>
          <w:left w:val="single" w:color="18a303" w:themeColor="accent1" w:sz="4" w:space="0"/>
          <w:bottom w:val="single" w:color="18a303" w:themeColor="accent1" w:sz="4" w:space="0"/>
          <w:right w:val="single" w:color="18a303"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18a303"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Grid Table 1 Light Accent 2"/>
    <w:basedOn w:val="1048"/>
    <w:uiPriority w:val="99"/>
    <w:pPr>
      <w:pBdr/>
      <w:spacing/>
      <w:ind/>
    </w:pPr>
    <w:tblPr>
      <w:tblStyleRowBandSize w:val="1"/>
      <w:tblStyleColBandSize w:val="1"/>
      <w:tbl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insideH w:val="single" w:color="76cbfc" w:themeColor="accent2" w:themeTint="67" w:sz="4" w:space="0"/>
        <w:insideV w:val="single" w:color="76cbfc" w:themeColor="accent2" w:themeTint="67" w:sz="4" w:space="0"/>
      </w:tblBorders>
    </w:tblPr>
    <w:tcPr>
      <w:tcBorders/>
    </w:tcPr>
    <w:tblStylePr w:type="band1Horz">
      <w:rPr>
        <w:sz w:val="22"/>
      </w:rPr>
      <w:pPr>
        <w:pBdr/>
        <w:spacing/>
        <w:ind/>
      </w:pPr>
      <w:tblPr>
        <w:tblBorders/>
      </w:tblPr>
      <w:tcPr>
        <w:tcBorders>
          <w:top w:val="single" w:color="0369a3" w:themeColor="accent2" w:sz="4" w:space="0"/>
          <w:left w:val="single" w:color="0369a3" w:themeColor="accent2" w:sz="4" w:space="0"/>
          <w:bottom w:val="single" w:color="0369a3" w:themeColor="accent2" w:sz="4" w:space="0"/>
          <w:right w:val="single" w:color="0369a3"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369a3"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Grid Table 1 Light Accent 3"/>
    <w:basedOn w:val="1048"/>
    <w:uiPriority w:val="99"/>
    <w:pPr>
      <w:pBdr/>
      <w:spacing/>
      <w:ind/>
    </w:pPr>
    <w:tblPr>
      <w:tblStyleRowBandSize w:val="1"/>
      <w:tblStyleColBandSize w:val="1"/>
      <w:tbl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insideH w:val="single" w:color="fca776" w:themeColor="accent3" w:themeTint="67" w:sz="4" w:space="0"/>
        <w:insideV w:val="single" w:color="fca776" w:themeColor="accent3" w:themeTint="67" w:sz="4" w:space="0"/>
      </w:tblBorders>
    </w:tblPr>
    <w:tcPr>
      <w:tcBorders/>
    </w:tcPr>
    <w:tblStylePr w:type="band1Horz">
      <w:rPr>
        <w:sz w:val="22"/>
      </w:rPr>
      <w:pPr>
        <w:pBdr/>
        <w:spacing/>
        <w:ind/>
      </w:pPr>
      <w:tblPr>
        <w:tblBorders/>
      </w:tblPr>
      <w:tcPr>
        <w:tcBorders>
          <w:top w:val="single" w:color="a33e03" w:themeColor="accent3" w:sz="4" w:space="0"/>
          <w:left w:val="single" w:color="a33e03" w:themeColor="accent3" w:sz="4" w:space="0"/>
          <w:bottom w:val="single" w:color="a33e03" w:themeColor="accent3" w:sz="4" w:space="0"/>
          <w:right w:val="single" w:color="a33e03"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a33e03"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Grid Table 1 Light Accent 4"/>
    <w:basedOn w:val="1048"/>
    <w:uiPriority w:val="99"/>
    <w:pPr>
      <w:pBdr/>
      <w:spacing/>
      <w:ind/>
    </w:pPr>
    <w:tblPr>
      <w:tblStyleRowBandSize w:val="1"/>
      <w:tblStyleColBandSize w:val="1"/>
      <w:tbl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insideH w:val="single" w:color="ea76fc" w:themeColor="accent4" w:themeTint="67" w:sz="4" w:space="0"/>
        <w:insideV w:val="single" w:color="ea76fc" w:themeColor="accent4" w:themeTint="67" w:sz="4" w:space="0"/>
      </w:tblBorders>
    </w:tblPr>
    <w:tcPr>
      <w:tcBorders/>
    </w:tcPr>
    <w:tblStylePr w:type="band1Horz">
      <w:rPr>
        <w:sz w:val="22"/>
      </w:rPr>
      <w:pPr>
        <w:pBdr/>
        <w:spacing/>
        <w:ind/>
      </w:pPr>
      <w:tblPr>
        <w:tblBorders/>
      </w:tblPr>
      <w:tcPr>
        <w:tcBorders>
          <w:top w:val="single" w:color="8e03a3" w:themeColor="accent4" w:sz="4" w:space="0"/>
          <w:left w:val="single" w:color="8e03a3" w:themeColor="accent4" w:sz="4" w:space="0"/>
          <w:bottom w:val="single" w:color="8e03a3" w:themeColor="accent4" w:sz="4" w:space="0"/>
          <w:right w:val="single" w:color="8e03a3"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8e03a3"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Grid Table 1 Light Accent 5"/>
    <w:basedOn w:val="1048"/>
    <w:uiPriority w:val="99"/>
    <w:pPr>
      <w:pBdr/>
      <w:spacing/>
      <w:ind/>
    </w:pPr>
    <w:tblPr>
      <w:tblStyleRowBandSize w:val="1"/>
      <w:tblStyleColBandSize w:val="1"/>
      <w:tblBorders>
        <w:top w:val="single" w:color="ffe282" w:themeColor="accent5" w:themeTint="67" w:sz="4" w:space="0"/>
        <w:left w:val="single" w:color="ffe282" w:themeColor="accent5" w:themeTint="67" w:sz="4" w:space="0"/>
        <w:bottom w:val="single" w:color="ffe282" w:themeColor="accent5" w:themeTint="67" w:sz="4" w:space="0"/>
        <w:right w:val="single" w:color="ffe282" w:themeColor="accent5" w:themeTint="67" w:sz="4" w:space="0"/>
        <w:insideH w:val="single" w:color="ffe282" w:themeColor="accent5" w:themeTint="67" w:sz="4" w:space="0"/>
        <w:insideV w:val="single" w:color="ffe282" w:themeColor="accent5" w:themeTint="67" w:sz="4" w:space="0"/>
      </w:tblBorders>
    </w:tblPr>
    <w:tcPr>
      <w:tcBorders/>
    </w:tcPr>
    <w:tblStylePr w:type="band1Horz">
      <w:rPr>
        <w:sz w:val="22"/>
      </w:rPr>
      <w:pPr>
        <w:pBdr/>
        <w:spacing/>
        <w:ind/>
      </w:pPr>
      <w:tblPr>
        <w:tblBorders/>
      </w:tblPr>
      <w:tcPr>
        <w:tcBorders>
          <w:top w:val="single" w:color="c99c00" w:themeColor="accent5" w:sz="4" w:space="0"/>
          <w:left w:val="single" w:color="c99c00" w:themeColor="accent5" w:sz="4" w:space="0"/>
          <w:bottom w:val="single" w:color="c99c00" w:themeColor="accent5" w:sz="4" w:space="0"/>
          <w:right w:val="single" w:color="c99c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c99c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Grid Table 1 Light Accent 6"/>
    <w:basedOn w:val="1048"/>
    <w:uiPriority w:val="99"/>
    <w:pPr>
      <w:pBdr/>
      <w:spacing/>
      <w:ind/>
    </w:pPr>
    <w:tblPr>
      <w:tblStyleRowBandSize w:val="1"/>
      <w:tblStyleColBandSize w:val="1"/>
      <w:tblBorders>
        <w:top w:val="single" w:color="f09d9c" w:themeColor="accent6" w:themeTint="67" w:sz="4" w:space="0"/>
        <w:left w:val="single" w:color="f09d9c" w:themeColor="accent6" w:themeTint="67" w:sz="4" w:space="0"/>
        <w:bottom w:val="single" w:color="f09d9c" w:themeColor="accent6" w:themeTint="67" w:sz="4" w:space="0"/>
        <w:right w:val="single" w:color="f09d9c" w:themeColor="accent6" w:themeTint="67" w:sz="4" w:space="0"/>
        <w:insideH w:val="single" w:color="f09d9c" w:themeColor="accent6" w:themeTint="67" w:sz="4" w:space="0"/>
        <w:insideV w:val="single" w:color="f09d9c" w:themeColor="accent6" w:themeTint="67" w:sz="4" w:space="0"/>
      </w:tblBorders>
    </w:tblPr>
    <w:tcPr>
      <w:tcBorders/>
    </w:tcPr>
    <w:tblStylePr w:type="band1Horz">
      <w:rPr>
        <w:sz w:val="22"/>
      </w:rPr>
      <w:pPr>
        <w:pBdr/>
        <w:spacing/>
        <w:ind/>
      </w:pPr>
      <w:tblPr>
        <w:tblBorders/>
      </w:tblPr>
      <w:tcPr>
        <w:tcBorders>
          <w:top w:val="single" w:color="c9211e" w:themeColor="accent6" w:sz="4" w:space="0"/>
          <w:left w:val="single" w:color="c9211e" w:themeColor="accent6" w:sz="4" w:space="0"/>
          <w:bottom w:val="single" w:color="c9211e" w:themeColor="accent6" w:sz="4" w:space="0"/>
          <w:right w:val="single" w:color="c9211e"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c9211e"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Grid Table 2"/>
    <w:basedOn w:val="104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Grid Table 2 Accent 1"/>
    <w:basedOn w:val="1048"/>
    <w:uiPriority w:val="99"/>
    <w:pPr>
      <w:pBdr/>
      <w:spacing/>
      <w:ind/>
    </w:pPr>
    <w:tblPr>
      <w:tblStyleRowBandSize w:val="1"/>
      <w:tblStyleColBandSize w:val="1"/>
      <w:tblBorders>
        <w:bottom w:val="single" w:color="1bbe03" w:themeColor="accent1" w:themeTint="EA" w:sz="4" w:space="0"/>
        <w:insideH w:val="single" w:color="1bbe03" w:themeColor="accent1" w:themeTint="EA" w:sz="4" w:space="0"/>
        <w:insideV w:val="single" w:color="1bbe03" w:themeColor="accent1" w:themeTint="EA" w:sz="4" w:space="0"/>
      </w:tblBorders>
    </w:tblPr>
    <w:tcPr>
      <w:tcBorders/>
    </w:tcPr>
    <w:tblStylePr w:type="band1Horz">
      <w:rPr>
        <w:sz w:val="22"/>
      </w:rPr>
      <w:pPr>
        <w:pBdr/>
        <w:spacing/>
        <w:ind/>
      </w:pPr>
      <w:tblPr>
        <w:tblBorders/>
      </w:tblPr>
      <w:tcPr>
        <w:shd w:val="clear" w:color="ffffff" w:fill="c2fdb9" w:themeFill="accent1" w:themeFillTint="34"/>
        <w:tcBorders/>
      </w:tcPr>
    </w:tblStylePr>
    <w:tblStylePr w:type="band1Vert">
      <w:rPr>
        <w:sz w:val="22"/>
      </w:rPr>
      <w:pPr>
        <w:pBdr/>
        <w:spacing/>
        <w:ind/>
      </w:pPr>
      <w:tblPr>
        <w:tblBorders/>
      </w:tblPr>
      <w:tcPr>
        <w:shd w:val="clear" w:color="ffffff" w:fill="c2fdb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18a303"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18a303"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Grid Table 2 Accent 2"/>
    <w:basedOn w:val="1048"/>
    <w:uiPriority w:val="99"/>
    <w:pPr>
      <w:pBdr/>
      <w:spacing/>
      <w:ind/>
    </w:pPr>
    <w:tblPr>
      <w:tblStyleRowBandSize w:val="1"/>
      <w:tblStyleColBandSize w:val="1"/>
      <w:tblBorders>
        <w:bottom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sz w:val="22"/>
      </w:rPr>
      <w:pPr>
        <w:pBdr/>
        <w:spacing/>
        <w:ind/>
      </w:pPr>
      <w:tblPr>
        <w:tblBorders/>
      </w:tblPr>
      <w:tcPr>
        <w:shd w:val="clear" w:color="ffffff" w:fill="bce6fd" w:themeFill="accent2" w:themeFillTint="32"/>
        <w:tcBorders/>
      </w:tcPr>
    </w:tblStylePr>
    <w:tblStylePr w:type="band1Vert">
      <w:rPr>
        <w:sz w:val="22"/>
      </w:rPr>
      <w:pPr>
        <w:pBdr/>
        <w:spacing/>
        <w:ind/>
      </w:pPr>
      <w:tblPr>
        <w:tblBorders/>
      </w:tblPr>
      <w:tcPr>
        <w:shd w:val="clear" w:color="ffffff" w:fill="bce6f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0369a3"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0369a3"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Grid Table 2 Accent 3"/>
    <w:basedOn w:val="1048"/>
    <w:uiPriority w:val="99"/>
    <w:pPr>
      <w:pBdr/>
      <w:spacing/>
      <w:ind/>
    </w:pPr>
    <w:tblPr>
      <w:tblStyleRowBandSize w:val="1"/>
      <w:tblStyleColBandSize w:val="1"/>
      <w:tblBorders>
        <w:bottom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sz w:val="22"/>
      </w:rPr>
      <w:pPr>
        <w:pBdr/>
        <w:spacing/>
        <w:ind/>
      </w:pPr>
      <w:tblPr>
        <w:tblBorders/>
      </w:tblPr>
      <w:tcPr>
        <w:shd w:val="clear" w:color="ffffff" w:fill="fdd2b9" w:themeFill="accent3" w:themeFillTint="34"/>
        <w:tcBorders/>
      </w:tcPr>
    </w:tblStylePr>
    <w:tblStylePr w:type="band1Vert">
      <w:rPr>
        <w:sz w:val="22"/>
      </w:rPr>
      <w:pPr>
        <w:pBdr/>
        <w:spacing/>
        <w:ind/>
      </w:pPr>
      <w:tblPr>
        <w:tblBorders/>
      </w:tblPr>
      <w:tcPr>
        <w:shd w:val="clear" w:color="ffffff" w:fill="fdd2b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a33e03"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a33e03"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Grid Table 2 Accent 4"/>
    <w:basedOn w:val="1048"/>
    <w:uiPriority w:val="99"/>
    <w:pPr>
      <w:pBdr/>
      <w:spacing/>
      <w:ind/>
    </w:pPr>
    <w:tblPr>
      <w:tblStyleRowBandSize w:val="1"/>
      <w:tblStyleColBandSize w:val="1"/>
      <w:tblBorders>
        <w:bottom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sz w:val="22"/>
      </w:rPr>
      <w:pPr>
        <w:pBdr/>
        <w:spacing/>
        <w:ind/>
      </w:pPr>
      <w:tblPr>
        <w:tblBorders/>
      </w:tblPr>
      <w:tcPr>
        <w:shd w:val="clear" w:color="ffffff" w:fill="f4b9fd" w:themeFill="accent4" w:themeFillTint="34"/>
        <w:tcBorders/>
      </w:tcPr>
    </w:tblStylePr>
    <w:tblStylePr w:type="band1Vert">
      <w:rPr>
        <w:sz w:val="22"/>
      </w:rPr>
      <w:pPr>
        <w:pBdr/>
        <w:spacing/>
        <w:ind/>
      </w:pPr>
      <w:tblPr>
        <w:tblBorders/>
      </w:tblPr>
      <w:tcPr>
        <w:shd w:val="clear" w:color="ffffff" w:fill="f4b9f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8e03a3"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8e03a3"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Grid Table 2 Accent 5"/>
    <w:basedOn w:val="1048"/>
    <w:uiPriority w:val="99"/>
    <w:pPr>
      <w:pBdr/>
      <w:spacing/>
      <w:ind/>
    </w:pPr>
    <w:tblPr>
      <w:tblStyleRowBandSize w:val="1"/>
      <w:tblStyleColBandSize w:val="1"/>
      <w:tblBorders>
        <w:bottom w:val="single" w:color="c99c00" w:themeColor="accent5" w:sz="4" w:space="0"/>
        <w:insideH w:val="single" w:color="c99c00" w:themeColor="accent5" w:sz="4" w:space="0"/>
        <w:insideV w:val="single" w:color="c99c00" w:themeColor="accent5" w:sz="4" w:space="0"/>
      </w:tblBorders>
    </w:tblPr>
    <w:tcPr>
      <w:tcBorders/>
    </w:tcPr>
    <w:tblStylePr w:type="band1Horz">
      <w:rPr>
        <w:sz w:val="22"/>
      </w:rPr>
      <w:pPr>
        <w:pBdr/>
        <w:spacing/>
        <w:ind/>
      </w:pPr>
      <w:tblPr>
        <w:tblBorders/>
      </w:tblPr>
      <w:tcPr>
        <w:shd w:val="clear" w:color="ffffff" w:fill="fff0bf" w:themeFill="accent5" w:themeFillTint="34"/>
        <w:tcBorders/>
      </w:tcPr>
    </w:tblStylePr>
    <w:tblStylePr w:type="band1Vert">
      <w:rPr>
        <w:sz w:val="22"/>
      </w:rPr>
      <w:pPr>
        <w:pBdr/>
        <w:spacing/>
        <w:ind/>
      </w:pPr>
      <w:tblPr>
        <w:tblBorders/>
      </w:tblPr>
      <w:tcPr>
        <w:shd w:val="clear" w:color="ffffff" w:fill="fff0b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c99c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c99c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Grid Table 2 Accent 6"/>
    <w:basedOn w:val="1048"/>
    <w:uiPriority w:val="99"/>
    <w:pPr>
      <w:pBdr/>
      <w:spacing/>
      <w:ind/>
    </w:pPr>
    <w:tblPr>
      <w:tblStyleRowBandSize w:val="1"/>
      <w:tblStyleColBandSize w:val="1"/>
      <w:tblBorders>
        <w:bottom w:val="single" w:color="c9211e" w:themeColor="accent6" w:sz="4" w:space="0"/>
        <w:insideH w:val="single" w:color="c9211e" w:themeColor="accent6" w:sz="4" w:space="0"/>
        <w:insideV w:val="single" w:color="c9211e" w:themeColor="accent6" w:sz="4" w:space="0"/>
      </w:tblBorders>
    </w:tblPr>
    <w:tcPr>
      <w:tcBorders/>
    </w:tcPr>
    <w:tblStylePr w:type="band1Horz">
      <w:rPr>
        <w:sz w:val="22"/>
      </w:rPr>
      <w:pPr>
        <w:pBdr/>
        <w:spacing/>
        <w:ind/>
      </w:pPr>
      <w:tblPr>
        <w:tblBorders/>
      </w:tblPr>
      <w:tcPr>
        <w:shd w:val="clear" w:color="ffffff" w:fill="f7cdcd" w:themeFill="accent6" w:themeFillTint="34"/>
        <w:tcBorders/>
      </w:tcPr>
    </w:tblStylePr>
    <w:tblStylePr w:type="band1Vert">
      <w:rPr>
        <w:sz w:val="22"/>
      </w:rPr>
      <w:pPr>
        <w:pBdr/>
        <w:spacing/>
        <w:ind/>
      </w:pPr>
      <w:tblPr>
        <w:tblBorders/>
      </w:tblPr>
      <w:tcPr>
        <w:shd w:val="clear" w:color="ffffff" w:fill="f7cd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c9211e"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c9211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Grid Table 3"/>
    <w:basedOn w:val="104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Grid Table 3 Accent 1"/>
    <w:basedOn w:val="1048"/>
    <w:uiPriority w:val="99"/>
    <w:pPr>
      <w:pBdr/>
      <w:spacing/>
      <w:ind/>
    </w:pPr>
    <w:tblPr>
      <w:tblStyleRowBandSize w:val="1"/>
      <w:tblStyleColBandSize w:val="1"/>
      <w:tblBorders>
        <w:bottom w:val="single" w:color="1bbe03" w:themeColor="accent1" w:themeTint="EA" w:sz="4" w:space="0"/>
        <w:insideH w:val="single" w:color="1bbe03" w:themeColor="accent1" w:themeTint="EA" w:sz="4" w:space="0"/>
        <w:insideV w:val="single" w:color="1bbe03" w:themeColor="accent1" w:themeTint="EA" w:sz="4" w:space="0"/>
      </w:tblBorders>
    </w:tblPr>
    <w:tcPr>
      <w:tcBorders/>
    </w:tcPr>
    <w:tblStylePr w:type="band1Horz">
      <w:rPr>
        <w:sz w:val="22"/>
      </w:rPr>
      <w:pPr>
        <w:pBdr/>
        <w:spacing/>
        <w:ind/>
      </w:pPr>
      <w:tblPr>
        <w:tblBorders/>
      </w:tblPr>
      <w:tcPr>
        <w:shd w:val="clear" w:color="ffffff" w:fill="c2fdb9" w:themeFill="accent1" w:themeFillTint="34"/>
        <w:tcBorders/>
      </w:tcPr>
    </w:tblStylePr>
    <w:tblStylePr w:type="band1Vert">
      <w:rPr>
        <w:sz w:val="22"/>
      </w:rPr>
      <w:pPr>
        <w:pBdr/>
        <w:spacing/>
        <w:ind/>
      </w:pPr>
      <w:tblPr>
        <w:tblBorders/>
      </w:tblPr>
      <w:tcPr>
        <w:shd w:val="clear" w:color="ffffff" w:fill="c2fdb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Grid Table 3 Accent 2"/>
    <w:basedOn w:val="1048"/>
    <w:uiPriority w:val="99"/>
    <w:pPr>
      <w:pBdr/>
      <w:spacing/>
      <w:ind/>
    </w:pPr>
    <w:tblPr>
      <w:tblStyleRowBandSize w:val="1"/>
      <w:tblStyleColBandSize w:val="1"/>
      <w:tblBorders>
        <w:bottom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sz w:val="22"/>
      </w:rPr>
      <w:pPr>
        <w:pBdr/>
        <w:spacing/>
        <w:ind/>
      </w:pPr>
      <w:tblPr>
        <w:tblBorders/>
      </w:tblPr>
      <w:tcPr>
        <w:shd w:val="clear" w:color="ffffff" w:fill="bce6fd" w:themeFill="accent2" w:themeFillTint="32"/>
        <w:tcBorders/>
      </w:tcPr>
    </w:tblStylePr>
    <w:tblStylePr w:type="band1Vert">
      <w:rPr>
        <w:sz w:val="22"/>
      </w:rPr>
      <w:pPr>
        <w:pBdr/>
        <w:spacing/>
        <w:ind/>
      </w:pPr>
      <w:tblPr>
        <w:tblBorders/>
      </w:tblPr>
      <w:tcPr>
        <w:shd w:val="clear" w:color="ffffff" w:fill="bce6f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Grid Table 3 Accent 3"/>
    <w:basedOn w:val="1048"/>
    <w:uiPriority w:val="99"/>
    <w:pPr>
      <w:pBdr/>
      <w:spacing/>
      <w:ind/>
    </w:pPr>
    <w:tblPr>
      <w:tblStyleRowBandSize w:val="1"/>
      <w:tblStyleColBandSize w:val="1"/>
      <w:tblBorders>
        <w:bottom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sz w:val="22"/>
      </w:rPr>
      <w:pPr>
        <w:pBdr/>
        <w:spacing/>
        <w:ind/>
      </w:pPr>
      <w:tblPr>
        <w:tblBorders/>
      </w:tblPr>
      <w:tcPr>
        <w:shd w:val="clear" w:color="ffffff" w:fill="fdd2b9" w:themeFill="accent3" w:themeFillTint="34"/>
        <w:tcBorders/>
      </w:tcPr>
    </w:tblStylePr>
    <w:tblStylePr w:type="band1Vert">
      <w:rPr>
        <w:sz w:val="22"/>
      </w:rPr>
      <w:pPr>
        <w:pBdr/>
        <w:spacing/>
        <w:ind/>
      </w:pPr>
      <w:tblPr>
        <w:tblBorders/>
      </w:tblPr>
      <w:tcPr>
        <w:shd w:val="clear" w:color="ffffff" w:fill="fdd2b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Grid Table 3 Accent 4"/>
    <w:basedOn w:val="1048"/>
    <w:uiPriority w:val="99"/>
    <w:pPr>
      <w:pBdr/>
      <w:spacing/>
      <w:ind/>
    </w:pPr>
    <w:tblPr>
      <w:tblStyleRowBandSize w:val="1"/>
      <w:tblStyleColBandSize w:val="1"/>
      <w:tblBorders>
        <w:bottom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sz w:val="22"/>
      </w:rPr>
      <w:pPr>
        <w:pBdr/>
        <w:spacing/>
        <w:ind/>
      </w:pPr>
      <w:tblPr>
        <w:tblBorders/>
      </w:tblPr>
      <w:tcPr>
        <w:shd w:val="clear" w:color="ffffff" w:fill="f4b9fd" w:themeFill="accent4" w:themeFillTint="34"/>
        <w:tcBorders/>
      </w:tcPr>
    </w:tblStylePr>
    <w:tblStylePr w:type="band1Vert">
      <w:rPr>
        <w:sz w:val="22"/>
      </w:rPr>
      <w:pPr>
        <w:pBdr/>
        <w:spacing/>
        <w:ind/>
      </w:pPr>
      <w:tblPr>
        <w:tblBorders/>
      </w:tblPr>
      <w:tcPr>
        <w:shd w:val="clear" w:color="ffffff" w:fill="f4b9f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Grid Table 3 Accent 5"/>
    <w:basedOn w:val="1048"/>
    <w:uiPriority w:val="99"/>
    <w:pPr>
      <w:pBdr/>
      <w:spacing/>
      <w:ind/>
    </w:pPr>
    <w:tblPr>
      <w:tblStyleRowBandSize w:val="1"/>
      <w:tblStyleColBandSize w:val="1"/>
      <w:tblBorders>
        <w:bottom w:val="single" w:color="c99c00" w:themeColor="accent5" w:sz="4" w:space="0"/>
        <w:insideH w:val="single" w:color="c99c00" w:themeColor="accent5" w:sz="4" w:space="0"/>
        <w:insideV w:val="single" w:color="c99c00" w:themeColor="accent5" w:sz="4" w:space="0"/>
      </w:tblBorders>
    </w:tblPr>
    <w:tcPr>
      <w:tcBorders/>
    </w:tcPr>
    <w:tblStylePr w:type="band1Horz">
      <w:rPr>
        <w:sz w:val="22"/>
      </w:rPr>
      <w:pPr>
        <w:pBdr/>
        <w:spacing/>
        <w:ind/>
      </w:pPr>
      <w:tblPr>
        <w:tblBorders/>
      </w:tblPr>
      <w:tcPr>
        <w:shd w:val="clear" w:color="ffffff" w:fill="fff0bf" w:themeFill="accent5" w:themeFillTint="34"/>
        <w:tcBorders/>
      </w:tcPr>
    </w:tblStylePr>
    <w:tblStylePr w:type="band1Vert">
      <w:rPr>
        <w:sz w:val="22"/>
      </w:rPr>
      <w:pPr>
        <w:pBdr/>
        <w:spacing/>
        <w:ind/>
      </w:pPr>
      <w:tblPr>
        <w:tblBorders/>
      </w:tblPr>
      <w:tcPr>
        <w:shd w:val="clear" w:color="ffffff" w:fill="fff0b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Grid Table 3 Accent 6"/>
    <w:basedOn w:val="1048"/>
    <w:uiPriority w:val="99"/>
    <w:pPr>
      <w:pBdr/>
      <w:spacing/>
      <w:ind/>
    </w:pPr>
    <w:tblPr>
      <w:tblStyleRowBandSize w:val="1"/>
      <w:tblStyleColBandSize w:val="1"/>
      <w:tblBorders>
        <w:bottom w:val="single" w:color="c9211e" w:themeColor="accent6" w:sz="4" w:space="0"/>
        <w:insideH w:val="single" w:color="c9211e" w:themeColor="accent6" w:sz="4" w:space="0"/>
        <w:insideV w:val="single" w:color="c9211e" w:themeColor="accent6" w:sz="4" w:space="0"/>
      </w:tblBorders>
    </w:tblPr>
    <w:tcPr>
      <w:tcBorders/>
    </w:tcPr>
    <w:tblStylePr w:type="band1Horz">
      <w:rPr>
        <w:sz w:val="22"/>
      </w:rPr>
      <w:pPr>
        <w:pBdr/>
        <w:spacing/>
        <w:ind/>
      </w:pPr>
      <w:tblPr>
        <w:tblBorders/>
      </w:tblPr>
      <w:tcPr>
        <w:shd w:val="clear" w:color="ffffff" w:fill="f7cdcd" w:themeFill="accent6" w:themeFillTint="34"/>
        <w:tcBorders/>
      </w:tcPr>
    </w:tblStylePr>
    <w:tblStylePr w:type="band1Vert">
      <w:rPr>
        <w:sz w:val="22"/>
      </w:rPr>
      <w:pPr>
        <w:pBdr/>
        <w:spacing/>
        <w:ind/>
      </w:pPr>
      <w:tblPr>
        <w:tblBorders/>
      </w:tblPr>
      <w:tcPr>
        <w:shd w:val="clear" w:color="ffffff" w:fill="f7cd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Grid Table 4"/>
    <w:basedOn w:val="1048"/>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Grid Table 4 Accent 1"/>
    <w:basedOn w:val="1048"/>
    <w:uiPriority w:val="59"/>
    <w:pPr>
      <w:pBdr/>
      <w:spacing/>
      <w:ind/>
    </w:pPr>
    <w:tblPr>
      <w:tblStyleRowBandSize w:val="1"/>
      <w:tblStyleColBandSize w:val="1"/>
      <w:tblBorders>
        <w:top w:val="single" w:color="58fb40" w:themeColor="accent1" w:themeTint="90" w:sz="4" w:space="0"/>
        <w:left w:val="single" w:color="58fb40" w:themeColor="accent1" w:themeTint="90" w:sz="4" w:space="0"/>
        <w:bottom w:val="single" w:color="58fb40" w:themeColor="accent1" w:themeTint="90" w:sz="4" w:space="0"/>
        <w:right w:val="single" w:color="58fb40" w:themeColor="accent1" w:themeTint="90" w:sz="4" w:space="0"/>
        <w:insideH w:val="single" w:color="58fb40" w:themeColor="accent1" w:themeTint="90" w:sz="4" w:space="0"/>
        <w:insideV w:val="single" w:color="58fb40" w:themeColor="accent1" w:themeTint="90" w:sz="4" w:space="0"/>
      </w:tblBorders>
    </w:tblPr>
    <w:tcPr>
      <w:tcBorders/>
    </w:tcPr>
    <w:tblStylePr w:type="band1Horz">
      <w:rPr>
        <w:sz w:val="22"/>
      </w:rPr>
      <w:pPr>
        <w:pBdr/>
        <w:spacing/>
        <w:ind/>
      </w:pPr>
      <w:tblPr>
        <w:tblBorders/>
      </w:tblPr>
      <w:tcPr>
        <w:shd w:val="clear" w:color="ffffff" w:fill="c4fdbc" w:themeFill="accent1" w:themeFillTint="32"/>
        <w:tcBorders/>
      </w:tcPr>
    </w:tblStylePr>
    <w:tblStylePr w:type="band1Vert">
      <w:rPr>
        <w:sz w:val="22"/>
      </w:rPr>
      <w:pPr>
        <w:pBdr/>
        <w:spacing/>
        <w:ind/>
      </w:pPr>
      <w:tblPr>
        <w:tblBorders/>
      </w:tblPr>
      <w:tcPr>
        <w:shd w:val="clear" w:color="ffffff" w:fill="c4fdbc"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bbe03" w:themeFill="accent1" w:themeFillTint="EA"/>
        <w:tcBorders>
          <w:top w:val="single" w:color="18a303" w:themeColor="accent1" w:sz="4" w:space="0"/>
          <w:left w:val="single" w:color="18a303" w:themeColor="accent1" w:sz="4" w:space="0"/>
          <w:bottom w:val="single" w:color="18a303" w:themeColor="accent1" w:sz="4" w:space="0"/>
          <w:right w:val="single" w:color="18a303"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18a303"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Grid Table 4 Accent 2"/>
    <w:basedOn w:val="1048"/>
    <w:uiPriority w:val="59"/>
    <w:pPr>
      <w:pBdr/>
      <w:spacing/>
      <w:ind/>
    </w:pPr>
    <w:tblPr>
      <w:tblStyleRowBandSize w:val="1"/>
      <w:tblStyleColBandSize w:val="1"/>
      <w:tblBorders>
        <w:top w:val="single" w:color="40b7fb" w:themeColor="accent2" w:themeTint="90" w:sz="4" w:space="0"/>
        <w:left w:val="single" w:color="40b7fb" w:themeColor="accent2" w:themeTint="90" w:sz="4" w:space="0"/>
        <w:bottom w:val="single" w:color="40b7fb" w:themeColor="accent2" w:themeTint="90" w:sz="4" w:space="0"/>
        <w:right w:val="single" w:color="40b7fb" w:themeColor="accent2" w:themeTint="90" w:sz="4" w:space="0"/>
        <w:insideH w:val="single" w:color="40b7fb" w:themeColor="accent2" w:themeTint="90" w:sz="4" w:space="0"/>
        <w:insideV w:val="single" w:color="40b7fb" w:themeColor="accent2" w:themeTint="90" w:sz="4" w:space="0"/>
      </w:tblBorders>
    </w:tblPr>
    <w:tcPr>
      <w:tcBorders/>
    </w:tcPr>
    <w:tblStylePr w:type="band1Horz">
      <w:rPr>
        <w:sz w:val="22"/>
      </w:rPr>
      <w:pPr>
        <w:pBdr/>
        <w:spacing/>
        <w:ind/>
      </w:pPr>
      <w:tblPr>
        <w:tblBorders/>
      </w:tblPr>
      <w:tcPr>
        <w:shd w:val="clear" w:color="ffffff" w:fill="bce6fd" w:themeFill="accent2" w:themeFillTint="32"/>
        <w:tcBorders/>
      </w:tcPr>
    </w:tblStylePr>
    <w:tblStylePr w:type="band1Vert">
      <w:rPr>
        <w:sz w:val="22"/>
      </w:rPr>
      <w:pPr>
        <w:pBdr/>
        <w:spacing/>
        <w:ind/>
      </w:pPr>
      <w:tblPr>
        <w:tblBorders/>
      </w:tblPr>
      <w:tcPr>
        <w:shd w:val="clear" w:color="ffffff" w:fill="bce6f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6b3fb" w:themeFill="accent2" w:themeFillTint="97"/>
        <w:tcBorders>
          <w:top w:val="single" w:color="0369a3" w:themeColor="accent2" w:sz="4" w:space="0"/>
          <w:left w:val="single" w:color="0369a3" w:themeColor="accent2" w:sz="4" w:space="0"/>
          <w:bottom w:val="single" w:color="0369a3" w:themeColor="accent2" w:sz="4" w:space="0"/>
          <w:right w:val="single" w:color="0369a3"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369a3"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Grid Table 4 Accent 3"/>
    <w:basedOn w:val="1048"/>
    <w:uiPriority w:val="59"/>
    <w:pPr>
      <w:pBdr/>
      <w:spacing/>
      <w:ind/>
    </w:pPr>
    <w:tblPr>
      <w:tblStyleRowBandSize w:val="1"/>
      <w:tblStyleColBandSize w:val="1"/>
      <w:tblBorders>
        <w:top w:val="single" w:color="fb8540" w:themeColor="accent3" w:themeTint="90" w:sz="4" w:space="0"/>
        <w:left w:val="single" w:color="fb8540" w:themeColor="accent3" w:themeTint="90" w:sz="4" w:space="0"/>
        <w:bottom w:val="single" w:color="fb8540" w:themeColor="accent3" w:themeTint="90" w:sz="4" w:space="0"/>
        <w:right w:val="single" w:color="fb8540" w:themeColor="accent3" w:themeTint="90" w:sz="4" w:space="0"/>
        <w:insideH w:val="single" w:color="fb8540" w:themeColor="accent3" w:themeTint="90" w:sz="4" w:space="0"/>
        <w:insideV w:val="single" w:color="fb8540" w:themeColor="accent3" w:themeTint="90" w:sz="4" w:space="0"/>
      </w:tblBorders>
    </w:tblPr>
    <w:tcPr>
      <w:tcBorders/>
    </w:tcPr>
    <w:tblStylePr w:type="band1Horz">
      <w:rPr>
        <w:sz w:val="22"/>
      </w:rPr>
      <w:pPr>
        <w:pBdr/>
        <w:spacing/>
        <w:ind/>
      </w:pPr>
      <w:tblPr>
        <w:tblBorders/>
      </w:tblPr>
      <w:tcPr>
        <w:shd w:val="clear" w:color="ffffff" w:fill="fdd2b9" w:themeFill="accent3" w:themeFillTint="34"/>
        <w:tcBorders/>
      </w:tcPr>
    </w:tblStylePr>
    <w:tblStylePr w:type="band1Vert">
      <w:rPr>
        <w:sz w:val="22"/>
      </w:rPr>
      <w:pPr>
        <w:pBdr/>
        <w:spacing/>
        <w:ind/>
      </w:pPr>
      <w:tblPr>
        <w:tblBorders/>
      </w:tblPr>
      <w:tcPr>
        <w:shd w:val="clear" w:color="ffffff" w:fill="fdd2b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43e03" w:themeFill="accent3" w:themeFillTint="FE"/>
        <w:tcBorders>
          <w:top w:val="single" w:color="a33e03" w:themeColor="accent3" w:sz="4" w:space="0"/>
          <w:left w:val="single" w:color="a33e03" w:themeColor="accent3" w:sz="4" w:space="0"/>
          <w:bottom w:val="single" w:color="a33e03" w:themeColor="accent3" w:sz="4" w:space="0"/>
          <w:right w:val="single" w:color="a33e03"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a33e03"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Grid Table 4 Accent 4"/>
    <w:basedOn w:val="1048"/>
    <w:uiPriority w:val="59"/>
    <w:pPr>
      <w:pBdr/>
      <w:spacing/>
      <w:ind/>
    </w:pPr>
    <w:tblPr>
      <w:tblStyleRowBandSize w:val="1"/>
      <w:tblStyleColBandSize w:val="1"/>
      <w:tblBorders>
        <w:top w:val="single" w:color="e240fb" w:themeColor="accent4" w:themeTint="90" w:sz="4" w:space="0"/>
        <w:left w:val="single" w:color="e240fb" w:themeColor="accent4" w:themeTint="90" w:sz="4" w:space="0"/>
        <w:bottom w:val="single" w:color="e240fb" w:themeColor="accent4" w:themeTint="90" w:sz="4" w:space="0"/>
        <w:right w:val="single" w:color="e240fb" w:themeColor="accent4" w:themeTint="90" w:sz="4" w:space="0"/>
        <w:insideH w:val="single" w:color="e240fb" w:themeColor="accent4" w:themeTint="90" w:sz="4" w:space="0"/>
        <w:insideV w:val="single" w:color="e240fb" w:themeColor="accent4" w:themeTint="90" w:sz="4" w:space="0"/>
      </w:tblBorders>
    </w:tblPr>
    <w:tcPr>
      <w:tcBorders/>
    </w:tcPr>
    <w:tblStylePr w:type="band1Horz">
      <w:rPr>
        <w:sz w:val="22"/>
      </w:rPr>
      <w:pPr>
        <w:pBdr/>
        <w:spacing/>
        <w:ind/>
      </w:pPr>
      <w:tblPr>
        <w:tblBorders/>
      </w:tblPr>
      <w:tcPr>
        <w:shd w:val="clear" w:color="ffffff" w:fill="f4b9fd" w:themeFill="accent4" w:themeFillTint="34"/>
        <w:tcBorders/>
      </w:tcPr>
    </w:tblStylePr>
    <w:tblStylePr w:type="band1Vert">
      <w:rPr>
        <w:sz w:val="22"/>
      </w:rPr>
      <w:pPr>
        <w:pBdr/>
        <w:spacing/>
        <w:ind/>
      </w:pPr>
      <w:tblPr>
        <w:tblBorders/>
      </w:tblPr>
      <w:tcPr>
        <w:shd w:val="clear" w:color="ffffff" w:fill="f4b9f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032fb" w:themeFill="accent4" w:themeFillTint="9A"/>
        <w:tcBorders>
          <w:top w:val="single" w:color="8e03a3" w:themeColor="accent4" w:sz="4" w:space="0"/>
          <w:left w:val="single" w:color="8e03a3" w:themeColor="accent4" w:sz="4" w:space="0"/>
          <w:bottom w:val="single" w:color="8e03a3" w:themeColor="accent4" w:sz="4" w:space="0"/>
          <w:right w:val="single" w:color="8e03a3"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8e03a3"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Grid Table 4 Accent 5"/>
    <w:basedOn w:val="1048"/>
    <w:uiPriority w:val="59"/>
    <w:pPr>
      <w:pBdr/>
      <w:spacing/>
      <w:ind/>
    </w:pPr>
    <w:tblPr>
      <w:tblStyleRowBandSize w:val="1"/>
      <w:tblStyleColBandSize w:val="1"/>
      <w:tblBorders>
        <w:top w:val="single" w:color="ffd750" w:themeColor="accent5" w:themeTint="90" w:sz="4" w:space="0"/>
        <w:left w:val="single" w:color="ffd750" w:themeColor="accent5" w:themeTint="90" w:sz="4" w:space="0"/>
        <w:bottom w:val="single" w:color="ffd750" w:themeColor="accent5" w:themeTint="90" w:sz="4" w:space="0"/>
        <w:right w:val="single" w:color="ffd750" w:themeColor="accent5" w:themeTint="90" w:sz="4" w:space="0"/>
        <w:insideH w:val="single" w:color="ffd750" w:themeColor="accent5" w:themeTint="90" w:sz="4" w:space="0"/>
        <w:insideV w:val="single" w:color="ffd750" w:themeColor="accent5" w:themeTint="90" w:sz="4" w:space="0"/>
      </w:tblBorders>
    </w:tblPr>
    <w:tcPr>
      <w:tcBorders/>
    </w:tcPr>
    <w:tblStylePr w:type="band1Horz">
      <w:rPr>
        <w:sz w:val="22"/>
      </w:rPr>
      <w:pPr>
        <w:pBdr/>
        <w:spacing/>
        <w:ind/>
      </w:pPr>
      <w:tblPr>
        <w:tblBorders/>
      </w:tblPr>
      <w:tcPr>
        <w:shd w:val="clear" w:color="ffffff" w:fill="fff0bf" w:themeFill="accent5" w:themeFillTint="34"/>
        <w:tcBorders/>
      </w:tcPr>
    </w:tblStylePr>
    <w:tblStylePr w:type="band1Vert">
      <w:rPr>
        <w:sz w:val="22"/>
      </w:rPr>
      <w:pPr>
        <w:pBdr/>
        <w:spacing/>
        <w:ind/>
      </w:pPr>
      <w:tblPr>
        <w:tblBorders/>
      </w:tblPr>
      <w:tcPr>
        <w:shd w:val="clear" w:color="ffffff" w:fill="fff0b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op w:val="single" w:color="c99c00" w:themeColor="accent5" w:sz="4" w:space="0"/>
          <w:left w:val="single" w:color="c99c00" w:themeColor="accent5" w:sz="4" w:space="0"/>
          <w:bottom w:val="single" w:color="c99c00" w:themeColor="accent5" w:sz="4" w:space="0"/>
          <w:right w:val="single" w:color="c99c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9c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Grid Table 4 Accent 6"/>
    <w:basedOn w:val="1048"/>
    <w:uiPriority w:val="59"/>
    <w:pPr>
      <w:pBdr/>
      <w:spacing/>
      <w:ind/>
    </w:pPr>
    <w:tblPr>
      <w:tblStyleRowBandSize w:val="1"/>
      <w:tblStyleColBandSize w:val="1"/>
      <w:tblBorders>
        <w:top w:val="single" w:color="ea7775" w:themeColor="accent6" w:themeTint="90" w:sz="4" w:space="0"/>
        <w:left w:val="single" w:color="ea7775" w:themeColor="accent6" w:themeTint="90" w:sz="4" w:space="0"/>
        <w:bottom w:val="single" w:color="ea7775" w:themeColor="accent6" w:themeTint="90" w:sz="4" w:space="0"/>
        <w:right w:val="single" w:color="ea7775" w:themeColor="accent6" w:themeTint="90" w:sz="4" w:space="0"/>
        <w:insideH w:val="single" w:color="ea7775" w:themeColor="accent6" w:themeTint="90" w:sz="4" w:space="0"/>
        <w:insideV w:val="single" w:color="ea7775" w:themeColor="accent6" w:themeTint="90" w:sz="4" w:space="0"/>
      </w:tblBorders>
    </w:tblPr>
    <w:tcPr>
      <w:tcBorders/>
    </w:tcPr>
    <w:tblStylePr w:type="band1Horz">
      <w:rPr>
        <w:sz w:val="22"/>
      </w:rPr>
      <w:pPr>
        <w:pBdr/>
        <w:spacing/>
        <w:ind/>
      </w:pPr>
      <w:tblPr>
        <w:tblBorders/>
      </w:tblPr>
      <w:tcPr>
        <w:shd w:val="clear" w:color="ffffff" w:fill="f7cdcd" w:themeFill="accent6" w:themeFillTint="34"/>
        <w:tcBorders/>
      </w:tcPr>
    </w:tblStylePr>
    <w:tblStylePr w:type="band1Vert">
      <w:rPr>
        <w:sz w:val="22"/>
      </w:rPr>
      <w:pPr>
        <w:pBdr/>
        <w:spacing/>
        <w:ind/>
      </w:pPr>
      <w:tblPr>
        <w:tblBorders/>
      </w:tblPr>
      <w:tcPr>
        <w:shd w:val="clear" w:color="ffffff" w:fill="f7cd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op w:val="single" w:color="c9211e" w:themeColor="accent6" w:sz="4" w:space="0"/>
          <w:left w:val="single" w:color="c9211e" w:themeColor="accent6" w:sz="4" w:space="0"/>
          <w:bottom w:val="single" w:color="c9211e" w:themeColor="accent6" w:sz="4" w:space="0"/>
          <w:right w:val="single" w:color="c9211e"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211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Grid Table 5 Dark"/>
    <w:basedOn w:val="104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Grid Table 5 Dark- Accent 1"/>
    <w:basedOn w:val="104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77fc63" w:themeFill="accent1" w:themeFillTint="75"/>
        <w:tcBorders/>
      </w:tcPr>
    </w:tblStylePr>
    <w:tblStylePr w:type="band1Vert">
      <w:pPr>
        <w:pBdr/>
        <w:spacing/>
        <w:ind/>
      </w:pPr>
      <w:tblPr>
        <w:tblBorders/>
      </w:tblPr>
      <w:tcPr>
        <w:shd w:val="clear" w:color="ffffff" w:fill="77fc63"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8a303" w:themeFill="accent1"/>
        <w:tcBorders/>
      </w:tcPr>
    </w:tblStylePr>
    <w:tblStylePr w:type="firstRow">
      <w:rPr>
        <w:b/>
        <w:sz w:val="22"/>
      </w:rPr>
      <w:pPr>
        <w:pBdr/>
        <w:spacing/>
        <w:ind/>
      </w:pPr>
      <w:tblPr>
        <w:tblBorders/>
      </w:tblPr>
      <w:tcPr>
        <w:shd w:val="clear" w:color="ffffff" w:fill="18a303" w:themeFill="accent1"/>
        <w:tcBorders/>
      </w:tcPr>
    </w:tblStylePr>
    <w:tblStylePr w:type="lastCol">
      <w:rPr>
        <w:b/>
        <w:sz w:val="22"/>
      </w:rPr>
      <w:pPr>
        <w:pBdr/>
        <w:spacing/>
        <w:ind/>
      </w:pPr>
      <w:tblPr>
        <w:tblBorders/>
      </w:tblPr>
      <w:tcPr>
        <w:shd w:val="clear" w:color="ffffff" w:fill="18a303" w:themeFill="accent1"/>
        <w:tcBorders/>
      </w:tcPr>
    </w:tblStylePr>
    <w:tblStylePr w:type="lastRow">
      <w:rPr>
        <w:b/>
        <w:sz w:val="22"/>
      </w:rPr>
      <w:pPr>
        <w:pBdr/>
        <w:spacing/>
        <w:ind/>
      </w:pPr>
      <w:tblPr>
        <w:tblBorders/>
      </w:tblPr>
      <w:tcPr>
        <w:shd w:val="clear" w:color="ffffff" w:fill="18a303"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Grid Table 5 Dark Accent 2"/>
    <w:basedOn w:val="104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63c4fc" w:themeFill="accent2" w:themeFillTint="75"/>
        <w:tcBorders/>
      </w:tcPr>
    </w:tblStylePr>
    <w:tblStylePr w:type="band1Vert">
      <w:pPr>
        <w:pBdr/>
        <w:spacing/>
        <w:ind/>
      </w:pPr>
      <w:tblPr>
        <w:tblBorders/>
      </w:tblPr>
      <w:tcPr>
        <w:shd w:val="clear" w:color="ffffff" w:fill="63c4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369a3" w:themeFill="accent2"/>
        <w:tcBorders/>
      </w:tcPr>
    </w:tblStylePr>
    <w:tblStylePr w:type="firstRow">
      <w:rPr>
        <w:b/>
        <w:sz w:val="22"/>
      </w:rPr>
      <w:pPr>
        <w:pBdr/>
        <w:spacing/>
        <w:ind/>
      </w:pPr>
      <w:tblPr>
        <w:tblBorders/>
      </w:tblPr>
      <w:tcPr>
        <w:shd w:val="clear" w:color="ffffff" w:fill="0369a3" w:themeFill="accent2"/>
        <w:tcBorders/>
      </w:tcPr>
    </w:tblStylePr>
    <w:tblStylePr w:type="lastCol">
      <w:rPr>
        <w:b/>
        <w:sz w:val="22"/>
      </w:rPr>
      <w:pPr>
        <w:pBdr/>
        <w:spacing/>
        <w:ind/>
      </w:pPr>
      <w:tblPr>
        <w:tblBorders/>
      </w:tblPr>
      <w:tcPr>
        <w:shd w:val="clear" w:color="ffffff" w:fill="0369a3" w:themeFill="accent2"/>
        <w:tcBorders/>
      </w:tcPr>
    </w:tblStylePr>
    <w:tblStylePr w:type="lastRow">
      <w:rPr>
        <w:b/>
        <w:sz w:val="22"/>
      </w:rPr>
      <w:pPr>
        <w:pBdr/>
        <w:spacing/>
        <w:ind/>
      </w:pPr>
      <w:tblPr>
        <w:tblBorders/>
      </w:tblPr>
      <w:tcPr>
        <w:shd w:val="clear" w:color="ffffff" w:fill="0369a3"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Grid Table 5 Dark Accent 3"/>
    <w:basedOn w:val="104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fc9b63" w:themeFill="accent3" w:themeFillTint="75"/>
        <w:tcBorders/>
      </w:tcPr>
    </w:tblStylePr>
    <w:tblStylePr w:type="band1Vert">
      <w:pPr>
        <w:pBdr/>
        <w:spacing/>
        <w:ind/>
      </w:pPr>
      <w:tblPr>
        <w:tblBorders/>
      </w:tblPr>
      <w:tcPr>
        <w:shd w:val="clear" w:color="ffffff" w:fill="fc9b6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33e03" w:themeFill="accent3"/>
        <w:tcBorders/>
      </w:tcPr>
    </w:tblStylePr>
    <w:tblStylePr w:type="firstRow">
      <w:rPr>
        <w:b/>
        <w:sz w:val="22"/>
      </w:rPr>
      <w:pPr>
        <w:pBdr/>
        <w:spacing/>
        <w:ind/>
      </w:pPr>
      <w:tblPr>
        <w:tblBorders/>
      </w:tblPr>
      <w:tcPr>
        <w:shd w:val="clear" w:color="ffffff" w:fill="a33e03" w:themeFill="accent3"/>
        <w:tcBorders/>
      </w:tcPr>
    </w:tblStylePr>
    <w:tblStylePr w:type="lastCol">
      <w:rPr>
        <w:b/>
        <w:sz w:val="22"/>
      </w:rPr>
      <w:pPr>
        <w:pBdr/>
        <w:spacing/>
        <w:ind/>
      </w:pPr>
      <w:tblPr>
        <w:tblBorders/>
      </w:tblPr>
      <w:tcPr>
        <w:shd w:val="clear" w:color="ffffff" w:fill="a33e03" w:themeFill="accent3"/>
        <w:tcBorders/>
      </w:tcPr>
    </w:tblStylePr>
    <w:tblStylePr w:type="lastRow">
      <w:rPr>
        <w:b/>
        <w:sz w:val="22"/>
      </w:rPr>
      <w:pPr>
        <w:pBdr/>
        <w:spacing/>
        <w:ind/>
      </w:pPr>
      <w:tblPr>
        <w:tblBorders/>
      </w:tblPr>
      <w:tcPr>
        <w:shd w:val="clear" w:color="ffffff" w:fill="a33e03"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customStyle="1">
    <w:name w:val="Grid Table 5 Dark- Accent 4"/>
    <w:basedOn w:val="104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e763fc" w:themeFill="accent4" w:themeFillTint="75"/>
        <w:tcBorders/>
      </w:tcPr>
    </w:tblStylePr>
    <w:tblStylePr w:type="band1Vert">
      <w:pPr>
        <w:pBdr/>
        <w:spacing/>
        <w:ind/>
      </w:pPr>
      <w:tblPr>
        <w:tblBorders/>
      </w:tblPr>
      <w:tcPr>
        <w:shd w:val="clear" w:color="ffffff" w:fill="e763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8e03a3" w:themeFill="accent4"/>
        <w:tcBorders/>
      </w:tcPr>
    </w:tblStylePr>
    <w:tblStylePr w:type="firstRow">
      <w:rPr>
        <w:b/>
        <w:sz w:val="22"/>
      </w:rPr>
      <w:pPr>
        <w:pBdr/>
        <w:spacing/>
        <w:ind/>
      </w:pPr>
      <w:tblPr>
        <w:tblBorders/>
      </w:tblPr>
      <w:tcPr>
        <w:shd w:val="clear" w:color="ffffff" w:fill="8e03a3" w:themeFill="accent4"/>
        <w:tcBorders/>
      </w:tcPr>
    </w:tblStylePr>
    <w:tblStylePr w:type="lastCol">
      <w:rPr>
        <w:b/>
        <w:sz w:val="22"/>
      </w:rPr>
      <w:pPr>
        <w:pBdr/>
        <w:spacing/>
        <w:ind/>
      </w:pPr>
      <w:tblPr>
        <w:tblBorders/>
      </w:tblPr>
      <w:tcPr>
        <w:shd w:val="clear" w:color="ffffff" w:fill="8e03a3" w:themeFill="accent4"/>
        <w:tcBorders/>
      </w:tcPr>
    </w:tblStylePr>
    <w:tblStylePr w:type="lastRow">
      <w:rPr>
        <w:b/>
        <w:sz w:val="22"/>
      </w:rPr>
      <w:pPr>
        <w:pBdr/>
        <w:spacing/>
        <w:ind/>
      </w:pPr>
      <w:tblPr>
        <w:tblBorders/>
      </w:tblPr>
      <w:tcPr>
        <w:shd w:val="clear" w:color="ffffff" w:fill="8e03a3"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Grid Table 5 Dark Accent 5"/>
    <w:basedOn w:val="104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ffde71" w:themeFill="accent5" w:themeFillTint="75"/>
        <w:tcBorders/>
      </w:tcPr>
    </w:tblStylePr>
    <w:tblStylePr w:type="band1Vert">
      <w:pPr>
        <w:pBdr/>
        <w:spacing/>
        <w:ind/>
      </w:pPr>
      <w:tblPr>
        <w:tblBorders/>
      </w:tblPr>
      <w:tcPr>
        <w:shd w:val="clear" w:color="ffffff" w:fill="ffde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9c00" w:themeFill="accent5"/>
        <w:tcBorders/>
      </w:tcPr>
    </w:tblStylePr>
    <w:tblStylePr w:type="firstRow">
      <w:rPr>
        <w:b/>
        <w:sz w:val="22"/>
      </w:rPr>
      <w:pPr>
        <w:pBdr/>
        <w:spacing/>
        <w:ind/>
      </w:pPr>
      <w:tblPr>
        <w:tblBorders/>
      </w:tblPr>
      <w:tcPr>
        <w:shd w:val="clear" w:color="ffffff" w:fill="c99c00" w:themeFill="accent5"/>
        <w:tcBorders/>
      </w:tcPr>
    </w:tblStylePr>
    <w:tblStylePr w:type="lastCol">
      <w:rPr>
        <w:b/>
        <w:sz w:val="22"/>
      </w:rPr>
      <w:pPr>
        <w:pBdr/>
        <w:spacing/>
        <w:ind/>
      </w:pPr>
      <w:tblPr>
        <w:tblBorders/>
      </w:tblPr>
      <w:tcPr>
        <w:shd w:val="clear" w:color="ffffff" w:fill="c99c00" w:themeFill="accent5"/>
        <w:tcBorders/>
      </w:tcPr>
    </w:tblStylePr>
    <w:tblStylePr w:type="lastRow">
      <w:rPr>
        <w:b/>
        <w:sz w:val="22"/>
      </w:rPr>
      <w:pPr>
        <w:pBdr/>
        <w:spacing/>
        <w:ind/>
      </w:pPr>
      <w:tblPr>
        <w:tblBorders/>
      </w:tblPr>
      <w:tcPr>
        <w:shd w:val="clear" w:color="ffffff" w:fill="c99c00"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Grid Table 5 Dark Accent 6"/>
    <w:basedOn w:val="104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ee908f" w:themeFill="accent6" w:themeFillTint="75"/>
        <w:tcBorders/>
      </w:tcPr>
    </w:tblStylePr>
    <w:tblStylePr w:type="band1Vert">
      <w:pPr>
        <w:pBdr/>
        <w:spacing/>
        <w:ind/>
      </w:pPr>
      <w:tblPr>
        <w:tblBorders/>
      </w:tblPr>
      <w:tcPr>
        <w:shd w:val="clear" w:color="ffffff" w:fill="ee908f"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211e" w:themeFill="accent6"/>
        <w:tcBorders/>
      </w:tcPr>
    </w:tblStylePr>
    <w:tblStylePr w:type="firstRow">
      <w:rPr>
        <w:b/>
        <w:sz w:val="22"/>
      </w:rPr>
      <w:pPr>
        <w:pBdr/>
        <w:spacing/>
        <w:ind/>
      </w:pPr>
      <w:tblPr>
        <w:tblBorders/>
      </w:tblPr>
      <w:tcPr>
        <w:shd w:val="clear" w:color="ffffff" w:fill="c9211e" w:themeFill="accent6"/>
        <w:tcBorders/>
      </w:tcPr>
    </w:tblStylePr>
    <w:tblStylePr w:type="lastCol">
      <w:rPr>
        <w:b/>
        <w:sz w:val="22"/>
      </w:rPr>
      <w:pPr>
        <w:pBdr/>
        <w:spacing/>
        <w:ind/>
      </w:pPr>
      <w:tblPr>
        <w:tblBorders/>
      </w:tblPr>
      <w:tcPr>
        <w:shd w:val="clear" w:color="ffffff" w:fill="c9211e" w:themeFill="accent6"/>
        <w:tcBorders/>
      </w:tcPr>
    </w:tblStylePr>
    <w:tblStylePr w:type="lastRow">
      <w:rPr>
        <w:b/>
        <w:sz w:val="22"/>
      </w:rPr>
      <w:pPr>
        <w:pBdr/>
        <w:spacing/>
        <w:ind/>
      </w:pPr>
      <w:tblPr>
        <w:tblBorders/>
      </w:tblPr>
      <w:tcPr>
        <w:shd w:val="clear" w:color="ffffff" w:fill="c9211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Grid Table 6 Colorful"/>
    <w:basedOn w:val="1048"/>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000000" w:themeColor="text1"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6 Colorful Accent 1"/>
    <w:basedOn w:val="1048"/>
    <w:uiPriority w:val="99"/>
    <w:pPr>
      <w:pBdr/>
      <w:spacing/>
      <w:ind/>
    </w:pPr>
    <w:tblPr>
      <w:tblStyleRowBandSize w:val="1"/>
      <w:tblStyleColBandSize w:val="1"/>
      <w:tblBorders>
        <w:top w:val="single" w:color="6afc55" w:themeColor="accent1" w:themeTint="80" w:sz="4" w:space="0"/>
        <w:left w:val="single" w:color="6afc55" w:themeColor="accent1" w:themeTint="80" w:sz="4" w:space="0"/>
        <w:bottom w:val="single" w:color="6afc55" w:themeColor="accent1" w:themeTint="80" w:sz="4" w:space="0"/>
        <w:right w:val="single" w:color="6afc55" w:themeColor="accent1" w:themeTint="80" w:sz="4" w:space="0"/>
        <w:insideH w:val="single" w:color="6afc55" w:themeColor="accent1" w:themeTint="80" w:sz="4" w:space="0"/>
        <w:insideV w:val="single" w:color="6afc55" w:themeColor="accent1" w:themeTint="80" w:sz="4" w:space="0"/>
      </w:tblBorders>
    </w:tblPr>
    <w:tcPr>
      <w:tcBorders/>
    </w:tcPr>
    <w:tblStylePr w:type="band1Horz">
      <w:rPr>
        <w:color w:val="6afc55" w:themeColor="accent1" w:themeTint="80" w:themeShade="95"/>
        <w:sz w:val="22"/>
      </w:rPr>
      <w:pPr>
        <w:pBdr/>
        <w:spacing/>
        <w:ind/>
      </w:pPr>
      <w:tblPr>
        <w:tblBorders/>
      </w:tblPr>
      <w:tcPr>
        <w:shd w:val="clear" w:color="ffffff" w:fill="c2fdb9" w:themeFill="accent1" w:themeFillTint="34"/>
        <w:tcBorders/>
      </w:tcPr>
    </w:tblStylePr>
    <w:tblStylePr w:type="band1Vert">
      <w:pPr>
        <w:pBdr/>
        <w:spacing/>
        <w:ind/>
      </w:pPr>
      <w:tblPr>
        <w:tblBorders/>
      </w:tblPr>
      <w:tcPr>
        <w:shd w:val="clear" w:color="ffffff" w:fill="c2fdb9" w:themeFill="accent1" w:themeFillTint="34"/>
        <w:tcBorders/>
      </w:tcPr>
    </w:tblStylePr>
    <w:tblStylePr w:type="band2Horz">
      <w:rPr>
        <w:color w:val="6afc5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afc55" w:themeColor="accent1" w:themeTint="80" w:themeShade="95"/>
      </w:rPr>
      <w:pPr>
        <w:pBdr/>
        <w:spacing/>
        <w:ind/>
      </w:pPr>
      <w:tblPr>
        <w:tblBorders/>
      </w:tblPr>
      <w:tcPr>
        <w:tcBorders/>
      </w:tcPr>
    </w:tblStylePr>
    <w:tblStylePr w:type="firstRow">
      <w:rPr>
        <w:b/>
        <w:color w:val="6afc55" w:themeColor="accent1" w:themeTint="80" w:themeShade="95"/>
      </w:rPr>
      <w:pPr>
        <w:pBdr/>
        <w:spacing/>
        <w:ind/>
      </w:pPr>
      <w:tblPr>
        <w:tblBorders/>
      </w:tblPr>
      <w:tcPr>
        <w:tcBorders>
          <w:bottom w:val="single" w:color="18a303" w:themeColor="accent1" w:sz="12" w:space="0"/>
        </w:tcBorders>
      </w:tcPr>
    </w:tblStylePr>
    <w:tblStylePr w:type="lastCol">
      <w:rPr>
        <w:b/>
        <w:color w:val="6afc55" w:themeColor="accent1" w:themeTint="80" w:themeShade="95"/>
      </w:rPr>
      <w:pPr>
        <w:pBdr/>
        <w:spacing/>
        <w:ind/>
      </w:pPr>
      <w:tblPr>
        <w:tblBorders/>
      </w:tblPr>
      <w:tcPr>
        <w:tcBorders/>
      </w:tcPr>
    </w:tblStylePr>
    <w:tblStylePr w:type="lastRow">
      <w:rPr>
        <w:b/>
        <w:color w:val="6afc5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Grid Table 6 Colorful Accent 2"/>
    <w:basedOn w:val="1048"/>
    <w:uiPriority w:val="99"/>
    <w:pPr>
      <w:pBdr/>
      <w:spacing/>
      <w:ind/>
    </w:pPr>
    <w:tblPr>
      <w:tblStyleRowBandSize w:val="1"/>
      <w:tblStyleColBandSize w:val="1"/>
      <w:tblBorders>
        <w:top w:val="single" w:color="36b3fb" w:themeColor="accent2" w:themeTint="97" w:sz="4" w:space="0"/>
        <w:left w:val="single" w:color="36b3fb" w:themeColor="accent2" w:themeTint="97" w:sz="4" w:space="0"/>
        <w:bottom w:val="single" w:color="36b3fb" w:themeColor="accent2" w:themeTint="97" w:sz="4" w:space="0"/>
        <w:right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color w:val="36b3fb" w:themeColor="accent2" w:themeTint="97" w:themeShade="95"/>
        <w:sz w:val="22"/>
      </w:rPr>
      <w:pPr>
        <w:pBdr/>
        <w:spacing/>
        <w:ind/>
      </w:pPr>
      <w:tblPr>
        <w:tblBorders/>
      </w:tblPr>
      <w:tcPr>
        <w:shd w:val="clear" w:color="ffffff" w:fill="bce6fd" w:themeFill="accent2" w:themeFillTint="32"/>
        <w:tcBorders/>
      </w:tcPr>
    </w:tblStylePr>
    <w:tblStylePr w:type="band1Vert">
      <w:pPr>
        <w:pBdr/>
        <w:spacing/>
        <w:ind/>
      </w:pPr>
      <w:tblPr>
        <w:tblBorders/>
      </w:tblPr>
      <w:tcPr>
        <w:shd w:val="clear" w:color="ffffff" w:fill="bce6fd" w:themeFill="accent2" w:themeFillTint="32"/>
        <w:tcBorders/>
      </w:tcPr>
    </w:tblStylePr>
    <w:tblStylePr w:type="band2Horz">
      <w:rPr>
        <w:color w:val="36b3f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b3fb" w:themeColor="accent2" w:themeTint="97" w:themeShade="95"/>
      </w:rPr>
      <w:pPr>
        <w:pBdr/>
        <w:spacing/>
        <w:ind/>
      </w:pPr>
      <w:tblPr>
        <w:tblBorders/>
      </w:tblPr>
      <w:tcPr>
        <w:tcBorders/>
      </w:tcPr>
    </w:tblStylePr>
    <w:tblStylePr w:type="firstRow">
      <w:rPr>
        <w:b/>
        <w:color w:val="36b3fb" w:themeColor="accent2" w:themeTint="97" w:themeShade="95"/>
      </w:rPr>
      <w:pPr>
        <w:pBdr/>
        <w:spacing/>
        <w:ind/>
      </w:pPr>
      <w:tblPr>
        <w:tblBorders/>
      </w:tblPr>
      <w:tcPr>
        <w:tcBorders>
          <w:bottom w:val="single" w:color="0369a3" w:themeColor="accent2" w:sz="12" w:space="0"/>
        </w:tcBorders>
      </w:tcPr>
    </w:tblStylePr>
    <w:tblStylePr w:type="lastCol">
      <w:rPr>
        <w:b/>
        <w:color w:val="36b3fb" w:themeColor="accent2" w:themeTint="97" w:themeShade="95"/>
      </w:rPr>
      <w:pPr>
        <w:pBdr/>
        <w:spacing/>
        <w:ind/>
      </w:pPr>
      <w:tblPr>
        <w:tblBorders/>
      </w:tblPr>
      <w:tcPr>
        <w:tcBorders/>
      </w:tcPr>
    </w:tblStylePr>
    <w:tblStylePr w:type="lastRow">
      <w:rPr>
        <w:b/>
        <w:color w:val="36b3fb"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Grid Table 6 Colorful Accent 3"/>
    <w:basedOn w:val="1048"/>
    <w:uiPriority w:val="99"/>
    <w:pPr>
      <w:pBdr/>
      <w:spacing/>
      <w:ind/>
    </w:pPr>
    <w:tblPr>
      <w:tblStyleRowBandSize w:val="1"/>
      <w:tblStyleColBandSize w:val="1"/>
      <w:tblBorders>
        <w:top w:val="single" w:color="a43e03" w:themeColor="accent3" w:themeTint="FE" w:sz="4" w:space="0"/>
        <w:left w:val="single" w:color="a43e03" w:themeColor="accent3" w:themeTint="FE" w:sz="4" w:space="0"/>
        <w:bottom w:val="single" w:color="a43e03" w:themeColor="accent3" w:themeTint="FE" w:sz="4" w:space="0"/>
        <w:right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color w:val="a43e03" w:themeColor="accent3" w:themeTint="FE" w:themeShade="95"/>
        <w:sz w:val="22"/>
      </w:rPr>
      <w:pPr>
        <w:pBdr/>
        <w:spacing/>
        <w:ind/>
      </w:pPr>
      <w:tblPr>
        <w:tblBorders/>
      </w:tblPr>
      <w:tcPr>
        <w:shd w:val="clear" w:color="ffffff" w:fill="fdd2b9" w:themeFill="accent3" w:themeFillTint="34"/>
        <w:tcBorders/>
      </w:tcPr>
    </w:tblStylePr>
    <w:tblStylePr w:type="band1Vert">
      <w:pPr>
        <w:pBdr/>
        <w:spacing/>
        <w:ind/>
      </w:pPr>
      <w:tblPr>
        <w:tblBorders/>
      </w:tblPr>
      <w:tcPr>
        <w:shd w:val="clear" w:color="ffffff" w:fill="fdd2b9" w:themeFill="accent3" w:themeFillTint="34"/>
        <w:tcBorders/>
      </w:tcPr>
    </w:tblStylePr>
    <w:tblStylePr w:type="band2Horz">
      <w:rPr>
        <w:color w:val="a43e03"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43e03" w:themeColor="accent3" w:themeTint="FE" w:themeShade="95"/>
      </w:rPr>
      <w:pPr>
        <w:pBdr/>
        <w:spacing/>
        <w:ind/>
      </w:pPr>
      <w:tblPr>
        <w:tblBorders/>
      </w:tblPr>
      <w:tcPr>
        <w:tcBorders/>
      </w:tcPr>
    </w:tblStylePr>
    <w:tblStylePr w:type="firstRow">
      <w:rPr>
        <w:b/>
        <w:color w:val="a43e03" w:themeColor="accent3" w:themeTint="FE" w:themeShade="95"/>
      </w:rPr>
      <w:pPr>
        <w:pBdr/>
        <w:spacing/>
        <w:ind/>
      </w:pPr>
      <w:tblPr>
        <w:tblBorders/>
      </w:tblPr>
      <w:tcPr>
        <w:tcBorders>
          <w:bottom w:val="single" w:color="a33e03" w:themeColor="accent3" w:sz="12" w:space="0"/>
        </w:tcBorders>
      </w:tcPr>
    </w:tblStylePr>
    <w:tblStylePr w:type="lastCol">
      <w:rPr>
        <w:b/>
        <w:color w:val="a43e03" w:themeColor="accent3" w:themeTint="FE" w:themeShade="95"/>
      </w:rPr>
      <w:pPr>
        <w:pBdr/>
        <w:spacing/>
        <w:ind/>
      </w:pPr>
      <w:tblPr>
        <w:tblBorders/>
      </w:tblPr>
      <w:tcPr>
        <w:tcBorders/>
      </w:tcPr>
    </w:tblStylePr>
    <w:tblStylePr w:type="lastRow">
      <w:rPr>
        <w:b/>
        <w:color w:val="a43e03"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Grid Table 6 Colorful Accent 4"/>
    <w:basedOn w:val="1048"/>
    <w:uiPriority w:val="99"/>
    <w:pPr>
      <w:pBdr/>
      <w:spacing/>
      <w:ind/>
    </w:pPr>
    <w:tblPr>
      <w:tblStyleRowBandSize w:val="1"/>
      <w:tblStyleColBandSize w:val="1"/>
      <w:tblBorders>
        <w:top w:val="single" w:color="e032fb" w:themeColor="accent4" w:themeTint="9A" w:sz="4" w:space="0"/>
        <w:left w:val="single" w:color="e032fb" w:themeColor="accent4" w:themeTint="9A" w:sz="4" w:space="0"/>
        <w:bottom w:val="single" w:color="e032fb" w:themeColor="accent4" w:themeTint="9A" w:sz="4" w:space="0"/>
        <w:right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color w:val="e032fb" w:themeColor="accent4" w:themeTint="9A" w:themeShade="95"/>
        <w:sz w:val="22"/>
      </w:rPr>
      <w:pPr>
        <w:pBdr/>
        <w:spacing/>
        <w:ind/>
      </w:pPr>
      <w:tblPr>
        <w:tblBorders/>
      </w:tblPr>
      <w:tcPr>
        <w:shd w:val="clear" w:color="ffffff" w:fill="f4b9fd" w:themeFill="accent4" w:themeFillTint="34"/>
        <w:tcBorders/>
      </w:tcPr>
    </w:tblStylePr>
    <w:tblStylePr w:type="band1Vert">
      <w:pPr>
        <w:pBdr/>
        <w:spacing/>
        <w:ind/>
      </w:pPr>
      <w:tblPr>
        <w:tblBorders/>
      </w:tblPr>
      <w:tcPr>
        <w:shd w:val="clear" w:color="ffffff" w:fill="f4b9fd" w:themeFill="accent4" w:themeFillTint="34"/>
        <w:tcBorders/>
      </w:tcPr>
    </w:tblStylePr>
    <w:tblStylePr w:type="band2Horz">
      <w:rPr>
        <w:color w:val="e032f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e032fb" w:themeColor="accent4" w:themeTint="9A" w:themeShade="95"/>
      </w:rPr>
      <w:pPr>
        <w:pBdr/>
        <w:spacing/>
        <w:ind/>
      </w:pPr>
      <w:tblPr>
        <w:tblBorders/>
      </w:tblPr>
      <w:tcPr>
        <w:tcBorders/>
      </w:tcPr>
    </w:tblStylePr>
    <w:tblStylePr w:type="firstRow">
      <w:rPr>
        <w:b/>
        <w:color w:val="e032fb" w:themeColor="accent4" w:themeTint="9A" w:themeShade="95"/>
      </w:rPr>
      <w:pPr>
        <w:pBdr/>
        <w:spacing/>
        <w:ind/>
      </w:pPr>
      <w:tblPr>
        <w:tblBorders/>
      </w:tblPr>
      <w:tcPr>
        <w:tcBorders>
          <w:bottom w:val="single" w:color="8e03a3" w:themeColor="accent4" w:sz="12" w:space="0"/>
        </w:tcBorders>
      </w:tcPr>
    </w:tblStylePr>
    <w:tblStylePr w:type="lastCol">
      <w:rPr>
        <w:b/>
        <w:color w:val="e032fb" w:themeColor="accent4" w:themeTint="9A" w:themeShade="95"/>
      </w:rPr>
      <w:pPr>
        <w:pBdr/>
        <w:spacing/>
        <w:ind/>
      </w:pPr>
      <w:tblPr>
        <w:tblBorders/>
      </w:tblPr>
      <w:tcPr>
        <w:tcBorders/>
      </w:tcPr>
    </w:tblStylePr>
    <w:tblStylePr w:type="lastRow">
      <w:rPr>
        <w:b/>
        <w:color w:val="e032fb"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Grid Table 6 Colorful Accent 5"/>
    <w:basedOn w:val="1048"/>
    <w:uiPriority w:val="99"/>
    <w:pPr>
      <w:pBdr/>
      <w:spacing/>
      <w:ind/>
    </w:pPr>
    <w:tblPr>
      <w:tblStyleRowBandSize w:val="1"/>
      <w:tblStyleColBandSize w:val="1"/>
      <w:tblBorders>
        <w:top w:val="single" w:color="c99c00" w:themeColor="accent5" w:sz="4" w:space="0"/>
        <w:left w:val="single" w:color="c99c00" w:themeColor="accent5" w:sz="4" w:space="0"/>
        <w:bottom w:val="single" w:color="c99c00" w:themeColor="accent5" w:sz="4" w:space="0"/>
        <w:right w:val="single" w:color="c99c00" w:themeColor="accent5" w:sz="4" w:space="0"/>
        <w:insideH w:val="single" w:color="c99c00" w:themeColor="accent5" w:sz="4" w:space="0"/>
        <w:insideV w:val="single" w:color="c99c00" w:themeColor="accent5" w:sz="4" w:space="0"/>
      </w:tblBorders>
    </w:tblPr>
    <w:tcPr>
      <w:tcBorders/>
    </w:tcPr>
    <w:tblStylePr w:type="band1Horz">
      <w:rPr>
        <w:color w:val="755a00" w:themeColor="accent5" w:themeShade="95"/>
        <w:sz w:val="22"/>
      </w:rPr>
      <w:pPr>
        <w:pBdr/>
        <w:spacing/>
        <w:ind/>
      </w:pPr>
      <w:tblPr>
        <w:tblBorders/>
      </w:tblPr>
      <w:tcPr>
        <w:shd w:val="clear" w:color="ffffff" w:fill="fff0bf" w:themeFill="accent5" w:themeFillTint="34"/>
        <w:tcBorders/>
      </w:tcPr>
    </w:tblStylePr>
    <w:tblStylePr w:type="band1Vert">
      <w:pPr>
        <w:pBdr/>
        <w:spacing/>
        <w:ind/>
      </w:pPr>
      <w:tblPr>
        <w:tblBorders/>
      </w:tblPr>
      <w:tcPr>
        <w:shd w:val="clear" w:color="ffffff" w:fill="fff0bf" w:themeFill="accent5" w:themeFillTint="34"/>
        <w:tcBorders/>
      </w:tcPr>
    </w:tblStylePr>
    <w:tblStylePr w:type="band2Horz">
      <w:rPr>
        <w:color w:val="755a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a00" w:themeColor="accent5" w:themeShade="95"/>
      </w:rPr>
      <w:pPr>
        <w:pBdr/>
        <w:spacing/>
        <w:ind/>
      </w:pPr>
      <w:tblPr>
        <w:tblBorders/>
      </w:tblPr>
      <w:tcPr>
        <w:tcBorders/>
      </w:tcPr>
    </w:tblStylePr>
    <w:tblStylePr w:type="firstRow">
      <w:rPr>
        <w:b/>
        <w:color w:val="755a00" w:themeColor="accent5" w:themeShade="95"/>
      </w:rPr>
      <w:pPr>
        <w:pBdr/>
        <w:spacing/>
        <w:ind/>
      </w:pPr>
      <w:tblPr>
        <w:tblBorders/>
      </w:tblPr>
      <w:tcPr>
        <w:tcBorders>
          <w:bottom w:val="single" w:color="c99c00" w:themeColor="accent5" w:sz="12" w:space="0"/>
        </w:tcBorders>
      </w:tcPr>
    </w:tblStylePr>
    <w:tblStylePr w:type="lastCol">
      <w:rPr>
        <w:b/>
        <w:color w:val="755a00" w:themeColor="accent5" w:themeShade="95"/>
      </w:rPr>
      <w:pPr>
        <w:pBdr/>
        <w:spacing/>
        <w:ind/>
      </w:pPr>
      <w:tblPr>
        <w:tblBorders/>
      </w:tblPr>
      <w:tcPr>
        <w:tcBorders/>
      </w:tcPr>
    </w:tblStylePr>
    <w:tblStylePr w:type="lastRow">
      <w:rPr>
        <w:b/>
        <w:color w:val="755a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Grid Table 6 Colorful Accent 6"/>
    <w:basedOn w:val="1048"/>
    <w:uiPriority w:val="99"/>
    <w:pPr>
      <w:pBdr/>
      <w:spacing/>
      <w:ind/>
    </w:pPr>
    <w:tblPr>
      <w:tblStyleRowBandSize w:val="1"/>
      <w:tblStyleColBandSize w:val="1"/>
      <w:tblBorders>
        <w:top w:val="single" w:color="c9211e" w:themeColor="accent6" w:sz="4" w:space="0"/>
        <w:left w:val="single" w:color="c9211e" w:themeColor="accent6" w:sz="4" w:space="0"/>
        <w:bottom w:val="single" w:color="c9211e" w:themeColor="accent6" w:sz="4" w:space="0"/>
        <w:right w:val="single" w:color="c9211e" w:themeColor="accent6" w:sz="4" w:space="0"/>
        <w:insideH w:val="single" w:color="c9211e" w:themeColor="accent6" w:sz="4" w:space="0"/>
        <w:insideV w:val="single" w:color="c9211e" w:themeColor="accent6" w:sz="4" w:space="0"/>
      </w:tblBorders>
    </w:tblPr>
    <w:tcPr>
      <w:tcBorders/>
    </w:tcPr>
    <w:tblStylePr w:type="band1Horz">
      <w:rPr>
        <w:color w:val="755a00" w:themeColor="accent5" w:themeShade="95"/>
        <w:sz w:val="22"/>
      </w:rPr>
      <w:pPr>
        <w:pBdr/>
        <w:spacing/>
        <w:ind/>
      </w:pPr>
      <w:tblPr>
        <w:tblBorders/>
      </w:tblPr>
      <w:tcPr>
        <w:shd w:val="clear" w:color="ffffff" w:fill="f7cdcd" w:themeFill="accent6" w:themeFillTint="34"/>
        <w:tcBorders/>
      </w:tcPr>
    </w:tblStylePr>
    <w:tblStylePr w:type="band1Vert">
      <w:pPr>
        <w:pBdr/>
        <w:spacing/>
        <w:ind/>
      </w:pPr>
      <w:tblPr>
        <w:tblBorders/>
      </w:tblPr>
      <w:tcPr>
        <w:shd w:val="clear" w:color="ffffff" w:fill="f7cdcd" w:themeFill="accent6" w:themeFillTint="34"/>
        <w:tcBorders/>
      </w:tcPr>
    </w:tblStylePr>
    <w:tblStylePr w:type="band2Horz">
      <w:rPr>
        <w:color w:val="755a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a00" w:themeColor="accent5" w:themeShade="95"/>
      </w:rPr>
      <w:pPr>
        <w:pBdr/>
        <w:spacing/>
        <w:ind/>
      </w:pPr>
      <w:tblPr>
        <w:tblBorders/>
      </w:tblPr>
      <w:tcPr>
        <w:tcBorders/>
      </w:tcPr>
    </w:tblStylePr>
    <w:tblStylePr w:type="firstRow">
      <w:rPr>
        <w:b/>
        <w:color w:val="755a00" w:themeColor="accent5" w:themeShade="95"/>
      </w:rPr>
      <w:pPr>
        <w:pBdr/>
        <w:spacing/>
        <w:ind/>
      </w:pPr>
      <w:tblPr>
        <w:tblBorders/>
      </w:tblPr>
      <w:tcPr>
        <w:tcBorders>
          <w:bottom w:val="single" w:color="c9211e" w:themeColor="accent6" w:sz="12" w:space="0"/>
        </w:tcBorders>
      </w:tcPr>
    </w:tblStylePr>
    <w:tblStylePr w:type="lastCol">
      <w:rPr>
        <w:b/>
        <w:color w:val="755a00" w:themeColor="accent5" w:themeShade="95"/>
      </w:rPr>
      <w:pPr>
        <w:pBdr/>
        <w:spacing/>
        <w:ind/>
      </w:pPr>
      <w:tblPr>
        <w:tblBorders/>
      </w:tblPr>
      <w:tcPr>
        <w:tcBorders/>
      </w:tcPr>
    </w:tblStylePr>
    <w:tblStylePr w:type="lastRow">
      <w:rPr>
        <w:b/>
        <w:color w:val="755a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Grid Table 7 Colorful"/>
    <w:basedOn w:val="1048"/>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ffffff" w:fill="ffffff" w:themeFill="text1" w:themeFillTint="00"/>
        <w:tcBorders/>
      </w:tcPr>
    </w:tblStylePr>
    <w:tblStylePr w:type="band1Vert">
      <w:pPr>
        <w:pBdr/>
        <w:spacing/>
        <w:ind/>
      </w:pPr>
      <w:tblPr>
        <w:tblBorders/>
      </w:tblPr>
      <w:tcPr>
        <w:shd w:val="clear" w:color="ffffff" w:fill="ffffff" w:themeFill="text1" w:themeFillTint="00"/>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text1" w:sz="4" w:space="0"/>
        </w:tcBorders>
      </w:tcPr>
    </w:tblStylePr>
    <w:tblStylePr w:type="firstRow">
      <w:rPr>
        <w:b/>
        <w:color w:val="7f7f7f"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7f7f7f" w:themeColor="text1" w:themeTint="80" w:themeShade="95"/>
        <w:sz w:val="22"/>
      </w:rPr>
      <w:pPr>
        <w:pBdr/>
        <w:spacing/>
        <w:ind/>
      </w:pPr>
      <w:tblPr>
        <w:tblBorders/>
      </w:tblPr>
      <w:tcPr>
        <w:shd w:val="clear" w:color="ffffff" w:fill="auto"/>
        <w:tcBorders>
          <w:top w:val="none" w:color="000000" w:sz="4" w:space="0"/>
          <w:left w:val="single" w:color="000000" w:themeColor="text1" w:sz="4" w:space="0"/>
          <w:bottom w:val="none" w:color="000000" w:sz="4" w:space="0"/>
          <w:right w:val="none" w:color="000000" w:sz="4" w:space="0"/>
        </w:tcBorders>
      </w:tcPr>
    </w:tblStylePr>
    <w:tblStylePr w:type="lastRow">
      <w:rPr>
        <w:b/>
        <w:color w:val="7f7f7f"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Grid Table 7 Colorful Accent 1"/>
    <w:basedOn w:val="1048"/>
    <w:uiPriority w:val="99"/>
    <w:pPr>
      <w:pBdr/>
      <w:spacing/>
      <w:ind/>
    </w:pPr>
    <w:tblPr>
      <w:tblStyleRowBandSize w:val="1"/>
      <w:tblStyleColBandSize w:val="1"/>
      <w:tblBorders>
        <w:bottom w:val="single" w:color="6afc55" w:themeColor="accent1" w:themeTint="80" w:sz="4" w:space="0"/>
        <w:right w:val="single" w:color="6afc55" w:themeColor="accent1" w:themeTint="80" w:sz="4" w:space="0"/>
        <w:insideH w:val="single" w:color="6afc55" w:themeColor="accent1" w:themeTint="80" w:sz="4" w:space="0"/>
        <w:insideV w:val="single" w:color="6afc55" w:themeColor="accent1" w:themeTint="80" w:sz="4" w:space="0"/>
      </w:tblBorders>
    </w:tblPr>
    <w:tcPr>
      <w:tcBorders/>
    </w:tcPr>
    <w:tblStylePr w:type="band1Horz">
      <w:rPr>
        <w:color w:val="6afc55" w:themeColor="accent1" w:themeTint="80" w:themeShade="95"/>
        <w:sz w:val="22"/>
      </w:rPr>
      <w:pPr>
        <w:pBdr/>
        <w:spacing/>
        <w:ind/>
      </w:pPr>
      <w:tblPr>
        <w:tblBorders/>
      </w:tblPr>
      <w:tcPr>
        <w:shd w:val="clear" w:color="ffffff" w:fill="c2fdb9" w:themeFill="accent1" w:themeFillTint="34"/>
        <w:tcBorders/>
      </w:tcPr>
    </w:tblStylePr>
    <w:tblStylePr w:type="band1Vert">
      <w:pPr>
        <w:pBdr/>
        <w:spacing/>
        <w:ind/>
      </w:pPr>
      <w:tblPr>
        <w:tblBorders/>
      </w:tblPr>
      <w:tcPr>
        <w:shd w:val="clear" w:color="ffffff" w:fill="c2fdb9" w:themeFill="accent1" w:themeFillTint="34"/>
        <w:tcBorders/>
      </w:tcPr>
    </w:tblStylePr>
    <w:tblStylePr w:type="band2Horz">
      <w:rPr>
        <w:color w:val="6afc5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afc55"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8a303" w:themeColor="accent1" w:sz="4" w:space="0"/>
        </w:tcBorders>
      </w:tcPr>
    </w:tblStylePr>
    <w:tblStylePr w:type="firstRow">
      <w:rPr>
        <w:b/>
        <w:color w:val="6afc55"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18a303" w:themeColor="accent1" w:sz="4" w:space="0"/>
          <w:right w:val="none" w:color="000000" w:sz="4" w:space="0"/>
        </w:tcBorders>
      </w:tcPr>
    </w:tblStylePr>
    <w:tblStylePr w:type="lastCol">
      <w:rPr>
        <w:i/>
        <w:color w:val="6afc55" w:themeColor="accent1" w:themeTint="80" w:themeShade="95"/>
        <w:sz w:val="22"/>
      </w:rPr>
      <w:pPr>
        <w:pBdr/>
        <w:spacing/>
        <w:ind/>
      </w:pPr>
      <w:tblPr>
        <w:tblBorders/>
      </w:tblPr>
      <w:tcPr>
        <w:shd w:val="clear" w:color="ffffff" w:fill="auto"/>
        <w:tcBorders>
          <w:top w:val="none" w:color="000000" w:sz="4" w:space="0"/>
          <w:left w:val="single" w:color="18a303" w:themeColor="accent1" w:sz="4" w:space="0"/>
          <w:bottom w:val="none" w:color="000000" w:sz="4" w:space="0"/>
          <w:right w:val="none" w:color="000000" w:sz="4" w:space="0"/>
        </w:tcBorders>
      </w:tcPr>
    </w:tblStylePr>
    <w:tblStylePr w:type="lastRow">
      <w:rPr>
        <w:b/>
        <w:color w:val="6afc55" w:themeColor="accent1" w:themeTint="80" w:themeShade="95"/>
        <w:sz w:val="22"/>
      </w:rPr>
      <w:pPr>
        <w:pBdr/>
        <w:spacing/>
        <w:ind/>
      </w:pPr>
      <w:tblPr>
        <w:tblBorders/>
      </w:tblPr>
      <w:tcPr>
        <w:shd w:val="clear" w:color="ffffff" w:fill="ffffff" w:themeFill="light1"/>
        <w:tcBorders>
          <w:top w:val="single" w:color="18a303"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7 Colorful Accent 2"/>
    <w:basedOn w:val="1048"/>
    <w:uiPriority w:val="99"/>
    <w:pPr>
      <w:pBdr/>
      <w:spacing/>
      <w:ind/>
    </w:pPr>
    <w:tblPr>
      <w:tblStyleRowBandSize w:val="1"/>
      <w:tblStyleColBandSize w:val="1"/>
      <w:tblBorders>
        <w:bottom w:val="single" w:color="36b3fb" w:themeColor="accent2" w:themeTint="97" w:sz="4" w:space="0"/>
        <w:right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color w:val="36b3fb" w:themeColor="accent2" w:themeTint="97" w:themeShade="95"/>
        <w:sz w:val="22"/>
      </w:rPr>
      <w:pPr>
        <w:pBdr/>
        <w:spacing/>
        <w:ind/>
      </w:pPr>
      <w:tblPr>
        <w:tblBorders/>
      </w:tblPr>
      <w:tcPr>
        <w:shd w:val="clear" w:color="ffffff" w:fill="bce6fd" w:themeFill="accent2" w:themeFillTint="32"/>
        <w:tcBorders/>
      </w:tcPr>
    </w:tblStylePr>
    <w:tblStylePr w:type="band1Vert">
      <w:pPr>
        <w:pBdr/>
        <w:spacing/>
        <w:ind/>
      </w:pPr>
      <w:tblPr>
        <w:tblBorders/>
      </w:tblPr>
      <w:tcPr>
        <w:shd w:val="clear" w:color="ffffff" w:fill="bce6fd" w:themeFill="accent2" w:themeFillTint="32"/>
        <w:tcBorders/>
      </w:tcPr>
    </w:tblStylePr>
    <w:tblStylePr w:type="band2Horz">
      <w:rPr>
        <w:color w:val="36b3f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6b3fb"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369a3" w:themeColor="accent2" w:sz="4" w:space="0"/>
        </w:tcBorders>
      </w:tcPr>
    </w:tblStylePr>
    <w:tblStylePr w:type="firstRow">
      <w:rPr>
        <w:b/>
        <w:color w:val="36b3fb"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369a3" w:themeColor="accent2" w:sz="4" w:space="0"/>
          <w:right w:val="none" w:color="000000" w:sz="4" w:space="0"/>
        </w:tcBorders>
      </w:tcPr>
    </w:tblStylePr>
    <w:tblStylePr w:type="lastCol">
      <w:rPr>
        <w:i/>
        <w:color w:val="36b3fb" w:themeColor="accent2" w:themeTint="97" w:themeShade="95"/>
        <w:sz w:val="22"/>
      </w:rPr>
      <w:pPr>
        <w:pBdr/>
        <w:spacing/>
        <w:ind/>
      </w:pPr>
      <w:tblPr>
        <w:tblBorders/>
      </w:tblPr>
      <w:tcPr>
        <w:shd w:val="clear" w:color="ffffff" w:fill="auto"/>
        <w:tcBorders>
          <w:top w:val="none" w:color="000000" w:sz="4" w:space="0"/>
          <w:left w:val="single" w:color="0369a3" w:themeColor="accent2" w:sz="4" w:space="0"/>
          <w:bottom w:val="none" w:color="000000" w:sz="4" w:space="0"/>
          <w:right w:val="none" w:color="000000" w:sz="4" w:space="0"/>
        </w:tcBorders>
      </w:tcPr>
    </w:tblStylePr>
    <w:tblStylePr w:type="lastRow">
      <w:rPr>
        <w:b/>
        <w:color w:val="36b3fb" w:themeColor="accent2" w:themeTint="97" w:themeShade="95"/>
        <w:sz w:val="22"/>
      </w:rPr>
      <w:pPr>
        <w:pBdr/>
        <w:spacing/>
        <w:ind/>
      </w:pPr>
      <w:tblPr>
        <w:tblBorders/>
      </w:tblPr>
      <w:tcPr>
        <w:shd w:val="clear" w:color="ffffff" w:fill="ffffff" w:themeFill="light1"/>
        <w:tcBorders>
          <w:top w:val="single" w:color="0369a3"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Grid Table 7 Colorful Accent 3"/>
    <w:basedOn w:val="1048"/>
    <w:uiPriority w:val="99"/>
    <w:pPr>
      <w:pBdr/>
      <w:spacing/>
      <w:ind/>
    </w:pPr>
    <w:tblPr>
      <w:tblStyleRowBandSize w:val="1"/>
      <w:tblStyleColBandSize w:val="1"/>
      <w:tblBorders>
        <w:bottom w:val="single" w:color="a43e03" w:themeColor="accent3" w:themeTint="FE" w:sz="4" w:space="0"/>
        <w:right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color w:val="a43e03" w:themeColor="accent3" w:themeTint="FE" w:themeShade="95"/>
        <w:sz w:val="22"/>
      </w:rPr>
      <w:pPr>
        <w:pBdr/>
        <w:spacing/>
        <w:ind/>
      </w:pPr>
      <w:tblPr>
        <w:tblBorders/>
      </w:tblPr>
      <w:tcPr>
        <w:shd w:val="clear" w:color="ffffff" w:fill="fdd2b9" w:themeFill="accent3" w:themeFillTint="34"/>
        <w:tcBorders/>
      </w:tcPr>
    </w:tblStylePr>
    <w:tblStylePr w:type="band1Vert">
      <w:pPr>
        <w:pBdr/>
        <w:spacing/>
        <w:ind/>
      </w:pPr>
      <w:tblPr>
        <w:tblBorders/>
      </w:tblPr>
      <w:tcPr>
        <w:shd w:val="clear" w:color="ffffff" w:fill="fdd2b9" w:themeFill="accent3" w:themeFillTint="34"/>
        <w:tcBorders/>
      </w:tcPr>
    </w:tblStylePr>
    <w:tblStylePr w:type="band2Horz">
      <w:rPr>
        <w:color w:val="a43e03"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43e03"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33e03" w:themeColor="accent3" w:sz="4" w:space="0"/>
        </w:tcBorders>
      </w:tcPr>
    </w:tblStylePr>
    <w:tblStylePr w:type="firstRow">
      <w:rPr>
        <w:b/>
        <w:color w:val="a43e03"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a33e03" w:themeColor="accent3" w:sz="4" w:space="0"/>
          <w:right w:val="none" w:color="000000" w:sz="4" w:space="0"/>
        </w:tcBorders>
      </w:tcPr>
    </w:tblStylePr>
    <w:tblStylePr w:type="lastCol">
      <w:rPr>
        <w:i/>
        <w:color w:val="a43e03" w:themeColor="accent3" w:themeTint="FE" w:themeShade="95"/>
        <w:sz w:val="22"/>
      </w:rPr>
      <w:pPr>
        <w:pBdr/>
        <w:spacing/>
        <w:ind/>
      </w:pPr>
      <w:tblPr>
        <w:tblBorders/>
      </w:tblPr>
      <w:tcPr>
        <w:shd w:val="clear" w:color="ffffff" w:fill="auto"/>
        <w:tcBorders>
          <w:top w:val="none" w:color="000000" w:sz="4" w:space="0"/>
          <w:left w:val="single" w:color="a33e03" w:themeColor="accent3" w:sz="4" w:space="0"/>
          <w:bottom w:val="none" w:color="000000" w:sz="4" w:space="0"/>
          <w:right w:val="none" w:color="000000" w:sz="4" w:space="0"/>
        </w:tcBorders>
      </w:tcPr>
    </w:tblStylePr>
    <w:tblStylePr w:type="lastRow">
      <w:rPr>
        <w:b/>
        <w:color w:val="a43e03" w:themeColor="accent3" w:themeTint="FE" w:themeShade="95"/>
        <w:sz w:val="22"/>
      </w:rPr>
      <w:pPr>
        <w:pBdr/>
        <w:spacing/>
        <w:ind/>
      </w:pPr>
      <w:tblPr>
        <w:tblBorders/>
      </w:tblPr>
      <w:tcPr>
        <w:shd w:val="clear" w:color="ffffff" w:fill="ffffff" w:themeFill="light1"/>
        <w:tcBorders>
          <w:top w:val="single" w:color="a33e03"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Grid Table 7 Colorful Accent 4"/>
    <w:basedOn w:val="1048"/>
    <w:uiPriority w:val="99"/>
    <w:pPr>
      <w:pBdr/>
      <w:spacing/>
      <w:ind/>
    </w:pPr>
    <w:tblPr>
      <w:tblStyleRowBandSize w:val="1"/>
      <w:tblStyleColBandSize w:val="1"/>
      <w:tblBorders>
        <w:bottom w:val="single" w:color="e032fb" w:themeColor="accent4" w:themeTint="9A" w:sz="4" w:space="0"/>
        <w:right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color w:val="e032fb" w:themeColor="accent4" w:themeTint="9A" w:themeShade="95"/>
        <w:sz w:val="22"/>
      </w:rPr>
      <w:pPr>
        <w:pBdr/>
        <w:spacing/>
        <w:ind/>
      </w:pPr>
      <w:tblPr>
        <w:tblBorders/>
      </w:tblPr>
      <w:tcPr>
        <w:shd w:val="clear" w:color="ffffff" w:fill="f4b9fd" w:themeFill="accent4" w:themeFillTint="34"/>
        <w:tcBorders/>
      </w:tcPr>
    </w:tblStylePr>
    <w:tblStylePr w:type="band1Vert">
      <w:pPr>
        <w:pBdr/>
        <w:spacing/>
        <w:ind/>
      </w:pPr>
      <w:tblPr>
        <w:tblBorders/>
      </w:tblPr>
      <w:tcPr>
        <w:shd w:val="clear" w:color="ffffff" w:fill="f4b9fd" w:themeFill="accent4" w:themeFillTint="34"/>
        <w:tcBorders/>
      </w:tcPr>
    </w:tblStylePr>
    <w:tblStylePr w:type="band2Horz">
      <w:rPr>
        <w:color w:val="e032f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e032fb"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03a3" w:themeColor="accent4" w:sz="4" w:space="0"/>
        </w:tcBorders>
      </w:tcPr>
    </w:tblStylePr>
    <w:tblStylePr w:type="firstRow">
      <w:rPr>
        <w:b/>
        <w:color w:val="e032fb"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8e03a3" w:themeColor="accent4" w:sz="4" w:space="0"/>
          <w:right w:val="none" w:color="000000" w:sz="4" w:space="0"/>
        </w:tcBorders>
      </w:tcPr>
    </w:tblStylePr>
    <w:tblStylePr w:type="lastCol">
      <w:rPr>
        <w:i/>
        <w:color w:val="e032fb" w:themeColor="accent4" w:themeTint="9A" w:themeShade="95"/>
        <w:sz w:val="22"/>
      </w:rPr>
      <w:pPr>
        <w:pBdr/>
        <w:spacing/>
        <w:ind/>
      </w:pPr>
      <w:tblPr>
        <w:tblBorders/>
      </w:tblPr>
      <w:tcPr>
        <w:shd w:val="clear" w:color="ffffff" w:fill="auto"/>
        <w:tcBorders>
          <w:top w:val="none" w:color="000000" w:sz="4" w:space="0"/>
          <w:left w:val="single" w:color="8e03a3" w:themeColor="accent4" w:sz="4" w:space="0"/>
          <w:bottom w:val="none" w:color="000000" w:sz="4" w:space="0"/>
          <w:right w:val="none" w:color="000000" w:sz="4" w:space="0"/>
        </w:tcBorders>
      </w:tcPr>
    </w:tblStylePr>
    <w:tblStylePr w:type="lastRow">
      <w:rPr>
        <w:b/>
        <w:color w:val="e032fb" w:themeColor="accent4" w:themeTint="9A" w:themeShade="95"/>
        <w:sz w:val="22"/>
      </w:rPr>
      <w:pPr>
        <w:pBdr/>
        <w:spacing/>
        <w:ind/>
      </w:pPr>
      <w:tblPr>
        <w:tblBorders/>
      </w:tblPr>
      <w:tcPr>
        <w:shd w:val="clear" w:color="ffffff" w:fill="ffffff" w:themeFill="light1"/>
        <w:tcBorders>
          <w:top w:val="single" w:color="8e03a3"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Grid Table 7 Colorful Accent 5"/>
    <w:basedOn w:val="1048"/>
    <w:uiPriority w:val="99"/>
    <w:pPr>
      <w:pBdr/>
      <w:spacing/>
      <w:ind/>
    </w:pPr>
    <w:tblPr>
      <w:tblStyleRowBandSize w:val="1"/>
      <w:tblStyleColBandSize w:val="1"/>
      <w:tblBorders>
        <w:bottom w:val="single" w:color="ffd750" w:themeColor="accent5" w:themeTint="90" w:sz="4" w:space="0"/>
        <w:right w:val="single" w:color="ffd750" w:themeColor="accent5" w:themeTint="90" w:sz="4" w:space="0"/>
        <w:insideH w:val="single" w:color="ffd750" w:themeColor="accent5" w:themeTint="90" w:sz="4" w:space="0"/>
        <w:insideV w:val="single" w:color="ffd750" w:themeColor="accent5" w:themeTint="90" w:sz="4" w:space="0"/>
      </w:tblBorders>
    </w:tblPr>
    <w:tcPr>
      <w:tcBorders/>
    </w:tcPr>
    <w:tblStylePr w:type="band1Horz">
      <w:rPr>
        <w:color w:val="755a00" w:themeColor="accent5" w:themeShade="95"/>
        <w:sz w:val="22"/>
      </w:rPr>
      <w:pPr>
        <w:pBdr/>
        <w:spacing/>
        <w:ind/>
      </w:pPr>
      <w:tblPr>
        <w:tblBorders/>
      </w:tblPr>
      <w:tcPr>
        <w:shd w:val="clear" w:color="ffffff" w:fill="fff0bf" w:themeFill="accent5" w:themeFillTint="34"/>
        <w:tcBorders/>
      </w:tcPr>
    </w:tblStylePr>
    <w:tblStylePr w:type="band1Vert">
      <w:pPr>
        <w:pBdr/>
        <w:spacing/>
        <w:ind/>
      </w:pPr>
      <w:tblPr>
        <w:tblBorders/>
      </w:tblPr>
      <w:tcPr>
        <w:shd w:val="clear" w:color="ffffff" w:fill="fff0bf" w:themeFill="accent5" w:themeFillTint="34"/>
        <w:tcBorders/>
      </w:tcPr>
    </w:tblStylePr>
    <w:tblStylePr w:type="band2Horz">
      <w:rPr>
        <w:color w:val="755a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5a00"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9c00" w:themeColor="accent5" w:sz="4" w:space="0"/>
        </w:tcBorders>
      </w:tcPr>
    </w:tblStylePr>
    <w:tblStylePr w:type="firstRow">
      <w:rPr>
        <w:b/>
        <w:color w:val="755a00"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c99c00" w:themeColor="accent5" w:sz="4" w:space="0"/>
          <w:right w:val="none" w:color="000000" w:sz="4" w:space="0"/>
        </w:tcBorders>
      </w:tcPr>
    </w:tblStylePr>
    <w:tblStylePr w:type="lastCol">
      <w:rPr>
        <w:i/>
        <w:color w:val="755a00" w:themeColor="accent5" w:themeShade="95"/>
        <w:sz w:val="22"/>
      </w:rPr>
      <w:pPr>
        <w:pBdr/>
        <w:spacing/>
        <w:ind/>
      </w:pPr>
      <w:tblPr>
        <w:tblBorders/>
      </w:tblPr>
      <w:tcPr>
        <w:shd w:val="clear" w:color="ffffff" w:fill="auto"/>
        <w:tcBorders>
          <w:top w:val="none" w:color="000000" w:sz="4" w:space="0"/>
          <w:left w:val="single" w:color="c99c00" w:themeColor="accent5" w:sz="4" w:space="0"/>
          <w:bottom w:val="none" w:color="000000" w:sz="4" w:space="0"/>
          <w:right w:val="none" w:color="000000" w:sz="4" w:space="0"/>
        </w:tcBorders>
      </w:tcPr>
    </w:tblStylePr>
    <w:tblStylePr w:type="lastRow">
      <w:rPr>
        <w:b/>
        <w:color w:val="755a00" w:themeColor="accent5" w:themeShade="95"/>
        <w:sz w:val="22"/>
      </w:rPr>
      <w:pPr>
        <w:pBdr/>
        <w:spacing/>
        <w:ind/>
      </w:pPr>
      <w:tblPr>
        <w:tblBorders/>
      </w:tblPr>
      <w:tcPr>
        <w:shd w:val="clear" w:color="ffffff" w:fill="ffffff" w:themeFill="light1"/>
        <w:tcBorders>
          <w:top w:val="single" w:color="c99c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Grid Table 7 Colorful Accent 6"/>
    <w:basedOn w:val="1048"/>
    <w:uiPriority w:val="99"/>
    <w:pPr>
      <w:pBdr/>
      <w:spacing/>
      <w:ind/>
    </w:pPr>
    <w:tblPr>
      <w:tblStyleRowBandSize w:val="1"/>
      <w:tblStyleColBandSize w:val="1"/>
      <w:tblBorders>
        <w:bottom w:val="single" w:color="ea7775" w:themeColor="accent6" w:themeTint="90" w:sz="4" w:space="0"/>
        <w:right w:val="single" w:color="ea7775" w:themeColor="accent6" w:themeTint="90" w:sz="4" w:space="0"/>
        <w:insideH w:val="single" w:color="ea7775" w:themeColor="accent6" w:themeTint="90" w:sz="4" w:space="0"/>
        <w:insideV w:val="single" w:color="ea7775" w:themeColor="accent6" w:themeTint="90" w:sz="4" w:space="0"/>
      </w:tblBorders>
    </w:tblPr>
    <w:tcPr>
      <w:tcBorders/>
    </w:tcPr>
    <w:tblStylePr w:type="band1Horz">
      <w:rPr>
        <w:color w:val="751311" w:themeColor="accent6" w:themeShade="95"/>
        <w:sz w:val="22"/>
      </w:rPr>
      <w:pPr>
        <w:pBdr/>
        <w:spacing/>
        <w:ind/>
      </w:pPr>
      <w:tblPr>
        <w:tblBorders/>
      </w:tblPr>
      <w:tcPr>
        <w:shd w:val="clear" w:color="ffffff" w:fill="f7cdcd" w:themeFill="accent6" w:themeFillTint="34"/>
        <w:tcBorders/>
      </w:tcPr>
    </w:tblStylePr>
    <w:tblStylePr w:type="band1Vert">
      <w:pPr>
        <w:pBdr/>
        <w:spacing/>
        <w:ind/>
      </w:pPr>
      <w:tblPr>
        <w:tblBorders/>
      </w:tblPr>
      <w:tcPr>
        <w:shd w:val="clear" w:color="ffffff" w:fill="f7cdcd" w:themeFill="accent6" w:themeFillTint="34"/>
        <w:tcBorders/>
      </w:tcPr>
    </w:tblStylePr>
    <w:tblStylePr w:type="band2Horz">
      <w:rPr>
        <w:color w:val="751311"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1311"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211e" w:themeColor="accent6" w:sz="4" w:space="0"/>
        </w:tcBorders>
      </w:tcPr>
    </w:tblStylePr>
    <w:tblStylePr w:type="firstRow">
      <w:rPr>
        <w:b/>
        <w:color w:val="751311"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c9211e" w:themeColor="accent6" w:sz="4" w:space="0"/>
          <w:right w:val="none" w:color="000000" w:sz="4" w:space="0"/>
        </w:tcBorders>
      </w:tcPr>
    </w:tblStylePr>
    <w:tblStylePr w:type="lastCol">
      <w:rPr>
        <w:i/>
        <w:color w:val="751311" w:themeColor="accent6" w:themeShade="95"/>
        <w:sz w:val="22"/>
      </w:rPr>
      <w:pPr>
        <w:pBdr/>
        <w:spacing/>
        <w:ind/>
      </w:pPr>
      <w:tblPr>
        <w:tblBorders/>
      </w:tblPr>
      <w:tcPr>
        <w:shd w:val="clear" w:color="ffffff" w:fill="auto"/>
        <w:tcBorders>
          <w:top w:val="none" w:color="000000" w:sz="4" w:space="0"/>
          <w:left w:val="single" w:color="c9211e" w:themeColor="accent6" w:sz="4" w:space="0"/>
          <w:bottom w:val="none" w:color="000000" w:sz="4" w:space="0"/>
          <w:right w:val="none" w:color="000000" w:sz="4" w:space="0"/>
        </w:tcBorders>
      </w:tcPr>
    </w:tblStylePr>
    <w:tblStylePr w:type="lastRow">
      <w:rPr>
        <w:b/>
        <w:color w:val="751311" w:themeColor="accent6" w:themeShade="95"/>
        <w:sz w:val="22"/>
      </w:rPr>
      <w:pPr>
        <w:pBdr/>
        <w:spacing/>
        <w:ind/>
      </w:pPr>
      <w:tblPr>
        <w:tblBorders/>
      </w:tblPr>
      <w:tcPr>
        <w:shd w:val="clear" w:color="ffffff" w:fill="ffffff" w:themeFill="light1"/>
        <w:tcBorders>
          <w:top w:val="single" w:color="c9211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List Table 1 Light"/>
    <w:basedOn w:val="1048"/>
    <w:uiPriority w:val="99"/>
    <w:pPr>
      <w:pBdr/>
      <w:spacing/>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List Table 1 Light Accent 1"/>
    <w:basedOn w:val="1048"/>
    <w:uiPriority w:val="99"/>
    <w:pPr>
      <w:pBdr/>
      <w:spacing/>
      <w:ind/>
    </w:pPr>
    <w:tblPr>
      <w:tblStyleRowBandSize w:val="1"/>
      <w:tblStyleColBandSize w:val="1"/>
      <w:tblBorders/>
    </w:tblPr>
    <w:tcPr>
      <w:tcBorders/>
    </w:tcPr>
    <w:tblStylePr w:type="band1Horz">
      <w:pPr>
        <w:pBdr/>
        <w:spacing/>
        <w:ind/>
      </w:pPr>
      <w:tblPr>
        <w:tblBorders/>
      </w:tblPr>
      <w:tcPr>
        <w:shd w:val="clear" w:color="ffffff" w:fill="b4fda9" w:themeFill="accent1" w:themeFillTint="40"/>
        <w:tcBorders/>
      </w:tcPr>
    </w:tblStylePr>
    <w:tblStylePr w:type="band1Vert">
      <w:pPr>
        <w:pBdr/>
        <w:spacing/>
        <w:ind/>
      </w:pPr>
      <w:tblPr>
        <w:tblBorders/>
      </w:tblPr>
      <w:tcPr>
        <w:shd w:val="clear" w:color="ffffff" w:fill="b4fda9"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18a303"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18a303"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List Table 1 Light Accent 2"/>
    <w:basedOn w:val="1048"/>
    <w:uiPriority w:val="99"/>
    <w:pPr>
      <w:pBdr/>
      <w:spacing/>
      <w:ind/>
    </w:pPr>
    <w:tblPr>
      <w:tblStyleRowBandSize w:val="1"/>
      <w:tblStyleColBandSize w:val="1"/>
      <w:tblBorders/>
    </w:tblPr>
    <w:tcPr>
      <w:tcBorders/>
    </w:tcPr>
    <w:tblStylePr w:type="band1Horz">
      <w:pPr>
        <w:pBdr/>
        <w:spacing/>
        <w:ind/>
      </w:pPr>
      <w:tblPr>
        <w:tblBorders/>
      </w:tblPr>
      <w:tcPr>
        <w:shd w:val="clear" w:color="ffffff" w:fill="a9defd" w:themeFill="accent2" w:themeFillTint="40"/>
        <w:tcBorders/>
      </w:tcPr>
    </w:tblStylePr>
    <w:tblStylePr w:type="band1Vert">
      <w:pPr>
        <w:pBdr/>
        <w:spacing/>
        <w:ind/>
      </w:pPr>
      <w:tblPr>
        <w:tblBorders/>
      </w:tblPr>
      <w:tcPr>
        <w:shd w:val="clear" w:color="ffffff" w:fill="a9de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369a3"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369a3"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List Table 1 Light Accent 3"/>
    <w:basedOn w:val="1048"/>
    <w:uiPriority w:val="99"/>
    <w:pPr>
      <w:pBdr/>
      <w:spacing/>
      <w:ind/>
    </w:pPr>
    <w:tblPr>
      <w:tblStyleRowBandSize w:val="1"/>
      <w:tblStyleColBandSize w:val="1"/>
      <w:tblBorders/>
    </w:tblPr>
    <w:tcPr>
      <w:tcBorders/>
    </w:tcPr>
    <w:tblStylePr w:type="band1Horz">
      <w:pPr>
        <w:pBdr/>
        <w:spacing/>
        <w:ind/>
      </w:pPr>
      <w:tblPr>
        <w:tblBorders/>
      </w:tblPr>
      <w:tcPr>
        <w:shd w:val="clear" w:color="ffffff" w:fill="fdc8a9" w:themeFill="accent3" w:themeFillTint="40"/>
        <w:tcBorders/>
      </w:tcPr>
    </w:tblStylePr>
    <w:tblStylePr w:type="band1Vert">
      <w:pPr>
        <w:pBdr/>
        <w:spacing/>
        <w:ind/>
      </w:pPr>
      <w:tblPr>
        <w:tblBorders/>
      </w:tblPr>
      <w:tcPr>
        <w:shd w:val="clear" w:color="ffffff" w:fill="fdc8a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a33e03"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a33e03"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List Table 1 Light Accent 4"/>
    <w:basedOn w:val="1048"/>
    <w:uiPriority w:val="99"/>
    <w:pPr>
      <w:pBdr/>
      <w:spacing/>
      <w:ind/>
    </w:pPr>
    <w:tblPr>
      <w:tblStyleRowBandSize w:val="1"/>
      <w:tblStyleColBandSize w:val="1"/>
      <w:tblBorders/>
    </w:tblPr>
    <w:tcPr>
      <w:tcBorders/>
    </w:tcPr>
    <w:tblStylePr w:type="band1Horz">
      <w:pPr>
        <w:pBdr/>
        <w:spacing/>
        <w:ind/>
      </w:pPr>
      <w:tblPr>
        <w:tblBorders/>
      </w:tblPr>
      <w:tcPr>
        <w:shd w:val="clear" w:color="ffffff" w:fill="f2a9fd" w:themeFill="accent4" w:themeFillTint="40"/>
        <w:tcBorders/>
      </w:tcPr>
    </w:tblStylePr>
    <w:tblStylePr w:type="band1Vert">
      <w:pPr>
        <w:pBdr/>
        <w:spacing/>
        <w:ind/>
      </w:pPr>
      <w:tblPr>
        <w:tblBorders/>
      </w:tblPr>
      <w:tcPr>
        <w:shd w:val="clear" w:color="ffffff" w:fill="f2a9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8e03a3"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8e03a3"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List Table 1 Light Accent 5"/>
    <w:basedOn w:val="1048"/>
    <w:uiPriority w:val="99"/>
    <w:pPr>
      <w:pBdr/>
      <w:spacing/>
      <w:ind/>
    </w:pPr>
    <w:tblPr>
      <w:tblStyleRowBandSize w:val="1"/>
      <w:tblStyleColBandSize w:val="1"/>
      <w:tblBorders/>
    </w:tblPr>
    <w:tcPr>
      <w:tcBorders/>
    </w:tcPr>
    <w:tblStylePr w:type="band1Horz">
      <w:pPr>
        <w:pBdr/>
        <w:spacing/>
        <w:ind/>
      </w:pPr>
      <w:tblPr>
        <w:tblBorders/>
      </w:tblPr>
      <w:tcPr>
        <w:shd w:val="clear" w:color="ffffff" w:fill="ffedb1" w:themeFill="accent5" w:themeFillTint="40"/>
        <w:tcBorders/>
      </w:tcPr>
    </w:tblStylePr>
    <w:tblStylePr w:type="band1Vert">
      <w:pPr>
        <w:pBdr/>
        <w:spacing/>
        <w:ind/>
      </w:pPr>
      <w:tblPr>
        <w:tblBorders/>
      </w:tblPr>
      <w:tcPr>
        <w:shd w:val="clear" w:color="ffffff" w:fill="ffed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c99c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9c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List Table 1 Light Accent 6"/>
    <w:basedOn w:val="1048"/>
    <w:uiPriority w:val="99"/>
    <w:pPr>
      <w:pBdr/>
      <w:spacing/>
      <w:ind/>
    </w:pPr>
    <w:tblPr>
      <w:tblStyleRowBandSize w:val="1"/>
      <w:tblStyleColBandSize w:val="1"/>
      <w:tblBorders/>
    </w:tblPr>
    <w:tcPr>
      <w:tcBorders/>
    </w:tcPr>
    <w:tblStylePr w:type="band1Horz">
      <w:pPr>
        <w:pBdr/>
        <w:spacing/>
        <w:ind/>
      </w:pPr>
      <w:tblPr>
        <w:tblBorders/>
      </w:tblPr>
      <w:tcPr>
        <w:shd w:val="clear" w:color="ffffff" w:fill="f6c2c1" w:themeFill="accent6" w:themeFillTint="40"/>
        <w:tcBorders/>
      </w:tcPr>
    </w:tblStylePr>
    <w:tblStylePr w:type="band1Vert">
      <w:pPr>
        <w:pBdr/>
        <w:spacing/>
        <w:ind/>
      </w:pPr>
      <w:tblPr>
        <w:tblBorders/>
      </w:tblPr>
      <w:tcPr>
        <w:shd w:val="clear" w:color="ffffff" w:fill="f6c2c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c9211e"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211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st Table 2"/>
    <w:basedOn w:val="1048"/>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List Table 2 Accent 1"/>
    <w:basedOn w:val="1048"/>
    <w:uiPriority w:val="99"/>
    <w:pPr>
      <w:pBdr/>
      <w:spacing/>
      <w:ind/>
    </w:pPr>
    <w:tblPr>
      <w:tblStyleRowBandSize w:val="1"/>
      <w:tblStyleColBandSize w:val="1"/>
      <w:tblBorders>
        <w:top w:val="single" w:color="58fb40" w:themeColor="accent1" w:themeTint="90" w:sz="4" w:space="0"/>
        <w:bottom w:val="single" w:color="58fb40" w:themeColor="accent1" w:themeTint="90" w:sz="4" w:space="0"/>
        <w:insideH w:val="single" w:color="58fb40" w:themeColor="accent1" w:themeTint="90" w:sz="4" w:space="0"/>
      </w:tblBorders>
    </w:tblPr>
    <w:tcPr>
      <w:tcBorders/>
    </w:tcPr>
    <w:tblStylePr w:type="band1Horz">
      <w:rPr>
        <w:sz w:val="22"/>
      </w:rPr>
      <w:pPr>
        <w:pBdr/>
        <w:spacing/>
        <w:ind/>
      </w:pPr>
      <w:tblPr>
        <w:tblBorders/>
      </w:tblPr>
      <w:tcPr>
        <w:shd w:val="clear" w:color="ffffff" w:fill="b4fda9" w:themeFill="accent1" w:themeFillTint="40"/>
        <w:tcBorders/>
      </w:tcPr>
    </w:tblStylePr>
    <w:tblStylePr w:type="band1Vert">
      <w:rPr>
        <w:sz w:val="22"/>
      </w:rPr>
      <w:pPr>
        <w:pBdr/>
        <w:spacing/>
        <w:ind/>
      </w:pPr>
      <w:tblPr>
        <w:tblBorders/>
      </w:tblPr>
      <w:tcPr>
        <w:shd w:val="clear" w:color="ffffff" w:fill="b4fda9"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18a303" w:themeColor="accent1" w:sz="4" w:space="0"/>
          <w:left w:val="none" w:color="000000" w:sz="4" w:space="0"/>
          <w:bottom w:val="single" w:color="18a303"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18a303" w:themeColor="accent1" w:sz="4" w:space="0"/>
          <w:left w:val="none" w:color="000000" w:sz="4" w:space="0"/>
          <w:bottom w:val="single" w:color="18a303"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List Table 2 Accent 2"/>
    <w:basedOn w:val="1048"/>
    <w:uiPriority w:val="99"/>
    <w:pPr>
      <w:pBdr/>
      <w:spacing/>
      <w:ind/>
    </w:pPr>
    <w:tblPr>
      <w:tblStyleRowBandSize w:val="1"/>
      <w:tblStyleColBandSize w:val="1"/>
      <w:tblBorders>
        <w:top w:val="single" w:color="40b7fb" w:themeColor="accent2" w:themeTint="90" w:sz="4" w:space="0"/>
        <w:bottom w:val="single" w:color="40b7fb" w:themeColor="accent2" w:themeTint="90" w:sz="4" w:space="0"/>
        <w:insideH w:val="single" w:color="40b7fb" w:themeColor="accent2" w:themeTint="90" w:sz="4" w:space="0"/>
      </w:tblBorders>
    </w:tblPr>
    <w:tcPr>
      <w:tcBorders/>
    </w:tcPr>
    <w:tblStylePr w:type="band1Horz">
      <w:rPr>
        <w:sz w:val="22"/>
      </w:rPr>
      <w:pPr>
        <w:pBdr/>
        <w:spacing/>
        <w:ind/>
      </w:pPr>
      <w:tblPr>
        <w:tblBorders/>
      </w:tblPr>
      <w:tcPr>
        <w:shd w:val="clear" w:color="ffffff" w:fill="a9defd" w:themeFill="accent2" w:themeFillTint="40"/>
        <w:tcBorders/>
      </w:tcPr>
    </w:tblStylePr>
    <w:tblStylePr w:type="band1Vert">
      <w:rPr>
        <w:sz w:val="22"/>
      </w:rPr>
      <w:pPr>
        <w:pBdr/>
        <w:spacing/>
        <w:ind/>
      </w:pPr>
      <w:tblPr>
        <w:tblBorders/>
      </w:tblPr>
      <w:tcPr>
        <w:shd w:val="clear" w:color="ffffff" w:fill="a9de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369a3" w:themeColor="accent2" w:sz="4" w:space="0"/>
          <w:left w:val="none" w:color="000000" w:sz="4" w:space="0"/>
          <w:bottom w:val="single" w:color="0369a3"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369a3" w:themeColor="accent2" w:sz="4" w:space="0"/>
          <w:left w:val="none" w:color="000000" w:sz="4" w:space="0"/>
          <w:bottom w:val="single" w:color="0369a3"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List Table 2 Accent 3"/>
    <w:basedOn w:val="1048"/>
    <w:uiPriority w:val="99"/>
    <w:pPr>
      <w:pBdr/>
      <w:spacing/>
      <w:ind/>
    </w:pPr>
    <w:tblPr>
      <w:tblStyleRowBandSize w:val="1"/>
      <w:tblStyleColBandSize w:val="1"/>
      <w:tblBorders>
        <w:top w:val="single" w:color="fb8540" w:themeColor="accent3" w:themeTint="90" w:sz="4" w:space="0"/>
        <w:bottom w:val="single" w:color="fb8540" w:themeColor="accent3" w:themeTint="90" w:sz="4" w:space="0"/>
        <w:insideH w:val="single" w:color="fb8540" w:themeColor="accent3" w:themeTint="90" w:sz="4" w:space="0"/>
      </w:tblBorders>
    </w:tblPr>
    <w:tcPr>
      <w:tcBorders/>
    </w:tcPr>
    <w:tblStylePr w:type="band1Horz">
      <w:rPr>
        <w:sz w:val="22"/>
      </w:rPr>
      <w:pPr>
        <w:pBdr/>
        <w:spacing/>
        <w:ind/>
      </w:pPr>
      <w:tblPr>
        <w:tblBorders/>
      </w:tblPr>
      <w:tcPr>
        <w:shd w:val="clear" w:color="ffffff" w:fill="fdc8a9" w:themeFill="accent3" w:themeFillTint="40"/>
        <w:tcBorders/>
      </w:tcPr>
    </w:tblStylePr>
    <w:tblStylePr w:type="band1Vert">
      <w:rPr>
        <w:sz w:val="22"/>
      </w:rPr>
      <w:pPr>
        <w:pBdr/>
        <w:spacing/>
        <w:ind/>
      </w:pPr>
      <w:tblPr>
        <w:tblBorders/>
      </w:tblPr>
      <w:tcPr>
        <w:shd w:val="clear" w:color="ffffff" w:fill="fdc8a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a33e03" w:themeColor="accent3" w:sz="4" w:space="0"/>
          <w:left w:val="none" w:color="000000" w:sz="4" w:space="0"/>
          <w:bottom w:val="single" w:color="a33e03"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a33e03" w:themeColor="accent3" w:sz="4" w:space="0"/>
          <w:left w:val="none" w:color="000000" w:sz="4" w:space="0"/>
          <w:bottom w:val="single" w:color="a33e03"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List Table 2 Accent 4"/>
    <w:basedOn w:val="1048"/>
    <w:uiPriority w:val="99"/>
    <w:pPr>
      <w:pBdr/>
      <w:spacing/>
      <w:ind/>
    </w:pPr>
    <w:tblPr>
      <w:tblStyleRowBandSize w:val="1"/>
      <w:tblStyleColBandSize w:val="1"/>
      <w:tblBorders>
        <w:top w:val="single" w:color="e240fb" w:themeColor="accent4" w:themeTint="90" w:sz="4" w:space="0"/>
        <w:bottom w:val="single" w:color="e240fb" w:themeColor="accent4" w:themeTint="90" w:sz="4" w:space="0"/>
        <w:insideH w:val="single" w:color="e240fb" w:themeColor="accent4" w:themeTint="90" w:sz="4" w:space="0"/>
      </w:tblBorders>
    </w:tblPr>
    <w:tcPr>
      <w:tcBorders/>
    </w:tcPr>
    <w:tblStylePr w:type="band1Horz">
      <w:rPr>
        <w:sz w:val="22"/>
      </w:rPr>
      <w:pPr>
        <w:pBdr/>
        <w:spacing/>
        <w:ind/>
      </w:pPr>
      <w:tblPr>
        <w:tblBorders/>
      </w:tblPr>
      <w:tcPr>
        <w:shd w:val="clear" w:color="ffffff" w:fill="f2a9fd" w:themeFill="accent4" w:themeFillTint="40"/>
        <w:tcBorders/>
      </w:tcPr>
    </w:tblStylePr>
    <w:tblStylePr w:type="band1Vert">
      <w:rPr>
        <w:sz w:val="22"/>
      </w:rPr>
      <w:pPr>
        <w:pBdr/>
        <w:spacing/>
        <w:ind/>
      </w:pPr>
      <w:tblPr>
        <w:tblBorders/>
      </w:tblPr>
      <w:tcPr>
        <w:shd w:val="clear" w:color="ffffff" w:fill="f2a9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8e03a3" w:themeColor="accent4" w:sz="4" w:space="0"/>
          <w:left w:val="none" w:color="000000" w:sz="4" w:space="0"/>
          <w:bottom w:val="single" w:color="8e03a3"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8e03a3" w:themeColor="accent4" w:sz="4" w:space="0"/>
          <w:left w:val="none" w:color="000000" w:sz="4" w:space="0"/>
          <w:bottom w:val="single" w:color="8e03a3"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List Table 2 Accent 5"/>
    <w:basedOn w:val="1048"/>
    <w:uiPriority w:val="99"/>
    <w:pPr>
      <w:pBdr/>
      <w:spacing/>
      <w:ind/>
    </w:pPr>
    <w:tblPr>
      <w:tblStyleRowBandSize w:val="1"/>
      <w:tblStyleColBandSize w:val="1"/>
      <w:tblBorders>
        <w:top w:val="single" w:color="ffd750" w:themeColor="accent5" w:themeTint="90" w:sz="4" w:space="0"/>
        <w:bottom w:val="single" w:color="ffd750" w:themeColor="accent5" w:themeTint="90" w:sz="4" w:space="0"/>
        <w:insideH w:val="single" w:color="ffd750" w:themeColor="accent5" w:themeTint="90" w:sz="4" w:space="0"/>
      </w:tblBorders>
    </w:tblPr>
    <w:tcPr>
      <w:tcBorders/>
    </w:tcPr>
    <w:tblStylePr w:type="band1Horz">
      <w:rPr>
        <w:sz w:val="22"/>
      </w:rPr>
      <w:pPr>
        <w:pBdr/>
        <w:spacing/>
        <w:ind/>
      </w:pPr>
      <w:tblPr>
        <w:tblBorders/>
      </w:tblPr>
      <w:tcPr>
        <w:shd w:val="clear" w:color="ffffff" w:fill="ffedb1" w:themeFill="accent5" w:themeFillTint="40"/>
        <w:tcBorders/>
      </w:tcPr>
    </w:tblStylePr>
    <w:tblStylePr w:type="band1Vert">
      <w:rPr>
        <w:sz w:val="22"/>
      </w:rPr>
      <w:pPr>
        <w:pBdr/>
        <w:spacing/>
        <w:ind/>
      </w:pPr>
      <w:tblPr>
        <w:tblBorders/>
      </w:tblPr>
      <w:tcPr>
        <w:shd w:val="clear" w:color="ffffff" w:fill="ffed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c99c00" w:themeColor="accent5" w:sz="4" w:space="0"/>
          <w:left w:val="none" w:color="000000" w:sz="4" w:space="0"/>
          <w:bottom w:val="single" w:color="c99c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c99c00" w:themeColor="accent5" w:sz="4" w:space="0"/>
          <w:left w:val="none" w:color="000000" w:sz="4" w:space="0"/>
          <w:bottom w:val="single" w:color="c99c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List Table 2 Accent 6"/>
    <w:basedOn w:val="1048"/>
    <w:uiPriority w:val="99"/>
    <w:pPr>
      <w:pBdr/>
      <w:spacing/>
      <w:ind/>
    </w:pPr>
    <w:tblPr>
      <w:tblStyleRowBandSize w:val="1"/>
      <w:tblStyleColBandSize w:val="1"/>
      <w:tblBorders>
        <w:top w:val="single" w:color="ea7775" w:themeColor="accent6" w:themeTint="90" w:sz="4" w:space="0"/>
        <w:bottom w:val="single" w:color="ea7775" w:themeColor="accent6" w:themeTint="90" w:sz="4" w:space="0"/>
        <w:insideH w:val="single" w:color="ea7775" w:themeColor="accent6" w:themeTint="90" w:sz="4" w:space="0"/>
      </w:tblBorders>
    </w:tblPr>
    <w:tcPr>
      <w:tcBorders/>
    </w:tcPr>
    <w:tblStylePr w:type="band1Horz">
      <w:rPr>
        <w:sz w:val="22"/>
      </w:rPr>
      <w:pPr>
        <w:pBdr/>
        <w:spacing/>
        <w:ind/>
      </w:pPr>
      <w:tblPr>
        <w:tblBorders/>
      </w:tblPr>
      <w:tcPr>
        <w:shd w:val="clear" w:color="ffffff" w:fill="f6c2c1" w:themeFill="accent6" w:themeFillTint="40"/>
        <w:tcBorders/>
      </w:tcPr>
    </w:tblStylePr>
    <w:tblStylePr w:type="band1Vert">
      <w:rPr>
        <w:sz w:val="22"/>
      </w:rPr>
      <w:pPr>
        <w:pBdr/>
        <w:spacing/>
        <w:ind/>
      </w:pPr>
      <w:tblPr>
        <w:tblBorders/>
      </w:tblPr>
      <w:tcPr>
        <w:shd w:val="clear" w:color="ffffff" w:fill="f6c2c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c9211e" w:themeColor="accent6" w:sz="4" w:space="0"/>
          <w:left w:val="none" w:color="000000" w:sz="4" w:space="0"/>
          <w:bottom w:val="single" w:color="c9211e"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c9211e" w:themeColor="accent6" w:sz="4" w:space="0"/>
          <w:left w:val="none" w:color="000000" w:sz="4" w:space="0"/>
          <w:bottom w:val="single" w:color="c9211e"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List Table 3"/>
    <w:basedOn w:val="104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List Table 3 Accent 1"/>
    <w:basedOn w:val="1048"/>
    <w:uiPriority w:val="99"/>
    <w:pPr>
      <w:pBdr/>
      <w:spacing/>
      <w:ind/>
    </w:pPr>
    <w:tblPr>
      <w:tblStyleRowBandSize w:val="1"/>
      <w:tblStyleColBandSize w:val="1"/>
      <w:tblBorders>
        <w:top w:val="single" w:color="18a303" w:themeColor="accent1" w:sz="4" w:space="0"/>
        <w:left w:val="single" w:color="18a303" w:themeColor="accent1" w:sz="4" w:space="0"/>
        <w:bottom w:val="single" w:color="18a303" w:themeColor="accent1" w:sz="4" w:space="0"/>
        <w:right w:val="single" w:color="18a303" w:themeColor="accent1" w:sz="4" w:space="0"/>
      </w:tblBorders>
    </w:tblPr>
    <w:tcPr>
      <w:tcBorders/>
    </w:tcPr>
    <w:tblStylePr w:type="band1Horz">
      <w:rPr>
        <w:sz w:val="22"/>
      </w:rPr>
      <w:pPr>
        <w:pBdr/>
        <w:spacing/>
        <w:ind/>
      </w:pPr>
      <w:tblPr>
        <w:tblBorders/>
      </w:tblPr>
      <w:tcPr>
        <w:tcBorders>
          <w:top w:val="single" w:color="18a303" w:themeColor="accent1" w:sz="4" w:space="0"/>
          <w:bottom w:val="single" w:color="18a303" w:themeColor="accent1" w:sz="4" w:space="0"/>
        </w:tcBorders>
      </w:tcPr>
    </w:tblStylePr>
    <w:tblStylePr w:type="band1Vert">
      <w:rPr>
        <w:sz w:val="22"/>
      </w:rPr>
      <w:pPr>
        <w:pBdr/>
        <w:spacing/>
        <w:ind/>
      </w:pPr>
      <w:tblPr>
        <w:tblBorders/>
      </w:tblPr>
      <w:tcPr>
        <w:tcBorders>
          <w:left w:val="single" w:color="18a303" w:themeColor="accent1" w:sz="4" w:space="0"/>
          <w:right w:val="single" w:color="18a303"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List Table 3 Accent 2"/>
    <w:basedOn w:val="1048"/>
    <w:uiPriority w:val="99"/>
    <w:pPr>
      <w:pBdr/>
      <w:spacing/>
      <w:ind/>
    </w:pPr>
    <w:tblPr>
      <w:tblStyleRowBandSize w:val="1"/>
      <w:tblStyleColBandSize w:val="1"/>
      <w:tblBorders>
        <w:top w:val="single" w:color="36b3fb" w:themeColor="accent2" w:themeTint="97" w:sz="4" w:space="0"/>
        <w:left w:val="single" w:color="36b3fb" w:themeColor="accent2" w:themeTint="97" w:sz="4" w:space="0"/>
        <w:bottom w:val="single" w:color="36b3fb" w:themeColor="accent2" w:themeTint="97" w:sz="4" w:space="0"/>
        <w:right w:val="single" w:color="36b3fb" w:themeColor="accent2" w:themeTint="97" w:sz="4" w:space="0"/>
      </w:tblBorders>
    </w:tblPr>
    <w:tcPr>
      <w:tcBorders/>
    </w:tcPr>
    <w:tblStylePr w:type="band1Horz">
      <w:rPr>
        <w:sz w:val="22"/>
      </w:rPr>
      <w:pPr>
        <w:pBdr/>
        <w:spacing/>
        <w:ind/>
      </w:pPr>
      <w:tblPr>
        <w:tblBorders/>
      </w:tblPr>
      <w:tcPr>
        <w:tcBorders>
          <w:top w:val="single" w:color="0369a3" w:themeColor="accent2" w:sz="4" w:space="0"/>
          <w:bottom w:val="single" w:color="0369a3" w:themeColor="accent2" w:sz="4" w:space="0"/>
        </w:tcBorders>
      </w:tcPr>
    </w:tblStylePr>
    <w:tblStylePr w:type="band1Vert">
      <w:rPr>
        <w:sz w:val="22"/>
      </w:rPr>
      <w:pPr>
        <w:pBdr/>
        <w:spacing/>
        <w:ind/>
      </w:pPr>
      <w:tblPr>
        <w:tblBorders/>
      </w:tblPr>
      <w:tcPr>
        <w:tcBorders>
          <w:left w:val="single" w:color="0369a3" w:themeColor="accent2" w:sz="4" w:space="0"/>
          <w:right w:val="single" w:color="0369a3"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6b3fb"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List Table 3 Accent 3"/>
    <w:basedOn w:val="1048"/>
    <w:uiPriority w:val="99"/>
    <w:pPr>
      <w:pBdr/>
      <w:spacing/>
      <w:ind/>
    </w:pPr>
    <w:tblPr>
      <w:tblStyleRowBandSize w:val="1"/>
      <w:tblStyleColBandSize w:val="1"/>
      <w:tblBorders>
        <w:top w:val="single" w:color="fb7e35" w:themeColor="accent3" w:themeTint="98" w:sz="4" w:space="0"/>
        <w:left w:val="single" w:color="fb7e35" w:themeColor="accent3" w:themeTint="98" w:sz="4" w:space="0"/>
        <w:bottom w:val="single" w:color="fb7e35" w:themeColor="accent3" w:themeTint="98" w:sz="4" w:space="0"/>
        <w:right w:val="single" w:color="fb7e35" w:themeColor="accent3" w:themeTint="98" w:sz="4" w:space="0"/>
      </w:tblBorders>
    </w:tblPr>
    <w:tcPr>
      <w:tcBorders/>
    </w:tcPr>
    <w:tblStylePr w:type="band1Horz">
      <w:rPr>
        <w:sz w:val="22"/>
      </w:rPr>
      <w:pPr>
        <w:pBdr/>
        <w:spacing/>
        <w:ind/>
      </w:pPr>
      <w:tblPr>
        <w:tblBorders/>
      </w:tblPr>
      <w:tcPr>
        <w:tcBorders>
          <w:top w:val="single" w:color="a33e03" w:themeColor="accent3" w:sz="4" w:space="0"/>
          <w:bottom w:val="single" w:color="a33e03" w:themeColor="accent3" w:sz="4" w:space="0"/>
        </w:tcBorders>
      </w:tcPr>
    </w:tblStylePr>
    <w:tblStylePr w:type="band1Vert">
      <w:rPr>
        <w:sz w:val="22"/>
      </w:rPr>
      <w:pPr>
        <w:pBdr/>
        <w:spacing/>
        <w:ind/>
      </w:pPr>
      <w:tblPr>
        <w:tblBorders/>
      </w:tblPr>
      <w:tcPr>
        <w:tcBorders>
          <w:left w:val="single" w:color="a33e03" w:themeColor="accent3" w:sz="4" w:space="0"/>
          <w:right w:val="single" w:color="a33e03"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b7e35"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List Table 3 Accent 4"/>
    <w:basedOn w:val="1048"/>
    <w:uiPriority w:val="99"/>
    <w:pPr>
      <w:pBdr/>
      <w:spacing/>
      <w:ind/>
    </w:pPr>
    <w:tblPr>
      <w:tblStyleRowBandSize w:val="1"/>
      <w:tblStyleColBandSize w:val="1"/>
      <w:tblBorders>
        <w:top w:val="single" w:color="e032fb" w:themeColor="accent4" w:themeTint="9A" w:sz="4" w:space="0"/>
        <w:left w:val="single" w:color="e032fb" w:themeColor="accent4" w:themeTint="9A" w:sz="4" w:space="0"/>
        <w:bottom w:val="single" w:color="e032fb" w:themeColor="accent4" w:themeTint="9A" w:sz="4" w:space="0"/>
        <w:right w:val="single" w:color="e032fb" w:themeColor="accent4" w:themeTint="9A" w:sz="4" w:space="0"/>
      </w:tblBorders>
    </w:tblPr>
    <w:tcPr>
      <w:tcBorders/>
    </w:tcPr>
    <w:tblStylePr w:type="band1Horz">
      <w:rPr>
        <w:sz w:val="22"/>
      </w:rPr>
      <w:pPr>
        <w:pBdr/>
        <w:spacing/>
        <w:ind/>
      </w:pPr>
      <w:tblPr>
        <w:tblBorders/>
      </w:tblPr>
      <w:tcPr>
        <w:tcBorders>
          <w:top w:val="single" w:color="8e03a3" w:themeColor="accent4" w:sz="4" w:space="0"/>
          <w:bottom w:val="single" w:color="8e03a3" w:themeColor="accent4" w:sz="4" w:space="0"/>
        </w:tcBorders>
      </w:tcPr>
    </w:tblStylePr>
    <w:tblStylePr w:type="band1Vert">
      <w:rPr>
        <w:sz w:val="22"/>
      </w:rPr>
      <w:pPr>
        <w:pBdr/>
        <w:spacing/>
        <w:ind/>
      </w:pPr>
      <w:tblPr>
        <w:tblBorders/>
      </w:tblPr>
      <w:tcPr>
        <w:tcBorders>
          <w:left w:val="single" w:color="8e03a3" w:themeColor="accent4" w:sz="4" w:space="0"/>
          <w:right w:val="single" w:color="8e03a3"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032fb"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List Table 3 Accent 5"/>
    <w:basedOn w:val="1048"/>
    <w:uiPriority w:val="99"/>
    <w:pPr>
      <w:pBdr/>
      <w:spacing/>
      <w:ind/>
    </w:pPr>
    <w:tblPr>
      <w:tblStyleRowBandSize w:val="1"/>
      <w:tblStyleColBandSize w:val="1"/>
      <w:tblBorders>
        <w:top w:val="single" w:color="ffd444" w:themeColor="accent5" w:themeTint="9A" w:sz="4" w:space="0"/>
        <w:left w:val="single" w:color="ffd444" w:themeColor="accent5" w:themeTint="9A" w:sz="4" w:space="0"/>
        <w:bottom w:val="single" w:color="ffd444" w:themeColor="accent5" w:themeTint="9A" w:sz="4" w:space="0"/>
        <w:right w:val="single" w:color="ffd444" w:themeColor="accent5" w:themeTint="9A" w:sz="4" w:space="0"/>
      </w:tblBorders>
    </w:tblPr>
    <w:tcPr>
      <w:tcBorders/>
    </w:tcPr>
    <w:tblStylePr w:type="band1Horz">
      <w:rPr>
        <w:sz w:val="22"/>
      </w:rPr>
      <w:pPr>
        <w:pBdr/>
        <w:spacing/>
        <w:ind/>
      </w:pPr>
      <w:tblPr>
        <w:tblBorders/>
      </w:tblPr>
      <w:tcPr>
        <w:tcBorders>
          <w:top w:val="single" w:color="c99c00" w:themeColor="accent5" w:sz="4" w:space="0"/>
          <w:bottom w:val="single" w:color="c99c00" w:themeColor="accent5" w:sz="4" w:space="0"/>
        </w:tcBorders>
      </w:tcPr>
    </w:tblStylePr>
    <w:tblStylePr w:type="band1Vert">
      <w:rPr>
        <w:sz w:val="22"/>
      </w:rPr>
      <w:pPr>
        <w:pBdr/>
        <w:spacing/>
        <w:ind/>
      </w:pPr>
      <w:tblPr>
        <w:tblBorders/>
      </w:tblPr>
      <w:tcPr>
        <w:tcBorders>
          <w:left w:val="single" w:color="c99c00" w:themeColor="accent5" w:sz="4" w:space="0"/>
          <w:right w:val="single" w:color="c99c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444"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List Table 3 Accent 6"/>
    <w:basedOn w:val="1048"/>
    <w:uiPriority w:val="99"/>
    <w:pPr>
      <w:pBdr/>
      <w:spacing/>
      <w:ind/>
    </w:pPr>
    <w:tblPr>
      <w:tblStyleRowBandSize w:val="1"/>
      <w:tblStyleColBandSize w:val="1"/>
      <w:tblBorders>
        <w:top w:val="single" w:color="e9706e" w:themeColor="accent6" w:themeTint="98" w:sz="4" w:space="0"/>
        <w:left w:val="single" w:color="e9706e" w:themeColor="accent6" w:themeTint="98" w:sz="4" w:space="0"/>
        <w:bottom w:val="single" w:color="e9706e" w:themeColor="accent6" w:themeTint="98" w:sz="4" w:space="0"/>
        <w:right w:val="single" w:color="e9706e" w:themeColor="accent6" w:themeTint="98" w:sz="4" w:space="0"/>
      </w:tblBorders>
    </w:tblPr>
    <w:tcPr>
      <w:tcBorders/>
    </w:tcPr>
    <w:tblStylePr w:type="band1Horz">
      <w:rPr>
        <w:sz w:val="22"/>
      </w:rPr>
      <w:pPr>
        <w:pBdr/>
        <w:spacing/>
        <w:ind/>
      </w:pPr>
      <w:tblPr>
        <w:tblBorders/>
      </w:tblPr>
      <w:tcPr>
        <w:tcBorders>
          <w:top w:val="single" w:color="c9211e" w:themeColor="accent6" w:sz="4" w:space="0"/>
          <w:bottom w:val="single" w:color="c9211e" w:themeColor="accent6" w:sz="4" w:space="0"/>
        </w:tcBorders>
      </w:tcPr>
    </w:tblStylePr>
    <w:tblStylePr w:type="band1Vert">
      <w:rPr>
        <w:sz w:val="22"/>
      </w:rPr>
      <w:pPr>
        <w:pBdr/>
        <w:spacing/>
        <w:ind/>
      </w:pPr>
      <w:tblPr>
        <w:tblBorders/>
      </w:tblPr>
      <w:tcPr>
        <w:tcBorders>
          <w:left w:val="single" w:color="c9211e" w:themeColor="accent6" w:sz="4" w:space="0"/>
          <w:right w:val="single" w:color="c9211e"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9706e"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List Table 4"/>
    <w:basedOn w:val="104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List Table 4 Accent 1"/>
    <w:basedOn w:val="1048"/>
    <w:uiPriority w:val="99"/>
    <w:pPr>
      <w:pBdr/>
      <w:spacing/>
      <w:ind/>
    </w:pPr>
    <w:tblPr>
      <w:tblStyleRowBandSize w:val="1"/>
      <w:tblStyleColBandSize w:val="1"/>
      <w:tblBorders>
        <w:top w:val="single" w:color="58fb40" w:themeColor="accent1" w:themeTint="90" w:sz="4" w:space="0"/>
        <w:left w:val="single" w:color="58fb40" w:themeColor="accent1" w:themeTint="90" w:sz="4" w:space="0"/>
        <w:bottom w:val="single" w:color="58fb40" w:themeColor="accent1" w:themeTint="90" w:sz="4" w:space="0"/>
        <w:right w:val="single" w:color="58fb40" w:themeColor="accent1" w:themeTint="90" w:sz="4" w:space="0"/>
        <w:insideH w:val="single" w:color="58fb40" w:themeColor="accent1" w:themeTint="90" w:sz="4" w:space="0"/>
      </w:tblBorders>
    </w:tblPr>
    <w:tcPr>
      <w:tcBorders/>
    </w:tcPr>
    <w:tblStylePr w:type="band1Horz">
      <w:rPr>
        <w:sz w:val="22"/>
      </w:rPr>
      <w:pPr>
        <w:pBdr/>
        <w:spacing/>
        <w:ind/>
      </w:pPr>
      <w:tblPr>
        <w:tblBorders/>
      </w:tblPr>
      <w:tcPr>
        <w:shd w:val="clear" w:color="ffffff" w:fill="b4fda9" w:themeFill="accent1" w:themeFillTint="40"/>
        <w:tcBorders/>
      </w:tcPr>
    </w:tblStylePr>
    <w:tblStylePr w:type="band1Vert">
      <w:rPr>
        <w:sz w:val="22"/>
      </w:rPr>
      <w:pPr>
        <w:pBdr/>
        <w:spacing/>
        <w:ind/>
      </w:pPr>
      <w:tblPr>
        <w:tblBorders/>
      </w:tblPr>
      <w:tcPr>
        <w:shd w:val="clear" w:color="ffffff" w:fill="b4fda9"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List Table 4 Accent 2"/>
    <w:basedOn w:val="1048"/>
    <w:uiPriority w:val="99"/>
    <w:pPr>
      <w:pBdr/>
      <w:spacing/>
      <w:ind/>
    </w:pPr>
    <w:tblPr>
      <w:tblStyleRowBandSize w:val="1"/>
      <w:tblStyleColBandSize w:val="1"/>
      <w:tblBorders>
        <w:top w:val="single" w:color="40b7fb" w:themeColor="accent2" w:themeTint="90" w:sz="4" w:space="0"/>
        <w:left w:val="single" w:color="40b7fb" w:themeColor="accent2" w:themeTint="90" w:sz="4" w:space="0"/>
        <w:bottom w:val="single" w:color="40b7fb" w:themeColor="accent2" w:themeTint="90" w:sz="4" w:space="0"/>
        <w:right w:val="single" w:color="40b7fb" w:themeColor="accent2" w:themeTint="90" w:sz="4" w:space="0"/>
        <w:insideH w:val="single" w:color="40b7fb" w:themeColor="accent2" w:themeTint="90" w:sz="4" w:space="0"/>
      </w:tblBorders>
    </w:tblPr>
    <w:tcPr>
      <w:tcBorders/>
    </w:tcPr>
    <w:tblStylePr w:type="band1Horz">
      <w:rPr>
        <w:sz w:val="22"/>
      </w:rPr>
      <w:pPr>
        <w:pBdr/>
        <w:spacing/>
        <w:ind/>
      </w:pPr>
      <w:tblPr>
        <w:tblBorders/>
      </w:tblPr>
      <w:tcPr>
        <w:shd w:val="clear" w:color="ffffff" w:fill="a9defd" w:themeFill="accent2" w:themeFillTint="40"/>
        <w:tcBorders/>
      </w:tcPr>
    </w:tblStylePr>
    <w:tblStylePr w:type="band1Vert">
      <w:rPr>
        <w:sz w:val="22"/>
      </w:rPr>
      <w:pPr>
        <w:pBdr/>
        <w:spacing/>
        <w:ind/>
      </w:pPr>
      <w:tblPr>
        <w:tblBorders/>
      </w:tblPr>
      <w:tcPr>
        <w:shd w:val="clear" w:color="ffffff" w:fill="a9de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369a3"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List Table 4 Accent 3"/>
    <w:basedOn w:val="1048"/>
    <w:uiPriority w:val="99"/>
    <w:pPr>
      <w:pBdr/>
      <w:spacing/>
      <w:ind/>
    </w:pPr>
    <w:tblPr>
      <w:tblStyleRowBandSize w:val="1"/>
      <w:tblStyleColBandSize w:val="1"/>
      <w:tblBorders>
        <w:top w:val="single" w:color="fb8540" w:themeColor="accent3" w:themeTint="90" w:sz="4" w:space="0"/>
        <w:left w:val="single" w:color="fb8540" w:themeColor="accent3" w:themeTint="90" w:sz="4" w:space="0"/>
        <w:bottom w:val="single" w:color="fb8540" w:themeColor="accent3" w:themeTint="90" w:sz="4" w:space="0"/>
        <w:right w:val="single" w:color="fb8540" w:themeColor="accent3" w:themeTint="90" w:sz="4" w:space="0"/>
        <w:insideH w:val="single" w:color="fb8540" w:themeColor="accent3" w:themeTint="90" w:sz="4" w:space="0"/>
      </w:tblBorders>
    </w:tblPr>
    <w:tcPr>
      <w:tcBorders/>
    </w:tcPr>
    <w:tblStylePr w:type="band1Horz">
      <w:rPr>
        <w:sz w:val="22"/>
      </w:rPr>
      <w:pPr>
        <w:pBdr/>
        <w:spacing/>
        <w:ind/>
      </w:pPr>
      <w:tblPr>
        <w:tblBorders/>
      </w:tblPr>
      <w:tcPr>
        <w:shd w:val="clear" w:color="ffffff" w:fill="fdc8a9" w:themeFill="accent3" w:themeFillTint="40"/>
        <w:tcBorders/>
      </w:tcPr>
    </w:tblStylePr>
    <w:tblStylePr w:type="band1Vert">
      <w:rPr>
        <w:sz w:val="22"/>
      </w:rPr>
      <w:pPr>
        <w:pBdr/>
        <w:spacing/>
        <w:ind/>
      </w:pPr>
      <w:tblPr>
        <w:tblBorders/>
      </w:tblPr>
      <w:tcPr>
        <w:shd w:val="clear" w:color="ffffff" w:fill="fdc8a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33e03"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List Table 4 Accent 4"/>
    <w:basedOn w:val="1048"/>
    <w:uiPriority w:val="99"/>
    <w:pPr>
      <w:pBdr/>
      <w:spacing/>
      <w:ind/>
    </w:pPr>
    <w:tblPr>
      <w:tblStyleRowBandSize w:val="1"/>
      <w:tblStyleColBandSize w:val="1"/>
      <w:tblBorders>
        <w:top w:val="single" w:color="e240fb" w:themeColor="accent4" w:themeTint="90" w:sz="4" w:space="0"/>
        <w:left w:val="single" w:color="e240fb" w:themeColor="accent4" w:themeTint="90" w:sz="4" w:space="0"/>
        <w:bottom w:val="single" w:color="e240fb" w:themeColor="accent4" w:themeTint="90" w:sz="4" w:space="0"/>
        <w:right w:val="single" w:color="e240fb" w:themeColor="accent4" w:themeTint="90" w:sz="4" w:space="0"/>
        <w:insideH w:val="single" w:color="e240fb" w:themeColor="accent4" w:themeTint="90" w:sz="4" w:space="0"/>
      </w:tblBorders>
    </w:tblPr>
    <w:tcPr>
      <w:tcBorders/>
    </w:tcPr>
    <w:tblStylePr w:type="band1Horz">
      <w:rPr>
        <w:sz w:val="22"/>
      </w:rPr>
      <w:pPr>
        <w:pBdr/>
        <w:spacing/>
        <w:ind/>
      </w:pPr>
      <w:tblPr>
        <w:tblBorders/>
      </w:tblPr>
      <w:tcPr>
        <w:shd w:val="clear" w:color="ffffff" w:fill="f2a9fd" w:themeFill="accent4" w:themeFillTint="40"/>
        <w:tcBorders/>
      </w:tcPr>
    </w:tblStylePr>
    <w:tblStylePr w:type="band1Vert">
      <w:rPr>
        <w:sz w:val="22"/>
      </w:rPr>
      <w:pPr>
        <w:pBdr/>
        <w:spacing/>
        <w:ind/>
      </w:pPr>
      <w:tblPr>
        <w:tblBorders/>
      </w:tblPr>
      <w:tcPr>
        <w:shd w:val="clear" w:color="ffffff" w:fill="f2a9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e03a3"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List Table 4 Accent 5"/>
    <w:basedOn w:val="1048"/>
    <w:uiPriority w:val="99"/>
    <w:pPr>
      <w:pBdr/>
      <w:spacing/>
      <w:ind/>
    </w:pPr>
    <w:tblPr>
      <w:tblStyleRowBandSize w:val="1"/>
      <w:tblStyleColBandSize w:val="1"/>
      <w:tblBorders>
        <w:top w:val="single" w:color="ffd750" w:themeColor="accent5" w:themeTint="90" w:sz="4" w:space="0"/>
        <w:left w:val="single" w:color="ffd750" w:themeColor="accent5" w:themeTint="90" w:sz="4" w:space="0"/>
        <w:bottom w:val="single" w:color="ffd750" w:themeColor="accent5" w:themeTint="90" w:sz="4" w:space="0"/>
        <w:right w:val="single" w:color="ffd750" w:themeColor="accent5" w:themeTint="90" w:sz="4" w:space="0"/>
        <w:insideH w:val="single" w:color="ffd750" w:themeColor="accent5" w:themeTint="90" w:sz="4" w:space="0"/>
      </w:tblBorders>
    </w:tblPr>
    <w:tcPr>
      <w:tcBorders/>
    </w:tcPr>
    <w:tblStylePr w:type="band1Horz">
      <w:rPr>
        <w:sz w:val="22"/>
      </w:rPr>
      <w:pPr>
        <w:pBdr/>
        <w:spacing/>
        <w:ind/>
      </w:pPr>
      <w:tblPr>
        <w:tblBorders/>
      </w:tblPr>
      <w:tcPr>
        <w:shd w:val="clear" w:color="ffffff" w:fill="ffedb1" w:themeFill="accent5" w:themeFillTint="40"/>
        <w:tcBorders/>
      </w:tcPr>
    </w:tblStylePr>
    <w:tblStylePr w:type="band1Vert">
      <w:rPr>
        <w:sz w:val="22"/>
      </w:rPr>
      <w:pPr>
        <w:pBdr/>
        <w:spacing/>
        <w:ind/>
      </w:pPr>
      <w:tblPr>
        <w:tblBorders/>
      </w:tblPr>
      <w:tcPr>
        <w:shd w:val="clear" w:color="ffffff" w:fill="ffed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List Table 4 Accent 6"/>
    <w:basedOn w:val="1048"/>
    <w:uiPriority w:val="99"/>
    <w:pPr>
      <w:pBdr/>
      <w:spacing/>
      <w:ind/>
    </w:pPr>
    <w:tblPr>
      <w:tblStyleRowBandSize w:val="1"/>
      <w:tblStyleColBandSize w:val="1"/>
      <w:tblBorders>
        <w:top w:val="single" w:color="ea7775" w:themeColor="accent6" w:themeTint="90" w:sz="4" w:space="0"/>
        <w:left w:val="single" w:color="ea7775" w:themeColor="accent6" w:themeTint="90" w:sz="4" w:space="0"/>
        <w:bottom w:val="single" w:color="ea7775" w:themeColor="accent6" w:themeTint="90" w:sz="4" w:space="0"/>
        <w:right w:val="single" w:color="ea7775" w:themeColor="accent6" w:themeTint="90" w:sz="4" w:space="0"/>
        <w:insideH w:val="single" w:color="ea7775" w:themeColor="accent6" w:themeTint="90" w:sz="4" w:space="0"/>
      </w:tblBorders>
    </w:tblPr>
    <w:tcPr>
      <w:tcBorders/>
    </w:tcPr>
    <w:tblStylePr w:type="band1Horz">
      <w:rPr>
        <w:sz w:val="22"/>
      </w:rPr>
      <w:pPr>
        <w:pBdr/>
        <w:spacing/>
        <w:ind/>
      </w:pPr>
      <w:tblPr>
        <w:tblBorders/>
      </w:tblPr>
      <w:tcPr>
        <w:shd w:val="clear" w:color="ffffff" w:fill="f6c2c1" w:themeFill="accent6" w:themeFillTint="40"/>
        <w:tcBorders/>
      </w:tcPr>
    </w:tblStylePr>
    <w:tblStylePr w:type="band1Vert">
      <w:rPr>
        <w:sz w:val="22"/>
      </w:rPr>
      <w:pPr>
        <w:pBdr/>
        <w:spacing/>
        <w:ind/>
      </w:pPr>
      <w:tblPr>
        <w:tblBorders/>
      </w:tblPr>
      <w:tcPr>
        <w:shd w:val="clear" w:color="ffffff" w:fill="f6c2c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List Table 5 Dark"/>
    <w:basedOn w:val="1048"/>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List Table 5 Dark Accent 1"/>
    <w:basedOn w:val="1048"/>
    <w:uiPriority w:val="99"/>
    <w:pPr>
      <w:pBdr/>
      <w:spacing/>
      <w:ind/>
    </w:pPr>
    <w:tblPr>
      <w:tblStyleRowBandSize w:val="1"/>
      <w:tblStyleColBandSize w:val="1"/>
      <w:tblBorders>
        <w:top w:val="single" w:color="18a303" w:themeColor="accent1" w:sz="32" w:space="0"/>
        <w:left w:val="single" w:color="18a303" w:themeColor="accent1" w:sz="32" w:space="0"/>
        <w:bottom w:val="single" w:color="18a303" w:themeColor="accent1" w:sz="32" w:space="0"/>
        <w:right w:val="single" w:color="18a303" w:themeColor="accent1" w:sz="32" w:space="0"/>
      </w:tblBorders>
    </w:tblPr>
    <w:tcPr>
      <w:tcBorders/>
    </w:tcPr>
    <w:tblStylePr w:type="band1Horz">
      <w:pPr>
        <w:pBdr/>
        <w:spacing/>
        <w:ind/>
      </w:pPr>
      <w:tblPr>
        <w:tblBorders/>
      </w:tblPr>
      <w:tcPr>
        <w:shd w:val="clear" w:color="ffffff" w:fill="18a303"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18a303"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18a303"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18a303" w:themeColor="accent1"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18a303" w:themeFill="accent1"/>
        <w:tcBorders>
          <w:top w:val="single" w:color="18a303"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8a303"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List Table 5 Dark Accent 2"/>
    <w:basedOn w:val="1048"/>
    <w:uiPriority w:val="99"/>
    <w:pPr>
      <w:pBdr/>
      <w:spacing/>
      <w:ind/>
    </w:pPr>
    <w:tblPr>
      <w:tblStyleRowBandSize w:val="1"/>
      <w:tblStyleColBandSize w:val="1"/>
      <w:tblBorders>
        <w:top w:val="single" w:color="36b3fb" w:themeColor="accent2" w:themeTint="97" w:sz="32" w:space="0"/>
        <w:left w:val="single" w:color="36b3fb" w:themeColor="accent2" w:themeTint="97" w:sz="32" w:space="0"/>
        <w:bottom w:val="single" w:color="36b3fb" w:themeColor="accent2" w:themeTint="97" w:sz="32" w:space="0"/>
        <w:right w:val="single" w:color="36b3fb" w:themeColor="accent2" w:themeTint="97" w:sz="32" w:space="0"/>
      </w:tblBorders>
    </w:tblPr>
    <w:tcPr>
      <w:tcBorders/>
    </w:tcPr>
    <w:tblStylePr w:type="band1Horz">
      <w:pPr>
        <w:pBdr/>
        <w:spacing/>
        <w:ind/>
      </w:pPr>
      <w:tblPr>
        <w:tblBorders/>
      </w:tblPr>
      <w:tcPr>
        <w:shd w:val="clear" w:color="ffffff" w:fill="36b3fb"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36b3fb"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36b3fb"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0369a3" w:themeColor="accent2"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36b3fb" w:themeFill="accent2" w:themeFillTint="97"/>
        <w:tcBorders>
          <w:top w:val="single" w:color="0369a3" w:themeColor="accent2"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0369a3"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List Table 5 Dark Accent 3"/>
    <w:basedOn w:val="1048"/>
    <w:uiPriority w:val="99"/>
    <w:pPr>
      <w:pBdr/>
      <w:spacing/>
      <w:ind/>
    </w:pPr>
    <w:tblPr>
      <w:tblStyleRowBandSize w:val="1"/>
      <w:tblStyleColBandSize w:val="1"/>
      <w:tblBorders>
        <w:top w:val="single" w:color="fb7e35" w:themeColor="accent3" w:themeTint="98" w:sz="32" w:space="0"/>
        <w:left w:val="single" w:color="fb7e35" w:themeColor="accent3" w:themeTint="98" w:sz="32" w:space="0"/>
        <w:bottom w:val="single" w:color="fb7e35" w:themeColor="accent3" w:themeTint="98" w:sz="32" w:space="0"/>
        <w:right w:val="single" w:color="fb7e35" w:themeColor="accent3" w:themeTint="98" w:sz="32" w:space="0"/>
      </w:tblBorders>
    </w:tblPr>
    <w:tcPr>
      <w:tcBorders/>
    </w:tcPr>
    <w:tblStylePr w:type="band1Horz">
      <w:pPr>
        <w:pBdr/>
        <w:spacing/>
        <w:ind/>
      </w:pPr>
      <w:tblPr>
        <w:tblBorders/>
      </w:tblPr>
      <w:tcPr>
        <w:shd w:val="clear" w:color="ffffff" w:fill="fb7e35"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fb7e35"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fb7e35"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a33e03" w:themeColor="accent3"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fb7e35" w:themeFill="accent3" w:themeFillTint="98"/>
        <w:tcBorders>
          <w:top w:val="single" w:color="a33e03" w:themeColor="accent3"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33e03"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List Table 5 Dark Accent 4"/>
    <w:basedOn w:val="1048"/>
    <w:uiPriority w:val="99"/>
    <w:pPr>
      <w:pBdr/>
      <w:spacing/>
      <w:ind/>
    </w:pPr>
    <w:tblPr>
      <w:tblStyleRowBandSize w:val="1"/>
      <w:tblStyleColBandSize w:val="1"/>
      <w:tblBorders>
        <w:top w:val="single" w:color="e032fb" w:themeColor="accent4" w:themeTint="9A" w:sz="32" w:space="0"/>
        <w:left w:val="single" w:color="e032fb" w:themeColor="accent4" w:themeTint="9A" w:sz="32" w:space="0"/>
        <w:bottom w:val="single" w:color="e032fb" w:themeColor="accent4" w:themeTint="9A" w:sz="32" w:space="0"/>
        <w:right w:val="single" w:color="e032fb" w:themeColor="accent4" w:themeTint="9A" w:sz="32" w:space="0"/>
      </w:tblBorders>
    </w:tblPr>
    <w:tcPr>
      <w:tcBorders/>
    </w:tcPr>
    <w:tblStylePr w:type="band1Horz">
      <w:pPr>
        <w:pBdr/>
        <w:spacing/>
        <w:ind/>
      </w:pPr>
      <w:tblPr>
        <w:tblBorders/>
      </w:tblPr>
      <w:tcPr>
        <w:shd w:val="clear" w:color="ffffff" w:fill="e032fb"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e032fb"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e032fb"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8e03a3" w:themeColor="accent4"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e032fb" w:themeFill="accent4" w:themeFillTint="9A"/>
        <w:tcBorders>
          <w:top w:val="single" w:color="8e03a3" w:themeColor="accent4"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03a3"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List Table 5 Dark Accent 5"/>
    <w:basedOn w:val="1048"/>
    <w:uiPriority w:val="99"/>
    <w:pPr>
      <w:pBdr/>
      <w:spacing/>
      <w:ind/>
    </w:pPr>
    <w:tblPr>
      <w:tblStyleRowBandSize w:val="1"/>
      <w:tblStyleColBandSize w:val="1"/>
      <w:tblBorders>
        <w:top w:val="single" w:color="ffd444" w:themeColor="accent5" w:themeTint="9A" w:sz="32" w:space="0"/>
        <w:left w:val="single" w:color="ffd444" w:themeColor="accent5" w:themeTint="9A" w:sz="32" w:space="0"/>
        <w:bottom w:val="single" w:color="ffd444" w:themeColor="accent5" w:themeTint="9A" w:sz="32" w:space="0"/>
        <w:right w:val="single" w:color="ffd444" w:themeColor="accent5" w:themeTint="9A" w:sz="32" w:space="0"/>
      </w:tblBorders>
    </w:tblPr>
    <w:tcPr>
      <w:tcBorders/>
    </w:tcPr>
    <w:tblStylePr w:type="band1Horz">
      <w:pPr>
        <w:pBdr/>
        <w:spacing/>
        <w:ind/>
      </w:pPr>
      <w:tblPr>
        <w:tblBorders/>
      </w:tblPr>
      <w:tcPr>
        <w:shd w:val="clear" w:color="ffffff" w:fill="ffd444"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ffd444"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ffd444"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c99c00" w:themeColor="accent5"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ffd444" w:themeFill="accent5" w:themeFillTint="9A"/>
        <w:tcBorders>
          <w:top w:val="single" w:color="c99c00" w:themeColor="accent5"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9c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List Table 5 Dark Accent 6"/>
    <w:basedOn w:val="1048"/>
    <w:uiPriority w:val="99"/>
    <w:pPr>
      <w:pBdr/>
      <w:spacing/>
      <w:ind/>
    </w:pPr>
    <w:tblPr>
      <w:tblStyleRowBandSize w:val="1"/>
      <w:tblStyleColBandSize w:val="1"/>
      <w:tblBorders>
        <w:top w:val="single" w:color="e9706e" w:themeColor="accent6" w:themeTint="98" w:sz="32" w:space="0"/>
        <w:left w:val="single" w:color="e9706e" w:themeColor="accent6" w:themeTint="98" w:sz="32" w:space="0"/>
        <w:bottom w:val="single" w:color="e9706e" w:themeColor="accent6" w:themeTint="98" w:sz="32" w:space="0"/>
        <w:right w:val="single" w:color="e9706e" w:themeColor="accent6" w:themeTint="98" w:sz="32" w:space="0"/>
      </w:tblBorders>
    </w:tblPr>
    <w:tcPr>
      <w:tcBorders/>
    </w:tcPr>
    <w:tblStylePr w:type="band1Horz">
      <w:pPr>
        <w:pBdr/>
        <w:spacing/>
        <w:ind/>
      </w:pPr>
      <w:tblPr>
        <w:tblBorders/>
      </w:tblPr>
      <w:tcPr>
        <w:shd w:val="clear" w:color="ffffff" w:fill="e9706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e9706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e9706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c9211e" w:themeColor="accent6"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e9706e" w:themeFill="accent6" w:themeFillTint="98"/>
        <w:tcBorders>
          <w:top w:val="single" w:color="c9211e" w:themeColor="accent6"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211e"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List Table 6 Colorful"/>
    <w:basedOn w:val="1048"/>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color w:val="00000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List Table 6 Colorful Accent 1"/>
    <w:basedOn w:val="1048"/>
    <w:uiPriority w:val="99"/>
    <w:pPr>
      <w:pBdr/>
      <w:spacing/>
      <w:ind/>
    </w:pPr>
    <w:tblPr>
      <w:tblStyleRowBandSize w:val="1"/>
      <w:tblStyleColBandSize w:val="1"/>
      <w:tblBorders>
        <w:top w:val="single" w:color="18a303" w:themeColor="accent1" w:sz="4" w:space="0"/>
        <w:bottom w:val="single" w:color="18a303" w:themeColor="accent1" w:sz="4" w:space="0"/>
      </w:tblBorders>
    </w:tblPr>
    <w:tcPr>
      <w:tcBorders/>
    </w:tcPr>
    <w:tblStylePr w:type="band1Horz">
      <w:rPr>
        <w:color w:val="0d5e01" w:themeColor="accent1" w:themeShade="95"/>
        <w:sz w:val="22"/>
      </w:rPr>
      <w:pPr>
        <w:pBdr/>
        <w:spacing/>
        <w:ind/>
      </w:pPr>
      <w:tblPr>
        <w:tblBorders/>
      </w:tblPr>
      <w:tcPr>
        <w:shd w:val="clear" w:color="ffffff" w:fill="b4fda9" w:themeFill="accent1" w:themeFillTint="40"/>
        <w:tcBorders/>
      </w:tcPr>
    </w:tblStylePr>
    <w:tblStylePr w:type="band1Vert">
      <w:pPr>
        <w:pBdr/>
        <w:spacing/>
        <w:ind/>
      </w:pPr>
      <w:tblPr>
        <w:tblBorders/>
      </w:tblPr>
      <w:tcPr>
        <w:shd w:val="clear" w:color="ffffff" w:fill="b4fda9" w:themeFill="accent1" w:themeFillTint="40"/>
        <w:tcBorders/>
      </w:tcPr>
    </w:tblStylePr>
    <w:tblStylePr w:type="band2Horz">
      <w:rPr>
        <w:color w:val="0d5e0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5e01" w:themeColor="accent1" w:themeShade="95"/>
      </w:rPr>
      <w:pPr>
        <w:pBdr/>
        <w:spacing/>
        <w:ind/>
      </w:pPr>
      <w:tblPr>
        <w:tblBorders/>
      </w:tblPr>
      <w:tcPr>
        <w:tcBorders/>
      </w:tcPr>
    </w:tblStylePr>
    <w:tblStylePr w:type="firstRow">
      <w:rPr>
        <w:b/>
        <w:color w:val="0d5e01" w:themeColor="accent1" w:themeShade="95"/>
      </w:rPr>
      <w:pPr>
        <w:pBdr/>
        <w:spacing/>
        <w:ind/>
      </w:pPr>
      <w:tblPr>
        <w:tblBorders/>
      </w:tblPr>
      <w:tcPr>
        <w:tcBorders>
          <w:bottom w:val="single" w:color="18a303" w:themeColor="accent1" w:sz="4" w:space="0"/>
        </w:tcBorders>
      </w:tcPr>
    </w:tblStylePr>
    <w:tblStylePr w:type="lastCol">
      <w:rPr>
        <w:b/>
        <w:color w:val="0d5e01" w:themeColor="accent1" w:themeShade="95"/>
      </w:rPr>
      <w:pPr>
        <w:pBdr/>
        <w:spacing/>
        <w:ind/>
      </w:pPr>
      <w:tblPr>
        <w:tblBorders/>
      </w:tblPr>
      <w:tcPr>
        <w:tcBorders/>
      </w:tcPr>
    </w:tblStylePr>
    <w:tblStylePr w:type="lastRow">
      <w:rPr>
        <w:b/>
        <w:color w:val="0d5e01" w:themeColor="accent1" w:themeShade="95"/>
      </w:rPr>
      <w:pPr>
        <w:pBdr/>
        <w:spacing/>
        <w:ind/>
      </w:pPr>
      <w:tblPr>
        <w:tblBorders/>
      </w:tblPr>
      <w:tcPr>
        <w:tcBorders>
          <w:top w:val="single" w:color="18a303"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6 Colorful Accent 2"/>
    <w:basedOn w:val="1048"/>
    <w:uiPriority w:val="99"/>
    <w:pPr>
      <w:pBdr/>
      <w:spacing/>
      <w:ind/>
    </w:pPr>
    <w:tblPr>
      <w:tblStyleRowBandSize w:val="1"/>
      <w:tblStyleColBandSize w:val="1"/>
      <w:tblBorders>
        <w:top w:val="single" w:color="36b3fb" w:themeColor="accent2" w:themeTint="97" w:sz="4" w:space="0"/>
        <w:bottom w:val="single" w:color="36b3fb" w:themeColor="accent2" w:themeTint="97" w:sz="4" w:space="0"/>
      </w:tblBorders>
    </w:tblPr>
    <w:tcPr>
      <w:tcBorders/>
    </w:tcPr>
    <w:tblStylePr w:type="band1Horz">
      <w:rPr>
        <w:color w:val="36b3fb" w:themeColor="accent2" w:themeTint="97" w:themeShade="95"/>
        <w:sz w:val="22"/>
      </w:rPr>
      <w:pPr>
        <w:pBdr/>
        <w:spacing/>
        <w:ind/>
      </w:pPr>
      <w:tblPr>
        <w:tblBorders/>
      </w:tblPr>
      <w:tcPr>
        <w:shd w:val="clear" w:color="ffffff" w:fill="a9defd" w:themeFill="accent2" w:themeFillTint="40"/>
        <w:tcBorders/>
      </w:tcPr>
    </w:tblStylePr>
    <w:tblStylePr w:type="band1Vert">
      <w:pPr>
        <w:pBdr/>
        <w:spacing/>
        <w:ind/>
      </w:pPr>
      <w:tblPr>
        <w:tblBorders/>
      </w:tblPr>
      <w:tcPr>
        <w:shd w:val="clear" w:color="ffffff" w:fill="a9defd" w:themeFill="accent2" w:themeFillTint="40"/>
        <w:tcBorders/>
      </w:tcPr>
    </w:tblStylePr>
    <w:tblStylePr w:type="band2Horz">
      <w:rPr>
        <w:color w:val="36b3f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b3fb" w:themeColor="accent2" w:themeTint="97" w:themeShade="95"/>
      </w:rPr>
      <w:pPr>
        <w:pBdr/>
        <w:spacing/>
        <w:ind/>
      </w:pPr>
      <w:tblPr>
        <w:tblBorders/>
      </w:tblPr>
      <w:tcPr>
        <w:tcBorders/>
      </w:tcPr>
    </w:tblStylePr>
    <w:tblStylePr w:type="firstRow">
      <w:rPr>
        <w:b/>
        <w:color w:val="36b3fb" w:themeColor="accent2" w:themeTint="97" w:themeShade="95"/>
      </w:rPr>
      <w:pPr>
        <w:pBdr/>
        <w:spacing/>
        <w:ind/>
      </w:pPr>
      <w:tblPr>
        <w:tblBorders/>
      </w:tblPr>
      <w:tcPr>
        <w:tcBorders>
          <w:bottom w:val="single" w:color="0369a3" w:themeColor="accent2" w:sz="4" w:space="0"/>
        </w:tcBorders>
      </w:tcPr>
    </w:tblStylePr>
    <w:tblStylePr w:type="lastCol">
      <w:rPr>
        <w:b/>
        <w:color w:val="36b3fb" w:themeColor="accent2" w:themeTint="97" w:themeShade="95"/>
      </w:rPr>
      <w:pPr>
        <w:pBdr/>
        <w:spacing/>
        <w:ind/>
      </w:pPr>
      <w:tblPr>
        <w:tblBorders/>
      </w:tblPr>
      <w:tcPr>
        <w:tcBorders/>
      </w:tcPr>
    </w:tblStylePr>
    <w:tblStylePr w:type="lastRow">
      <w:rPr>
        <w:b/>
        <w:color w:val="36b3fb" w:themeColor="accent2" w:themeTint="97" w:themeShade="95"/>
      </w:rPr>
      <w:pPr>
        <w:pBdr/>
        <w:spacing/>
        <w:ind/>
      </w:pPr>
      <w:tblPr>
        <w:tblBorders/>
      </w:tblPr>
      <w:tcPr>
        <w:tcBorders>
          <w:top w:val="single" w:color="0369a3"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st Table 6 Colorful Accent 3"/>
    <w:basedOn w:val="1048"/>
    <w:uiPriority w:val="99"/>
    <w:pPr>
      <w:pBdr/>
      <w:spacing/>
      <w:ind/>
    </w:pPr>
    <w:tblPr>
      <w:tblStyleRowBandSize w:val="1"/>
      <w:tblStyleColBandSize w:val="1"/>
      <w:tblBorders>
        <w:top w:val="single" w:color="fb7e35" w:themeColor="accent3" w:themeTint="98" w:sz="4" w:space="0"/>
        <w:bottom w:val="single" w:color="fb7e35" w:themeColor="accent3" w:themeTint="98" w:sz="4" w:space="0"/>
      </w:tblBorders>
    </w:tblPr>
    <w:tcPr>
      <w:tcBorders/>
    </w:tcPr>
    <w:tblStylePr w:type="band1Horz">
      <w:rPr>
        <w:color w:val="fb7e35" w:themeColor="accent3" w:themeTint="98" w:themeShade="95"/>
        <w:sz w:val="22"/>
      </w:rPr>
      <w:pPr>
        <w:pBdr/>
        <w:spacing/>
        <w:ind/>
      </w:pPr>
      <w:tblPr>
        <w:tblBorders/>
      </w:tblPr>
      <w:tcPr>
        <w:shd w:val="clear" w:color="ffffff" w:fill="fdc8a9" w:themeFill="accent3" w:themeFillTint="40"/>
        <w:tcBorders/>
      </w:tcPr>
    </w:tblStylePr>
    <w:tblStylePr w:type="band1Vert">
      <w:pPr>
        <w:pBdr/>
        <w:spacing/>
        <w:ind/>
      </w:pPr>
      <w:tblPr>
        <w:tblBorders/>
      </w:tblPr>
      <w:tcPr>
        <w:shd w:val="clear" w:color="ffffff" w:fill="fdc8a9" w:themeFill="accent3" w:themeFillTint="40"/>
        <w:tcBorders/>
      </w:tcPr>
    </w:tblStylePr>
    <w:tblStylePr w:type="band2Horz">
      <w:rPr>
        <w:color w:val="fb7e3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b7e35" w:themeColor="accent3" w:themeTint="98" w:themeShade="95"/>
      </w:rPr>
      <w:pPr>
        <w:pBdr/>
        <w:spacing/>
        <w:ind/>
      </w:pPr>
      <w:tblPr>
        <w:tblBorders/>
      </w:tblPr>
      <w:tcPr>
        <w:tcBorders/>
      </w:tcPr>
    </w:tblStylePr>
    <w:tblStylePr w:type="firstRow">
      <w:rPr>
        <w:b/>
        <w:color w:val="fb7e35" w:themeColor="accent3" w:themeTint="98" w:themeShade="95"/>
      </w:rPr>
      <w:pPr>
        <w:pBdr/>
        <w:spacing/>
        <w:ind/>
      </w:pPr>
      <w:tblPr>
        <w:tblBorders/>
      </w:tblPr>
      <w:tcPr>
        <w:tcBorders>
          <w:bottom w:val="single" w:color="a33e03" w:themeColor="accent3" w:sz="4" w:space="0"/>
        </w:tcBorders>
      </w:tcPr>
    </w:tblStylePr>
    <w:tblStylePr w:type="lastCol">
      <w:rPr>
        <w:b/>
        <w:color w:val="fb7e35" w:themeColor="accent3" w:themeTint="98" w:themeShade="95"/>
      </w:rPr>
      <w:pPr>
        <w:pBdr/>
        <w:spacing/>
        <w:ind/>
      </w:pPr>
      <w:tblPr>
        <w:tblBorders/>
      </w:tblPr>
      <w:tcPr>
        <w:tcBorders/>
      </w:tcPr>
    </w:tblStylePr>
    <w:tblStylePr w:type="lastRow">
      <w:rPr>
        <w:b/>
        <w:color w:val="fb7e35" w:themeColor="accent3" w:themeTint="98" w:themeShade="95"/>
      </w:rPr>
      <w:pPr>
        <w:pBdr/>
        <w:spacing/>
        <w:ind/>
      </w:pPr>
      <w:tblPr>
        <w:tblBorders/>
      </w:tblPr>
      <w:tcPr>
        <w:tcBorders>
          <w:top w:val="single" w:color="a33e03"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st Table 6 Colorful Accent 4"/>
    <w:basedOn w:val="1048"/>
    <w:uiPriority w:val="99"/>
    <w:pPr>
      <w:pBdr/>
      <w:spacing/>
      <w:ind/>
    </w:pPr>
    <w:tblPr>
      <w:tblStyleRowBandSize w:val="1"/>
      <w:tblStyleColBandSize w:val="1"/>
      <w:tblBorders>
        <w:top w:val="single" w:color="e032fb" w:themeColor="accent4" w:themeTint="9A" w:sz="4" w:space="0"/>
        <w:bottom w:val="single" w:color="e032fb" w:themeColor="accent4" w:themeTint="9A" w:sz="4" w:space="0"/>
      </w:tblBorders>
    </w:tblPr>
    <w:tcPr>
      <w:tcBorders/>
    </w:tcPr>
    <w:tblStylePr w:type="band1Horz">
      <w:rPr>
        <w:color w:val="e032fb" w:themeColor="accent4" w:themeTint="9A" w:themeShade="95"/>
        <w:sz w:val="22"/>
      </w:rPr>
      <w:pPr>
        <w:pBdr/>
        <w:spacing/>
        <w:ind/>
      </w:pPr>
      <w:tblPr>
        <w:tblBorders/>
      </w:tblPr>
      <w:tcPr>
        <w:shd w:val="clear" w:color="ffffff" w:fill="f2a9fd" w:themeFill="accent4" w:themeFillTint="40"/>
        <w:tcBorders/>
      </w:tcPr>
    </w:tblStylePr>
    <w:tblStylePr w:type="band1Vert">
      <w:pPr>
        <w:pBdr/>
        <w:spacing/>
        <w:ind/>
      </w:pPr>
      <w:tblPr>
        <w:tblBorders/>
      </w:tblPr>
      <w:tcPr>
        <w:shd w:val="clear" w:color="ffffff" w:fill="f2a9fd" w:themeFill="accent4" w:themeFillTint="40"/>
        <w:tcBorders/>
      </w:tcPr>
    </w:tblStylePr>
    <w:tblStylePr w:type="band2Horz">
      <w:rPr>
        <w:color w:val="e032f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e032fb" w:themeColor="accent4" w:themeTint="9A" w:themeShade="95"/>
      </w:rPr>
      <w:pPr>
        <w:pBdr/>
        <w:spacing/>
        <w:ind/>
      </w:pPr>
      <w:tblPr>
        <w:tblBorders/>
      </w:tblPr>
      <w:tcPr>
        <w:tcBorders/>
      </w:tcPr>
    </w:tblStylePr>
    <w:tblStylePr w:type="firstRow">
      <w:rPr>
        <w:b/>
        <w:color w:val="e032fb" w:themeColor="accent4" w:themeTint="9A" w:themeShade="95"/>
      </w:rPr>
      <w:pPr>
        <w:pBdr/>
        <w:spacing/>
        <w:ind/>
      </w:pPr>
      <w:tblPr>
        <w:tblBorders/>
      </w:tblPr>
      <w:tcPr>
        <w:tcBorders>
          <w:bottom w:val="single" w:color="8e03a3" w:themeColor="accent4" w:sz="4" w:space="0"/>
        </w:tcBorders>
      </w:tcPr>
    </w:tblStylePr>
    <w:tblStylePr w:type="lastCol">
      <w:rPr>
        <w:b/>
        <w:color w:val="e032fb" w:themeColor="accent4" w:themeTint="9A" w:themeShade="95"/>
      </w:rPr>
      <w:pPr>
        <w:pBdr/>
        <w:spacing/>
        <w:ind/>
      </w:pPr>
      <w:tblPr>
        <w:tblBorders/>
      </w:tblPr>
      <w:tcPr>
        <w:tcBorders/>
      </w:tcPr>
    </w:tblStylePr>
    <w:tblStylePr w:type="lastRow">
      <w:rPr>
        <w:b/>
        <w:color w:val="e032fb" w:themeColor="accent4" w:themeTint="9A" w:themeShade="95"/>
      </w:rPr>
      <w:pPr>
        <w:pBdr/>
        <w:spacing/>
        <w:ind/>
      </w:pPr>
      <w:tblPr>
        <w:tblBorders/>
      </w:tblPr>
      <w:tcPr>
        <w:tcBorders>
          <w:top w:val="single" w:color="8e03a3"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List Table 6 Colorful Accent 5"/>
    <w:basedOn w:val="1048"/>
    <w:uiPriority w:val="99"/>
    <w:pPr>
      <w:pBdr/>
      <w:spacing/>
      <w:ind/>
    </w:pPr>
    <w:tblPr>
      <w:tblStyleRowBandSize w:val="1"/>
      <w:tblStyleColBandSize w:val="1"/>
      <w:tblBorders>
        <w:top w:val="single" w:color="ffd444" w:themeColor="accent5" w:themeTint="9A" w:sz="4" w:space="0"/>
        <w:bottom w:val="single" w:color="ffd444" w:themeColor="accent5" w:themeTint="9A" w:sz="4" w:space="0"/>
      </w:tblBorders>
    </w:tblPr>
    <w:tcPr>
      <w:tcBorders/>
    </w:tcPr>
    <w:tblStylePr w:type="band1Horz">
      <w:rPr>
        <w:color w:val="ffd444" w:themeColor="accent5" w:themeTint="9A" w:themeShade="95"/>
        <w:sz w:val="22"/>
      </w:rPr>
      <w:pPr>
        <w:pBdr/>
        <w:spacing/>
        <w:ind/>
      </w:pPr>
      <w:tblPr>
        <w:tblBorders/>
      </w:tblPr>
      <w:tcPr>
        <w:shd w:val="clear" w:color="ffffff" w:fill="ffedb1" w:themeFill="accent5" w:themeFillTint="40"/>
        <w:tcBorders/>
      </w:tcPr>
    </w:tblStylePr>
    <w:tblStylePr w:type="band1Vert">
      <w:pPr>
        <w:pBdr/>
        <w:spacing/>
        <w:ind/>
      </w:pPr>
      <w:tblPr>
        <w:tblBorders/>
      </w:tblPr>
      <w:tcPr>
        <w:shd w:val="clear" w:color="ffffff" w:fill="ffedb1" w:themeFill="accent5" w:themeFillTint="40"/>
        <w:tcBorders/>
      </w:tcPr>
    </w:tblStylePr>
    <w:tblStylePr w:type="band2Horz">
      <w:rPr>
        <w:color w:val="ffd44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444" w:themeColor="accent5" w:themeTint="9A" w:themeShade="95"/>
      </w:rPr>
      <w:pPr>
        <w:pBdr/>
        <w:spacing/>
        <w:ind/>
      </w:pPr>
      <w:tblPr>
        <w:tblBorders/>
      </w:tblPr>
      <w:tcPr>
        <w:tcBorders/>
      </w:tcPr>
    </w:tblStylePr>
    <w:tblStylePr w:type="firstRow">
      <w:rPr>
        <w:b/>
        <w:color w:val="ffd444" w:themeColor="accent5" w:themeTint="9A" w:themeShade="95"/>
      </w:rPr>
      <w:pPr>
        <w:pBdr/>
        <w:spacing/>
        <w:ind/>
      </w:pPr>
      <w:tblPr>
        <w:tblBorders/>
      </w:tblPr>
      <w:tcPr>
        <w:tcBorders>
          <w:bottom w:val="single" w:color="c99c00" w:themeColor="accent5" w:sz="4" w:space="0"/>
        </w:tcBorders>
      </w:tcPr>
    </w:tblStylePr>
    <w:tblStylePr w:type="lastCol">
      <w:rPr>
        <w:b/>
        <w:color w:val="ffd444" w:themeColor="accent5" w:themeTint="9A" w:themeShade="95"/>
      </w:rPr>
      <w:pPr>
        <w:pBdr/>
        <w:spacing/>
        <w:ind/>
      </w:pPr>
      <w:tblPr>
        <w:tblBorders/>
      </w:tblPr>
      <w:tcPr>
        <w:tcBorders/>
      </w:tcPr>
    </w:tblStylePr>
    <w:tblStylePr w:type="lastRow">
      <w:rPr>
        <w:b/>
        <w:color w:val="ffd444" w:themeColor="accent5" w:themeTint="9A" w:themeShade="95"/>
      </w:rPr>
      <w:pPr>
        <w:pBdr/>
        <w:spacing/>
        <w:ind/>
      </w:pPr>
      <w:tblPr>
        <w:tblBorders/>
      </w:tblPr>
      <w:tcPr>
        <w:tcBorders>
          <w:top w:val="single" w:color="c99c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List Table 6 Colorful Accent 6"/>
    <w:basedOn w:val="1048"/>
    <w:uiPriority w:val="99"/>
    <w:pPr>
      <w:pBdr/>
      <w:spacing/>
      <w:ind/>
    </w:pPr>
    <w:tblPr>
      <w:tblStyleRowBandSize w:val="1"/>
      <w:tblStyleColBandSize w:val="1"/>
      <w:tblBorders>
        <w:top w:val="single" w:color="e9706e" w:themeColor="accent6" w:themeTint="98" w:sz="4" w:space="0"/>
        <w:bottom w:val="single" w:color="e9706e" w:themeColor="accent6" w:themeTint="98" w:sz="4" w:space="0"/>
      </w:tblBorders>
    </w:tblPr>
    <w:tcPr>
      <w:tcBorders/>
    </w:tcPr>
    <w:tblStylePr w:type="band1Horz">
      <w:rPr>
        <w:color w:val="e9706e" w:themeColor="accent6" w:themeTint="98" w:themeShade="95"/>
        <w:sz w:val="22"/>
      </w:rPr>
      <w:pPr>
        <w:pBdr/>
        <w:spacing/>
        <w:ind/>
      </w:pPr>
      <w:tblPr>
        <w:tblBorders/>
      </w:tblPr>
      <w:tcPr>
        <w:shd w:val="clear" w:color="ffffff" w:fill="f6c2c1" w:themeFill="accent6" w:themeFillTint="40"/>
        <w:tcBorders/>
      </w:tcPr>
    </w:tblStylePr>
    <w:tblStylePr w:type="band1Vert">
      <w:pPr>
        <w:pBdr/>
        <w:spacing/>
        <w:ind/>
      </w:pPr>
      <w:tblPr>
        <w:tblBorders/>
      </w:tblPr>
      <w:tcPr>
        <w:shd w:val="clear" w:color="ffffff" w:fill="f6c2c1" w:themeFill="accent6" w:themeFillTint="40"/>
        <w:tcBorders/>
      </w:tcPr>
    </w:tblStylePr>
    <w:tblStylePr w:type="band2Horz">
      <w:rPr>
        <w:color w:val="e9706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e9706e" w:themeColor="accent6" w:themeTint="98" w:themeShade="95"/>
      </w:rPr>
      <w:pPr>
        <w:pBdr/>
        <w:spacing/>
        <w:ind/>
      </w:pPr>
      <w:tblPr>
        <w:tblBorders/>
      </w:tblPr>
      <w:tcPr>
        <w:tcBorders/>
      </w:tcPr>
    </w:tblStylePr>
    <w:tblStylePr w:type="firstRow">
      <w:rPr>
        <w:b/>
        <w:color w:val="e9706e" w:themeColor="accent6" w:themeTint="98" w:themeShade="95"/>
      </w:rPr>
      <w:pPr>
        <w:pBdr/>
        <w:spacing/>
        <w:ind/>
      </w:pPr>
      <w:tblPr>
        <w:tblBorders/>
      </w:tblPr>
      <w:tcPr>
        <w:tcBorders>
          <w:bottom w:val="single" w:color="c9211e" w:themeColor="accent6" w:sz="4" w:space="0"/>
        </w:tcBorders>
      </w:tcPr>
    </w:tblStylePr>
    <w:tblStylePr w:type="lastCol">
      <w:rPr>
        <w:b/>
        <w:color w:val="e9706e" w:themeColor="accent6" w:themeTint="98" w:themeShade="95"/>
      </w:rPr>
      <w:pPr>
        <w:pBdr/>
        <w:spacing/>
        <w:ind/>
      </w:pPr>
      <w:tblPr>
        <w:tblBorders/>
      </w:tblPr>
      <w:tcPr>
        <w:tcBorders/>
      </w:tcPr>
    </w:tblStylePr>
    <w:tblStylePr w:type="lastRow">
      <w:rPr>
        <w:b/>
        <w:color w:val="e9706e" w:themeColor="accent6" w:themeTint="98" w:themeShade="95"/>
      </w:rPr>
      <w:pPr>
        <w:pBdr/>
        <w:spacing/>
        <w:ind/>
      </w:pPr>
      <w:tblPr>
        <w:tblBorders/>
      </w:tblPr>
      <w:tcPr>
        <w:tcBorders>
          <w:top w:val="single" w:color="c9211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List Table 7 Colorful"/>
    <w:basedOn w:val="1048"/>
    <w:uiPriority w:val="99"/>
    <w:pPr>
      <w:pBdr/>
      <w:spacing/>
      <w:ind/>
    </w:pPr>
    <w:tblPr>
      <w:tblStyleRowBandSize w:val="1"/>
      <w:tblStyleColBandSize w:val="1"/>
      <w:tblBorders>
        <w:right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text1" w:sz="4" w:space="0"/>
        </w:tcBorders>
      </w:tcPr>
    </w:tblStylePr>
    <w:tblStylePr w:type="firstRow">
      <w:rPr>
        <w:i/>
        <w:color w:val="7f7f7f"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7f7f7f" w:themeColor="text1" w:themeTint="80" w:themeShade="95"/>
        <w:sz w:val="22"/>
      </w:rPr>
      <w:pPr>
        <w:pBdr/>
        <w:spacing/>
        <w:ind/>
      </w:pPr>
      <w:tblPr>
        <w:tblBorders/>
      </w:tblPr>
      <w:tcPr>
        <w:shd w:val="clear" w:color="ffffff" w:fill="auto"/>
        <w:tcBorders>
          <w:top w:val="none" w:color="000000" w:sz="4" w:space="0"/>
          <w:left w:val="single" w:color="000000" w:themeColor="text1" w:sz="4" w:space="0"/>
          <w:bottom w:val="none" w:color="000000" w:sz="4" w:space="0"/>
          <w:right w:val="none" w:color="000000" w:sz="4" w:space="0"/>
        </w:tcBorders>
      </w:tcPr>
    </w:tblStylePr>
    <w:tblStylePr w:type="lastRow">
      <w:rPr>
        <w:i/>
        <w:color w:val="7f7f7f"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List Table 7 Colorful Accent 1"/>
    <w:basedOn w:val="1048"/>
    <w:uiPriority w:val="99"/>
    <w:pPr>
      <w:pBdr/>
      <w:spacing/>
      <w:ind/>
    </w:pPr>
    <w:tblPr>
      <w:tblStyleRowBandSize w:val="1"/>
      <w:tblStyleColBandSize w:val="1"/>
      <w:tblBorders>
        <w:right w:val="single" w:color="18a303" w:themeColor="accent1" w:sz="4" w:space="0"/>
      </w:tblBorders>
    </w:tblPr>
    <w:tcPr>
      <w:tcBorders/>
    </w:tcPr>
    <w:tblStylePr w:type="band1Horz">
      <w:rPr>
        <w:color w:val="0d5e01" w:themeColor="accent1" w:themeShade="95"/>
        <w:sz w:val="22"/>
      </w:rPr>
      <w:pPr>
        <w:pBdr/>
        <w:spacing/>
        <w:ind/>
      </w:pPr>
      <w:tblPr>
        <w:tblBorders/>
      </w:tblPr>
      <w:tcPr>
        <w:shd w:val="clear" w:color="ffffff" w:fill="b4fda9" w:themeFill="accent1" w:themeFillTint="40"/>
        <w:tcBorders/>
      </w:tcPr>
    </w:tblStylePr>
    <w:tblStylePr w:type="band1Vert">
      <w:pPr>
        <w:pBdr/>
        <w:spacing/>
        <w:ind/>
      </w:pPr>
      <w:tblPr>
        <w:tblBorders/>
      </w:tblPr>
      <w:tcPr>
        <w:shd w:val="clear" w:color="ffffff" w:fill="b4fda9" w:themeFill="accent1" w:themeFillTint="40"/>
        <w:tcBorders/>
      </w:tcPr>
    </w:tblStylePr>
    <w:tblStylePr w:type="band2Horz">
      <w:rPr>
        <w:color w:val="0d5e0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d5e0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8a303" w:themeColor="accent1" w:sz="4" w:space="0"/>
        </w:tcBorders>
      </w:tcPr>
    </w:tblStylePr>
    <w:tblStylePr w:type="firstRow">
      <w:rPr>
        <w:i/>
        <w:color w:val="0d5e01"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18a303" w:themeColor="accent1" w:sz="4" w:space="0"/>
          <w:right w:val="none" w:color="000000" w:sz="4" w:space="0"/>
        </w:tcBorders>
      </w:tcPr>
    </w:tblStylePr>
    <w:tblStylePr w:type="lastCol">
      <w:rPr>
        <w:i/>
        <w:color w:val="0d5e01" w:themeColor="accent1" w:themeShade="95"/>
        <w:sz w:val="22"/>
      </w:rPr>
      <w:pPr>
        <w:pBdr/>
        <w:spacing/>
        <w:ind/>
      </w:pPr>
      <w:tblPr>
        <w:tblBorders/>
      </w:tblPr>
      <w:tcPr>
        <w:shd w:val="clear" w:color="ffffff" w:fill="auto"/>
        <w:tcBorders>
          <w:top w:val="none" w:color="000000" w:sz="4" w:space="0"/>
          <w:left w:val="single" w:color="18a303" w:themeColor="accent1" w:sz="4" w:space="0"/>
          <w:bottom w:val="none" w:color="000000" w:sz="4" w:space="0"/>
          <w:right w:val="none" w:color="000000" w:sz="4" w:space="0"/>
        </w:tcBorders>
      </w:tcPr>
    </w:tblStylePr>
    <w:tblStylePr w:type="lastRow">
      <w:rPr>
        <w:i/>
        <w:color w:val="0d5e01" w:themeColor="accent1" w:themeShade="95"/>
        <w:sz w:val="22"/>
      </w:rPr>
      <w:pPr>
        <w:pBdr/>
        <w:spacing/>
        <w:ind/>
      </w:pPr>
      <w:tblPr>
        <w:tblBorders/>
      </w:tblPr>
      <w:tcPr>
        <w:shd w:val="clear" w:color="ffffff" w:fill="ffffff" w:themeFill="light1"/>
        <w:tcBorders>
          <w:top w:val="single" w:color="18a303"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List Table 7 Colorful Accent 2"/>
    <w:basedOn w:val="1048"/>
    <w:uiPriority w:val="99"/>
    <w:pPr>
      <w:pBdr/>
      <w:spacing/>
      <w:ind/>
    </w:pPr>
    <w:tblPr>
      <w:tblStyleRowBandSize w:val="1"/>
      <w:tblStyleColBandSize w:val="1"/>
      <w:tblBorders>
        <w:right w:val="single" w:color="36b3fb" w:themeColor="accent2" w:themeTint="97" w:sz="4" w:space="0"/>
      </w:tblBorders>
    </w:tblPr>
    <w:tcPr>
      <w:tcBorders/>
    </w:tcPr>
    <w:tblStylePr w:type="band1Horz">
      <w:rPr>
        <w:color w:val="36b3fb" w:themeColor="accent2" w:themeTint="97" w:themeShade="95"/>
        <w:sz w:val="22"/>
      </w:rPr>
      <w:pPr>
        <w:pBdr/>
        <w:spacing/>
        <w:ind/>
      </w:pPr>
      <w:tblPr>
        <w:tblBorders/>
      </w:tblPr>
      <w:tcPr>
        <w:shd w:val="clear" w:color="ffffff" w:fill="a9defd" w:themeFill="accent2" w:themeFillTint="40"/>
        <w:tcBorders/>
      </w:tcPr>
    </w:tblStylePr>
    <w:tblStylePr w:type="band1Vert">
      <w:pPr>
        <w:pBdr/>
        <w:spacing/>
        <w:ind/>
      </w:pPr>
      <w:tblPr>
        <w:tblBorders/>
      </w:tblPr>
      <w:tcPr>
        <w:shd w:val="clear" w:color="ffffff" w:fill="a9defd" w:themeFill="accent2" w:themeFillTint="40"/>
        <w:tcBorders/>
      </w:tcPr>
    </w:tblStylePr>
    <w:tblStylePr w:type="band2Horz">
      <w:rPr>
        <w:color w:val="36b3f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6b3fb"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369a3" w:themeColor="accent2" w:sz="4" w:space="0"/>
        </w:tcBorders>
      </w:tcPr>
    </w:tblStylePr>
    <w:tblStylePr w:type="firstRow">
      <w:rPr>
        <w:i/>
        <w:color w:val="36b3fb"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369a3" w:themeColor="accent2" w:sz="4" w:space="0"/>
          <w:right w:val="none" w:color="000000" w:sz="4" w:space="0"/>
        </w:tcBorders>
      </w:tcPr>
    </w:tblStylePr>
    <w:tblStylePr w:type="lastCol">
      <w:rPr>
        <w:i/>
        <w:color w:val="36b3fb" w:themeColor="accent2" w:themeTint="97" w:themeShade="95"/>
        <w:sz w:val="22"/>
      </w:rPr>
      <w:pPr>
        <w:pBdr/>
        <w:spacing/>
        <w:ind/>
      </w:pPr>
      <w:tblPr>
        <w:tblBorders/>
      </w:tblPr>
      <w:tcPr>
        <w:shd w:val="clear" w:color="ffffff" w:fill="auto"/>
        <w:tcBorders>
          <w:top w:val="none" w:color="000000" w:sz="4" w:space="0"/>
          <w:left w:val="single" w:color="0369a3" w:themeColor="accent2" w:sz="4" w:space="0"/>
          <w:bottom w:val="none" w:color="000000" w:sz="4" w:space="0"/>
          <w:right w:val="none" w:color="000000" w:sz="4" w:space="0"/>
        </w:tcBorders>
      </w:tcPr>
    </w:tblStylePr>
    <w:tblStylePr w:type="lastRow">
      <w:rPr>
        <w:i/>
        <w:color w:val="36b3fb" w:themeColor="accent2" w:themeTint="97" w:themeShade="95"/>
        <w:sz w:val="22"/>
      </w:rPr>
      <w:pPr>
        <w:pBdr/>
        <w:spacing/>
        <w:ind/>
      </w:pPr>
      <w:tblPr>
        <w:tblBorders/>
      </w:tblPr>
      <w:tcPr>
        <w:shd w:val="clear" w:color="ffffff" w:fill="ffffff" w:themeFill="light1"/>
        <w:tcBorders>
          <w:top w:val="single" w:color="0369a3"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List Table 7 Colorful Accent 3"/>
    <w:basedOn w:val="1048"/>
    <w:uiPriority w:val="99"/>
    <w:pPr>
      <w:pBdr/>
      <w:spacing/>
      <w:ind/>
    </w:pPr>
    <w:tblPr>
      <w:tblStyleRowBandSize w:val="1"/>
      <w:tblStyleColBandSize w:val="1"/>
      <w:tblBorders>
        <w:right w:val="single" w:color="fb7e35" w:themeColor="accent3" w:themeTint="98" w:sz="4" w:space="0"/>
      </w:tblBorders>
    </w:tblPr>
    <w:tcPr>
      <w:tcBorders/>
    </w:tcPr>
    <w:tblStylePr w:type="band1Horz">
      <w:rPr>
        <w:color w:val="fb7e35" w:themeColor="accent3" w:themeTint="98" w:themeShade="95"/>
        <w:sz w:val="22"/>
      </w:rPr>
      <w:pPr>
        <w:pBdr/>
        <w:spacing/>
        <w:ind/>
      </w:pPr>
      <w:tblPr>
        <w:tblBorders/>
      </w:tblPr>
      <w:tcPr>
        <w:shd w:val="clear" w:color="ffffff" w:fill="fdc8a9" w:themeFill="accent3" w:themeFillTint="40"/>
        <w:tcBorders/>
      </w:tcPr>
    </w:tblStylePr>
    <w:tblStylePr w:type="band1Vert">
      <w:pPr>
        <w:pBdr/>
        <w:spacing/>
        <w:ind/>
      </w:pPr>
      <w:tblPr>
        <w:tblBorders/>
      </w:tblPr>
      <w:tcPr>
        <w:shd w:val="clear" w:color="ffffff" w:fill="fdc8a9" w:themeFill="accent3" w:themeFillTint="40"/>
        <w:tcBorders/>
      </w:tcPr>
    </w:tblStylePr>
    <w:tblStylePr w:type="band2Horz">
      <w:rPr>
        <w:color w:val="fb7e3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b7e35"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33e03" w:themeColor="accent3" w:sz="4" w:space="0"/>
        </w:tcBorders>
      </w:tcPr>
    </w:tblStylePr>
    <w:tblStylePr w:type="firstRow">
      <w:rPr>
        <w:i/>
        <w:color w:val="fb7e35"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a33e03" w:themeColor="accent3" w:sz="4" w:space="0"/>
          <w:right w:val="none" w:color="000000" w:sz="4" w:space="0"/>
        </w:tcBorders>
      </w:tcPr>
    </w:tblStylePr>
    <w:tblStylePr w:type="lastCol">
      <w:rPr>
        <w:i/>
        <w:color w:val="fb7e35" w:themeColor="accent3" w:themeTint="98" w:themeShade="95"/>
        <w:sz w:val="22"/>
      </w:rPr>
      <w:pPr>
        <w:pBdr/>
        <w:spacing/>
        <w:ind/>
      </w:pPr>
      <w:tblPr>
        <w:tblBorders/>
      </w:tblPr>
      <w:tcPr>
        <w:shd w:val="clear" w:color="ffffff" w:fill="auto"/>
        <w:tcBorders>
          <w:top w:val="none" w:color="000000" w:sz="4" w:space="0"/>
          <w:left w:val="single" w:color="a33e03" w:themeColor="accent3" w:sz="4" w:space="0"/>
          <w:bottom w:val="none" w:color="000000" w:sz="4" w:space="0"/>
          <w:right w:val="none" w:color="000000" w:sz="4" w:space="0"/>
        </w:tcBorders>
      </w:tcPr>
    </w:tblStylePr>
    <w:tblStylePr w:type="lastRow">
      <w:rPr>
        <w:i/>
        <w:color w:val="fb7e35" w:themeColor="accent3" w:themeTint="98" w:themeShade="95"/>
        <w:sz w:val="22"/>
      </w:rPr>
      <w:pPr>
        <w:pBdr/>
        <w:spacing/>
        <w:ind/>
      </w:pPr>
      <w:tblPr>
        <w:tblBorders/>
      </w:tblPr>
      <w:tcPr>
        <w:shd w:val="clear" w:color="ffffff" w:fill="ffffff" w:themeFill="light1"/>
        <w:tcBorders>
          <w:top w:val="single" w:color="a33e03"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List Table 7 Colorful Accent 4"/>
    <w:basedOn w:val="1048"/>
    <w:uiPriority w:val="99"/>
    <w:pPr>
      <w:pBdr/>
      <w:spacing/>
      <w:ind/>
    </w:pPr>
    <w:tblPr>
      <w:tblStyleRowBandSize w:val="1"/>
      <w:tblStyleColBandSize w:val="1"/>
      <w:tblBorders>
        <w:right w:val="single" w:color="e032fb" w:themeColor="accent4" w:themeTint="9A" w:sz="4" w:space="0"/>
      </w:tblBorders>
    </w:tblPr>
    <w:tcPr>
      <w:tcBorders/>
    </w:tcPr>
    <w:tblStylePr w:type="band1Horz">
      <w:rPr>
        <w:color w:val="e032fb" w:themeColor="accent4" w:themeTint="9A" w:themeShade="95"/>
        <w:sz w:val="22"/>
      </w:rPr>
      <w:pPr>
        <w:pBdr/>
        <w:spacing/>
        <w:ind/>
      </w:pPr>
      <w:tblPr>
        <w:tblBorders/>
      </w:tblPr>
      <w:tcPr>
        <w:shd w:val="clear" w:color="ffffff" w:fill="f2a9fd" w:themeFill="accent4" w:themeFillTint="40"/>
        <w:tcBorders/>
      </w:tcPr>
    </w:tblStylePr>
    <w:tblStylePr w:type="band1Vert">
      <w:pPr>
        <w:pBdr/>
        <w:spacing/>
        <w:ind/>
      </w:pPr>
      <w:tblPr>
        <w:tblBorders/>
      </w:tblPr>
      <w:tcPr>
        <w:shd w:val="clear" w:color="ffffff" w:fill="f2a9fd" w:themeFill="accent4" w:themeFillTint="40"/>
        <w:tcBorders/>
      </w:tcPr>
    </w:tblStylePr>
    <w:tblStylePr w:type="band2Horz">
      <w:rPr>
        <w:color w:val="e032f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e032fb"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03a3" w:themeColor="accent4" w:sz="4" w:space="0"/>
        </w:tcBorders>
      </w:tcPr>
    </w:tblStylePr>
    <w:tblStylePr w:type="firstRow">
      <w:rPr>
        <w:i/>
        <w:color w:val="e032fb"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8e03a3" w:themeColor="accent4" w:sz="4" w:space="0"/>
          <w:right w:val="none" w:color="000000" w:sz="4" w:space="0"/>
        </w:tcBorders>
      </w:tcPr>
    </w:tblStylePr>
    <w:tblStylePr w:type="lastCol">
      <w:rPr>
        <w:i/>
        <w:color w:val="e032fb" w:themeColor="accent4" w:themeTint="9A" w:themeShade="95"/>
        <w:sz w:val="22"/>
      </w:rPr>
      <w:pPr>
        <w:pBdr/>
        <w:spacing/>
        <w:ind/>
      </w:pPr>
      <w:tblPr>
        <w:tblBorders/>
      </w:tblPr>
      <w:tcPr>
        <w:shd w:val="clear" w:color="ffffff" w:fill="auto"/>
        <w:tcBorders>
          <w:top w:val="none" w:color="000000" w:sz="4" w:space="0"/>
          <w:left w:val="single" w:color="8e03a3" w:themeColor="accent4" w:sz="4" w:space="0"/>
          <w:bottom w:val="none" w:color="000000" w:sz="4" w:space="0"/>
          <w:right w:val="none" w:color="000000" w:sz="4" w:space="0"/>
        </w:tcBorders>
      </w:tcPr>
    </w:tblStylePr>
    <w:tblStylePr w:type="lastRow">
      <w:rPr>
        <w:i/>
        <w:color w:val="e032fb" w:themeColor="accent4" w:themeTint="9A" w:themeShade="95"/>
        <w:sz w:val="22"/>
      </w:rPr>
      <w:pPr>
        <w:pBdr/>
        <w:spacing/>
        <w:ind/>
      </w:pPr>
      <w:tblPr>
        <w:tblBorders/>
      </w:tblPr>
      <w:tcPr>
        <w:shd w:val="clear" w:color="ffffff" w:fill="ffffff" w:themeFill="light1"/>
        <w:tcBorders>
          <w:top w:val="single" w:color="8e03a3"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List Table 7 Colorful Accent 5"/>
    <w:basedOn w:val="1048"/>
    <w:uiPriority w:val="99"/>
    <w:pPr>
      <w:pBdr/>
      <w:spacing/>
      <w:ind/>
    </w:pPr>
    <w:tblPr>
      <w:tblStyleRowBandSize w:val="1"/>
      <w:tblStyleColBandSize w:val="1"/>
      <w:tblBorders>
        <w:right w:val="single" w:color="ffd444" w:themeColor="accent5" w:themeTint="9A" w:sz="4" w:space="0"/>
      </w:tblBorders>
    </w:tblPr>
    <w:tcPr>
      <w:tcBorders/>
    </w:tcPr>
    <w:tblStylePr w:type="band1Horz">
      <w:rPr>
        <w:color w:val="ffd444" w:themeColor="accent5" w:themeTint="9A" w:themeShade="95"/>
        <w:sz w:val="22"/>
      </w:rPr>
      <w:pPr>
        <w:pBdr/>
        <w:spacing/>
        <w:ind/>
      </w:pPr>
      <w:tblPr>
        <w:tblBorders/>
      </w:tblPr>
      <w:tcPr>
        <w:shd w:val="clear" w:color="ffffff" w:fill="ffedb1" w:themeFill="accent5" w:themeFillTint="40"/>
        <w:tcBorders/>
      </w:tcPr>
    </w:tblStylePr>
    <w:tblStylePr w:type="band1Vert">
      <w:pPr>
        <w:pBdr/>
        <w:spacing/>
        <w:ind/>
      </w:pPr>
      <w:tblPr>
        <w:tblBorders/>
      </w:tblPr>
      <w:tcPr>
        <w:shd w:val="clear" w:color="ffffff" w:fill="ffedb1" w:themeFill="accent5" w:themeFillTint="40"/>
        <w:tcBorders/>
      </w:tcPr>
    </w:tblStylePr>
    <w:tblStylePr w:type="band2Horz">
      <w:rPr>
        <w:color w:val="ffd44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fd444"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9c00" w:themeColor="accent5" w:sz="4" w:space="0"/>
        </w:tcBorders>
      </w:tcPr>
    </w:tblStylePr>
    <w:tblStylePr w:type="firstRow">
      <w:rPr>
        <w:i/>
        <w:color w:val="ffd444"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c99c00" w:themeColor="accent5" w:sz="4" w:space="0"/>
          <w:right w:val="none" w:color="000000" w:sz="4" w:space="0"/>
        </w:tcBorders>
      </w:tcPr>
    </w:tblStylePr>
    <w:tblStylePr w:type="lastCol">
      <w:rPr>
        <w:i/>
        <w:color w:val="ffd444" w:themeColor="accent5" w:themeTint="9A" w:themeShade="95"/>
        <w:sz w:val="22"/>
      </w:rPr>
      <w:pPr>
        <w:pBdr/>
        <w:spacing/>
        <w:ind/>
      </w:pPr>
      <w:tblPr>
        <w:tblBorders/>
      </w:tblPr>
      <w:tcPr>
        <w:shd w:val="clear" w:color="ffffff" w:fill="auto"/>
        <w:tcBorders>
          <w:top w:val="none" w:color="000000" w:sz="4" w:space="0"/>
          <w:left w:val="single" w:color="c99c00" w:themeColor="accent5" w:sz="4" w:space="0"/>
          <w:bottom w:val="none" w:color="000000" w:sz="4" w:space="0"/>
          <w:right w:val="none" w:color="000000" w:sz="4" w:space="0"/>
        </w:tcBorders>
      </w:tcPr>
    </w:tblStylePr>
    <w:tblStylePr w:type="lastRow">
      <w:rPr>
        <w:i/>
        <w:color w:val="ffd444" w:themeColor="accent5" w:themeTint="9A" w:themeShade="95"/>
        <w:sz w:val="22"/>
      </w:rPr>
      <w:pPr>
        <w:pBdr/>
        <w:spacing/>
        <w:ind/>
      </w:pPr>
      <w:tblPr>
        <w:tblBorders/>
      </w:tblPr>
      <w:tcPr>
        <w:shd w:val="clear" w:color="ffffff" w:fill="ffffff" w:themeFill="light1"/>
        <w:tcBorders>
          <w:top w:val="single" w:color="c99c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List Table 7 Colorful Accent 6"/>
    <w:basedOn w:val="1048"/>
    <w:uiPriority w:val="99"/>
    <w:pPr>
      <w:pBdr/>
      <w:spacing/>
      <w:ind/>
    </w:pPr>
    <w:tblPr>
      <w:tblStyleRowBandSize w:val="1"/>
      <w:tblStyleColBandSize w:val="1"/>
      <w:tblBorders>
        <w:right w:val="single" w:color="e9706e" w:themeColor="accent6" w:themeTint="98" w:sz="4" w:space="0"/>
      </w:tblBorders>
    </w:tblPr>
    <w:tcPr>
      <w:tcBorders/>
    </w:tcPr>
    <w:tblStylePr w:type="band1Horz">
      <w:rPr>
        <w:color w:val="e9706e" w:themeColor="accent6" w:themeTint="98" w:themeShade="95"/>
        <w:sz w:val="22"/>
      </w:rPr>
      <w:pPr>
        <w:pBdr/>
        <w:spacing/>
        <w:ind/>
      </w:pPr>
      <w:tblPr>
        <w:tblBorders/>
      </w:tblPr>
      <w:tcPr>
        <w:shd w:val="clear" w:color="ffffff" w:fill="f6c2c1" w:themeFill="accent6" w:themeFillTint="40"/>
        <w:tcBorders/>
      </w:tcPr>
    </w:tblStylePr>
    <w:tblStylePr w:type="band1Vert">
      <w:pPr>
        <w:pBdr/>
        <w:spacing/>
        <w:ind/>
      </w:pPr>
      <w:tblPr>
        <w:tblBorders/>
      </w:tblPr>
      <w:tcPr>
        <w:shd w:val="clear" w:color="ffffff" w:fill="f6c2c1" w:themeFill="accent6" w:themeFillTint="40"/>
        <w:tcBorders/>
      </w:tcPr>
    </w:tblStylePr>
    <w:tblStylePr w:type="band2Horz">
      <w:rPr>
        <w:color w:val="e9706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e9706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211e" w:themeColor="accent6" w:sz="4" w:space="0"/>
        </w:tcBorders>
      </w:tcPr>
    </w:tblStylePr>
    <w:tblStylePr w:type="firstRow">
      <w:rPr>
        <w:i/>
        <w:color w:val="e9706e"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c9211e" w:themeColor="accent6" w:sz="4" w:space="0"/>
          <w:right w:val="none" w:color="000000" w:sz="4" w:space="0"/>
        </w:tcBorders>
      </w:tcPr>
    </w:tblStylePr>
    <w:tblStylePr w:type="lastCol">
      <w:rPr>
        <w:i/>
        <w:color w:val="e9706e" w:themeColor="accent6" w:themeTint="98" w:themeShade="95"/>
        <w:sz w:val="22"/>
      </w:rPr>
      <w:pPr>
        <w:pBdr/>
        <w:spacing/>
        <w:ind/>
      </w:pPr>
      <w:tblPr>
        <w:tblBorders/>
      </w:tblPr>
      <w:tcPr>
        <w:shd w:val="clear" w:color="ffffff" w:fill="auto"/>
        <w:tcBorders>
          <w:top w:val="none" w:color="000000" w:sz="4" w:space="0"/>
          <w:left w:val="single" w:color="c9211e" w:themeColor="accent6" w:sz="4" w:space="0"/>
          <w:bottom w:val="none" w:color="000000" w:sz="4" w:space="0"/>
          <w:right w:val="none" w:color="000000" w:sz="4" w:space="0"/>
        </w:tcBorders>
      </w:tcPr>
    </w:tblStylePr>
    <w:tblStylePr w:type="lastRow">
      <w:rPr>
        <w:i/>
        <w:color w:val="e9706e" w:themeColor="accent6" w:themeTint="98" w:themeShade="95"/>
        <w:sz w:val="22"/>
      </w:rPr>
      <w:pPr>
        <w:pBdr/>
        <w:spacing/>
        <w:ind/>
      </w:pPr>
      <w:tblPr>
        <w:tblBorders/>
      </w:tblPr>
      <w:tcPr>
        <w:shd w:val="clear" w:color="ffffff" w:fill="ffffff" w:themeFill="light1"/>
        <w:tcBorders>
          <w:top w:val="single" w:color="c9211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customStyle="1">
    <w:name w:val="Lined - Accent"/>
    <w:basedOn w:val="1048"/>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fff" w:themeFill="text1" w:themeFillTint="00"/>
        <w:tcBorders/>
      </w:tcPr>
    </w:tblStylePr>
    <w:tblStylePr w:type="band2Vert">
      <w:rPr>
        <w:sz w:val="22"/>
      </w:rPr>
      <w:pPr>
        <w:pBdr/>
        <w:spacing/>
        <w:ind/>
      </w:pPr>
      <w:tblPr>
        <w:tblBorders/>
      </w:tblPr>
      <w:tcPr>
        <w:shd w:val="clear" w:color="ffffff" w:fill="ffffff"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customStyle="1">
    <w:name w:val="Lined - Accent 1"/>
    <w:basedOn w:val="1048"/>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2fd94" w:themeFill="accent1" w:themeFillTint="50"/>
        <w:tcBorders/>
      </w:tcPr>
    </w:tblStylePr>
    <w:tblStylePr w:type="band2Vert">
      <w:rPr>
        <w:sz w:val="22"/>
      </w:rPr>
      <w:pPr>
        <w:pBdr/>
        <w:spacing/>
        <w:ind/>
      </w:pPr>
      <w:tblPr>
        <w:tblBorders/>
      </w:tblPr>
      <w:tcPr>
        <w:shd w:val="clear" w:color="ffffff" w:fill="a2fd94" w:themeFill="accent1" w:themeFillTint="50"/>
        <w:tcBorders/>
      </w:tcPr>
    </w:tblStylePr>
    <w:tblStylePr w:type="firstCol">
      <w:rPr>
        <w:sz w:val="22"/>
      </w:rPr>
      <w:pPr>
        <w:pBdr/>
        <w:spacing/>
        <w:ind/>
      </w:pPr>
      <w:tblPr>
        <w:tblBorders/>
      </w:tblPr>
      <w:tcPr>
        <w:shd w:val="clear" w:color="ffffff" w:fill="1bbe03" w:themeFill="accent1" w:themeFillTint="EA"/>
        <w:tcBorders/>
      </w:tcPr>
    </w:tblStylePr>
    <w:tblStylePr w:type="firstRow">
      <w:rPr>
        <w:sz w:val="22"/>
      </w:rPr>
      <w:pPr>
        <w:pBdr/>
        <w:spacing/>
        <w:ind/>
      </w:pPr>
      <w:tblPr>
        <w:tblBorders/>
      </w:tblPr>
      <w:tcPr>
        <w:shd w:val="clear" w:color="ffffff" w:fill="1bbe03" w:themeFill="accent1" w:themeFillTint="EA"/>
        <w:tcBorders/>
      </w:tcPr>
    </w:tblStylePr>
    <w:tblStylePr w:type="lastCol">
      <w:rPr>
        <w:sz w:val="22"/>
      </w:rPr>
      <w:pPr>
        <w:pBdr/>
        <w:spacing/>
        <w:ind/>
      </w:pPr>
      <w:tblPr>
        <w:tblBorders/>
      </w:tblPr>
      <w:tcPr>
        <w:shd w:val="clear" w:color="ffffff" w:fill="1bbe03" w:themeFill="accent1" w:themeFillTint="EA"/>
        <w:tcBorders/>
      </w:tcPr>
    </w:tblStylePr>
    <w:tblStylePr w:type="lastRow">
      <w:rPr>
        <w:sz w:val="22"/>
      </w:rPr>
      <w:pPr>
        <w:pBdr/>
        <w:spacing/>
        <w:ind/>
      </w:pPr>
      <w:tblPr>
        <w:tblBorders/>
      </w:tblPr>
      <w:tcPr>
        <w:shd w:val="clear" w:color="ffffff" w:fill="1bbe03"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customStyle="1">
    <w:name w:val="Lined - Accent 2"/>
    <w:basedOn w:val="1048"/>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ce6fd" w:themeFill="accent2" w:themeFillTint="32"/>
        <w:tcBorders/>
      </w:tcPr>
    </w:tblStylePr>
    <w:tblStylePr w:type="band2Vert">
      <w:rPr>
        <w:sz w:val="22"/>
      </w:rPr>
      <w:pPr>
        <w:pBdr/>
        <w:spacing/>
        <w:ind/>
      </w:pPr>
      <w:tblPr>
        <w:tblBorders/>
      </w:tblPr>
      <w:tcPr>
        <w:shd w:val="clear" w:color="ffffff" w:fill="bce6fd" w:themeFill="accent2" w:themeFillTint="32"/>
        <w:tcBorders/>
      </w:tcPr>
    </w:tblStylePr>
    <w:tblStylePr w:type="firstCol">
      <w:rPr>
        <w:sz w:val="22"/>
      </w:rPr>
      <w:pPr>
        <w:pBdr/>
        <w:spacing/>
        <w:ind/>
      </w:pPr>
      <w:tblPr>
        <w:tblBorders/>
      </w:tblPr>
      <w:tcPr>
        <w:shd w:val="clear" w:color="ffffff" w:fill="36b3fb" w:themeFill="accent2" w:themeFillTint="97"/>
        <w:tcBorders/>
      </w:tcPr>
    </w:tblStylePr>
    <w:tblStylePr w:type="firstRow">
      <w:rPr>
        <w:sz w:val="22"/>
      </w:rPr>
      <w:pPr>
        <w:pBdr/>
        <w:spacing/>
        <w:ind/>
      </w:pPr>
      <w:tblPr>
        <w:tblBorders/>
      </w:tblPr>
      <w:tcPr>
        <w:shd w:val="clear" w:color="ffffff" w:fill="36b3fb" w:themeFill="accent2" w:themeFillTint="97"/>
        <w:tcBorders/>
      </w:tcPr>
    </w:tblStylePr>
    <w:tblStylePr w:type="lastCol">
      <w:rPr>
        <w:sz w:val="22"/>
      </w:rPr>
      <w:pPr>
        <w:pBdr/>
        <w:spacing/>
        <w:ind/>
      </w:pPr>
      <w:tblPr>
        <w:tblBorders/>
      </w:tblPr>
      <w:tcPr>
        <w:shd w:val="clear" w:color="ffffff" w:fill="36b3fb" w:themeFill="accent2" w:themeFillTint="97"/>
        <w:tcBorders/>
      </w:tcPr>
    </w:tblStylePr>
    <w:tblStylePr w:type="lastRow">
      <w:rPr>
        <w:sz w:val="22"/>
      </w:rPr>
      <w:pPr>
        <w:pBdr/>
        <w:spacing/>
        <w:ind/>
      </w:pPr>
      <w:tblPr>
        <w:tblBorders/>
      </w:tblPr>
      <w:tcPr>
        <w:shd w:val="clear" w:color="ffffff" w:fill="36b3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customStyle="1">
    <w:name w:val="Lined - Accent 3"/>
    <w:basedOn w:val="1048"/>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dd2b9" w:themeFill="accent3" w:themeFillTint="34"/>
        <w:tcBorders/>
      </w:tcPr>
    </w:tblStylePr>
    <w:tblStylePr w:type="band2Vert">
      <w:rPr>
        <w:sz w:val="22"/>
      </w:rPr>
      <w:pPr>
        <w:pBdr/>
        <w:spacing/>
        <w:ind/>
      </w:pPr>
      <w:tblPr>
        <w:tblBorders/>
      </w:tblPr>
      <w:tcPr>
        <w:shd w:val="clear" w:color="ffffff" w:fill="fdd2b9" w:themeFill="accent3" w:themeFillTint="34"/>
        <w:tcBorders/>
      </w:tcPr>
    </w:tblStylePr>
    <w:tblStylePr w:type="firstCol">
      <w:rPr>
        <w:sz w:val="22"/>
      </w:rPr>
      <w:pPr>
        <w:pBdr/>
        <w:spacing/>
        <w:ind/>
      </w:pPr>
      <w:tblPr>
        <w:tblBorders/>
      </w:tblPr>
      <w:tcPr>
        <w:shd w:val="clear" w:color="ffffff" w:fill="a43e03" w:themeFill="accent3" w:themeFillTint="FE"/>
        <w:tcBorders/>
      </w:tcPr>
    </w:tblStylePr>
    <w:tblStylePr w:type="firstRow">
      <w:rPr>
        <w:sz w:val="22"/>
      </w:rPr>
      <w:pPr>
        <w:pBdr/>
        <w:spacing/>
        <w:ind/>
      </w:pPr>
      <w:tblPr>
        <w:tblBorders/>
      </w:tblPr>
      <w:tcPr>
        <w:shd w:val="clear" w:color="ffffff" w:fill="a43e03" w:themeFill="accent3" w:themeFillTint="FE"/>
        <w:tcBorders/>
      </w:tcPr>
    </w:tblStylePr>
    <w:tblStylePr w:type="lastCol">
      <w:rPr>
        <w:sz w:val="22"/>
      </w:rPr>
      <w:pPr>
        <w:pBdr/>
        <w:spacing/>
        <w:ind/>
      </w:pPr>
      <w:tblPr>
        <w:tblBorders/>
      </w:tblPr>
      <w:tcPr>
        <w:shd w:val="clear" w:color="ffffff" w:fill="a43e03" w:themeFill="accent3" w:themeFillTint="FE"/>
        <w:tcBorders/>
      </w:tcPr>
    </w:tblStylePr>
    <w:tblStylePr w:type="lastRow">
      <w:rPr>
        <w:sz w:val="22"/>
      </w:rPr>
      <w:pPr>
        <w:pBdr/>
        <w:spacing/>
        <w:ind/>
      </w:pPr>
      <w:tblPr>
        <w:tblBorders/>
      </w:tblPr>
      <w:tcPr>
        <w:shd w:val="clear" w:color="ffffff" w:fill="a43e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customStyle="1">
    <w:name w:val="Lined - Accent 4"/>
    <w:basedOn w:val="1048"/>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4b9fd" w:themeFill="accent4" w:themeFillTint="34"/>
        <w:tcBorders/>
      </w:tcPr>
    </w:tblStylePr>
    <w:tblStylePr w:type="band2Vert">
      <w:rPr>
        <w:sz w:val="22"/>
      </w:rPr>
      <w:pPr>
        <w:pBdr/>
        <w:spacing/>
        <w:ind/>
      </w:pPr>
      <w:tblPr>
        <w:tblBorders/>
      </w:tblPr>
      <w:tcPr>
        <w:shd w:val="clear" w:color="ffffff" w:fill="f4b9fd" w:themeFill="accent4" w:themeFillTint="34"/>
        <w:tcBorders/>
      </w:tcPr>
    </w:tblStylePr>
    <w:tblStylePr w:type="firstCol">
      <w:rPr>
        <w:sz w:val="22"/>
      </w:rPr>
      <w:pPr>
        <w:pBdr/>
        <w:spacing/>
        <w:ind/>
      </w:pPr>
      <w:tblPr>
        <w:tblBorders/>
      </w:tblPr>
      <w:tcPr>
        <w:shd w:val="clear" w:color="ffffff" w:fill="e032fb" w:themeFill="accent4" w:themeFillTint="9A"/>
        <w:tcBorders/>
      </w:tcPr>
    </w:tblStylePr>
    <w:tblStylePr w:type="firstRow">
      <w:rPr>
        <w:sz w:val="22"/>
      </w:rPr>
      <w:pPr>
        <w:pBdr/>
        <w:spacing/>
        <w:ind/>
      </w:pPr>
      <w:tblPr>
        <w:tblBorders/>
      </w:tblPr>
      <w:tcPr>
        <w:shd w:val="clear" w:color="ffffff" w:fill="e032fb" w:themeFill="accent4" w:themeFillTint="9A"/>
        <w:tcBorders/>
      </w:tcPr>
    </w:tblStylePr>
    <w:tblStylePr w:type="lastCol">
      <w:rPr>
        <w:sz w:val="22"/>
      </w:rPr>
      <w:pPr>
        <w:pBdr/>
        <w:spacing/>
        <w:ind/>
      </w:pPr>
      <w:tblPr>
        <w:tblBorders/>
      </w:tblPr>
      <w:tcPr>
        <w:shd w:val="clear" w:color="ffffff" w:fill="e032fb" w:themeFill="accent4" w:themeFillTint="9A"/>
        <w:tcBorders/>
      </w:tcPr>
    </w:tblStylePr>
    <w:tblStylePr w:type="lastRow">
      <w:rPr>
        <w:sz w:val="22"/>
      </w:rPr>
      <w:pPr>
        <w:pBdr/>
        <w:spacing/>
        <w:ind/>
      </w:pPr>
      <w:tblPr>
        <w:tblBorders/>
      </w:tblPr>
      <w:tcPr>
        <w:shd w:val="clear" w:color="ffffff" w:fill="e032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customStyle="1">
    <w:name w:val="Lined - Accent 5"/>
    <w:basedOn w:val="1048"/>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0bf" w:themeFill="accent5" w:themeFillTint="34"/>
        <w:tcBorders/>
      </w:tcPr>
    </w:tblStylePr>
    <w:tblStylePr w:type="band2Vert">
      <w:rPr>
        <w:sz w:val="22"/>
      </w:rPr>
      <w:pPr>
        <w:pBdr/>
        <w:spacing/>
        <w:ind/>
      </w:pPr>
      <w:tblPr>
        <w:tblBorders/>
      </w:tblPr>
      <w:tcPr>
        <w:shd w:val="clear" w:color="ffffff" w:fill="fff0bf"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customStyle="1">
    <w:name w:val="Lined - Accent 6"/>
    <w:basedOn w:val="1048"/>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7cdcd" w:themeFill="accent6" w:themeFillTint="34"/>
        <w:tcBorders/>
      </w:tcPr>
    </w:tblStylePr>
    <w:tblStylePr w:type="band2Vert">
      <w:rPr>
        <w:sz w:val="22"/>
      </w:rPr>
      <w:pPr>
        <w:pBdr/>
        <w:spacing/>
        <w:ind/>
      </w:pPr>
      <w:tblPr>
        <w:tblBorders/>
      </w:tblPr>
      <w:tcPr>
        <w:shd w:val="clear" w:color="ffffff" w:fill="f7cd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customStyle="1">
    <w:name w:val="Bordered &amp; Lined - Accent"/>
    <w:basedOn w:val="1048"/>
    <w:uiPriority w:val="99"/>
    <w:pPr>
      <w:pBdr/>
      <w:spacing/>
      <w:ind/>
    </w:p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fff" w:themeFill="text1" w:themeFillTint="00"/>
        <w:tcBorders/>
      </w:tcPr>
    </w:tblStylePr>
    <w:tblStylePr w:type="band2Vert">
      <w:rPr>
        <w:sz w:val="22"/>
      </w:rPr>
      <w:pPr>
        <w:pBdr/>
        <w:spacing/>
        <w:ind/>
      </w:pPr>
      <w:tblPr>
        <w:tblBorders/>
      </w:tblPr>
      <w:tcPr>
        <w:shd w:val="clear" w:color="ffffff" w:fill="ffffff"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customStyle="1">
    <w:name w:val="Bordered &amp; Lined - Accent 1"/>
    <w:basedOn w:val="1048"/>
    <w:uiPriority w:val="99"/>
    <w:pPr>
      <w:pBdr/>
      <w:spacing/>
      <w:ind/>
    </w:pPr>
    <w:tblPr>
      <w:tblStyleRowBandSize w:val="1"/>
      <w:tblStyleColBandSize w:val="1"/>
      <w:tblBorders>
        <w:top w:val="single" w:color="18a303" w:themeColor="accent1" w:sz="4" w:space="0"/>
        <w:left w:val="single" w:color="18a303" w:themeColor="accent1" w:sz="4" w:space="0"/>
        <w:bottom w:val="single" w:color="18a303" w:themeColor="accent1" w:sz="4" w:space="0"/>
        <w:right w:val="single" w:color="18a303" w:themeColor="accent1" w:sz="4" w:space="0"/>
        <w:insideH w:val="single" w:color="18a303" w:themeColor="accent1" w:sz="4" w:space="0"/>
        <w:insideV w:val="single" w:color="18a303"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2fd94" w:themeFill="accent1" w:themeFillTint="50"/>
        <w:tcBorders/>
      </w:tcPr>
    </w:tblStylePr>
    <w:tblStylePr w:type="band2Vert">
      <w:rPr>
        <w:sz w:val="22"/>
      </w:rPr>
      <w:pPr>
        <w:pBdr/>
        <w:spacing/>
        <w:ind/>
      </w:pPr>
      <w:tblPr>
        <w:tblBorders/>
      </w:tblPr>
      <w:tcPr>
        <w:shd w:val="clear" w:color="ffffff" w:fill="a2fd94" w:themeFill="accent1" w:themeFillTint="50"/>
        <w:tcBorders/>
      </w:tcPr>
    </w:tblStylePr>
    <w:tblStylePr w:type="firstCol">
      <w:rPr>
        <w:sz w:val="22"/>
      </w:rPr>
      <w:pPr>
        <w:pBdr/>
        <w:spacing/>
        <w:ind/>
      </w:pPr>
      <w:tblPr>
        <w:tblBorders/>
      </w:tblPr>
      <w:tcPr>
        <w:shd w:val="clear" w:color="ffffff" w:fill="1bbe03" w:themeFill="accent1" w:themeFillTint="EA"/>
        <w:tcBorders/>
      </w:tcPr>
    </w:tblStylePr>
    <w:tblStylePr w:type="firstRow">
      <w:rPr>
        <w:sz w:val="22"/>
      </w:rPr>
      <w:pPr>
        <w:pBdr/>
        <w:spacing/>
        <w:ind/>
      </w:pPr>
      <w:tblPr>
        <w:tblBorders/>
      </w:tblPr>
      <w:tcPr>
        <w:shd w:val="clear" w:color="ffffff" w:fill="1bbe03" w:themeFill="accent1" w:themeFillTint="EA"/>
        <w:tcBorders/>
      </w:tcPr>
    </w:tblStylePr>
    <w:tblStylePr w:type="lastCol">
      <w:rPr>
        <w:sz w:val="22"/>
      </w:rPr>
      <w:pPr>
        <w:pBdr/>
        <w:spacing/>
        <w:ind/>
      </w:pPr>
      <w:tblPr>
        <w:tblBorders/>
      </w:tblPr>
      <w:tcPr>
        <w:shd w:val="clear" w:color="ffffff" w:fill="1bbe03" w:themeFill="accent1" w:themeFillTint="EA"/>
        <w:tcBorders/>
      </w:tcPr>
    </w:tblStylePr>
    <w:tblStylePr w:type="lastRow">
      <w:rPr>
        <w:sz w:val="22"/>
      </w:rPr>
      <w:pPr>
        <w:pBdr/>
        <w:spacing/>
        <w:ind/>
      </w:pPr>
      <w:tblPr>
        <w:tblBorders/>
      </w:tblPr>
      <w:tcPr>
        <w:shd w:val="clear" w:color="ffffff" w:fill="1bbe03"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customStyle="1">
    <w:name w:val="Bordered &amp; Lined - Accent 2"/>
    <w:basedOn w:val="1048"/>
    <w:uiPriority w:val="99"/>
    <w:pPr>
      <w:pBdr/>
      <w:spacing/>
      <w:ind/>
    </w:pPr>
    <w:tblPr>
      <w:tblStyleRowBandSize w:val="1"/>
      <w:tblStyleColBandSize w:val="1"/>
      <w:tblBorders>
        <w:top w:val="single" w:color="0369a3" w:themeColor="accent2" w:sz="4" w:space="0"/>
        <w:left w:val="single" w:color="0369a3" w:themeColor="accent2" w:sz="4" w:space="0"/>
        <w:bottom w:val="single" w:color="0369a3" w:themeColor="accent2" w:sz="4" w:space="0"/>
        <w:right w:val="single" w:color="0369a3" w:themeColor="accent2" w:sz="4" w:space="0"/>
        <w:insideH w:val="single" w:color="0369a3" w:themeColor="accent2" w:sz="4" w:space="0"/>
        <w:insideV w:val="single" w:color="0369a3"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ce6fd" w:themeFill="accent2" w:themeFillTint="32"/>
        <w:tcBorders/>
      </w:tcPr>
    </w:tblStylePr>
    <w:tblStylePr w:type="band2Vert">
      <w:rPr>
        <w:sz w:val="22"/>
      </w:rPr>
      <w:pPr>
        <w:pBdr/>
        <w:spacing/>
        <w:ind/>
      </w:pPr>
      <w:tblPr>
        <w:tblBorders/>
      </w:tblPr>
      <w:tcPr>
        <w:shd w:val="clear" w:color="ffffff" w:fill="bce6fd" w:themeFill="accent2" w:themeFillTint="32"/>
        <w:tcBorders/>
      </w:tcPr>
    </w:tblStylePr>
    <w:tblStylePr w:type="firstCol">
      <w:rPr>
        <w:sz w:val="22"/>
      </w:rPr>
      <w:pPr>
        <w:pBdr/>
        <w:spacing/>
        <w:ind/>
      </w:pPr>
      <w:tblPr>
        <w:tblBorders/>
      </w:tblPr>
      <w:tcPr>
        <w:shd w:val="clear" w:color="ffffff" w:fill="36b3fb" w:themeFill="accent2" w:themeFillTint="97"/>
        <w:tcBorders/>
      </w:tcPr>
    </w:tblStylePr>
    <w:tblStylePr w:type="firstRow">
      <w:rPr>
        <w:sz w:val="22"/>
      </w:rPr>
      <w:pPr>
        <w:pBdr/>
        <w:spacing/>
        <w:ind/>
      </w:pPr>
      <w:tblPr>
        <w:tblBorders/>
      </w:tblPr>
      <w:tcPr>
        <w:shd w:val="clear" w:color="ffffff" w:fill="36b3fb" w:themeFill="accent2" w:themeFillTint="97"/>
        <w:tcBorders/>
      </w:tcPr>
    </w:tblStylePr>
    <w:tblStylePr w:type="lastCol">
      <w:rPr>
        <w:sz w:val="22"/>
      </w:rPr>
      <w:pPr>
        <w:pBdr/>
        <w:spacing/>
        <w:ind/>
      </w:pPr>
      <w:tblPr>
        <w:tblBorders/>
      </w:tblPr>
      <w:tcPr>
        <w:shd w:val="clear" w:color="ffffff" w:fill="36b3fb" w:themeFill="accent2" w:themeFillTint="97"/>
        <w:tcBorders/>
      </w:tcPr>
    </w:tblStylePr>
    <w:tblStylePr w:type="lastRow">
      <w:rPr>
        <w:sz w:val="22"/>
      </w:rPr>
      <w:pPr>
        <w:pBdr/>
        <w:spacing/>
        <w:ind/>
      </w:pPr>
      <w:tblPr>
        <w:tblBorders/>
      </w:tblPr>
      <w:tcPr>
        <w:shd w:val="clear" w:color="ffffff" w:fill="36b3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customStyle="1">
    <w:name w:val="Bordered &amp; Lined - Accent 3"/>
    <w:basedOn w:val="1048"/>
    <w:uiPriority w:val="99"/>
    <w:pPr>
      <w:pBdr/>
      <w:spacing/>
      <w:ind/>
    </w:pPr>
    <w:tblPr>
      <w:tblStyleRowBandSize w:val="1"/>
      <w:tblStyleColBandSize w:val="1"/>
      <w:tblBorders>
        <w:top w:val="single" w:color="a33e03" w:themeColor="accent3" w:sz="4" w:space="0"/>
        <w:left w:val="single" w:color="a33e03" w:themeColor="accent3" w:sz="4" w:space="0"/>
        <w:bottom w:val="single" w:color="a33e03" w:themeColor="accent3" w:sz="4" w:space="0"/>
        <w:right w:val="single" w:color="a33e03" w:themeColor="accent3" w:sz="4" w:space="0"/>
        <w:insideH w:val="single" w:color="a33e03" w:themeColor="accent3" w:sz="4" w:space="0"/>
        <w:insideV w:val="single" w:color="a33e03"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dd2b9" w:themeFill="accent3" w:themeFillTint="34"/>
        <w:tcBorders/>
      </w:tcPr>
    </w:tblStylePr>
    <w:tblStylePr w:type="band2Vert">
      <w:rPr>
        <w:sz w:val="22"/>
      </w:rPr>
      <w:pPr>
        <w:pBdr/>
        <w:spacing/>
        <w:ind/>
      </w:pPr>
      <w:tblPr>
        <w:tblBorders/>
      </w:tblPr>
      <w:tcPr>
        <w:shd w:val="clear" w:color="ffffff" w:fill="fdd2b9" w:themeFill="accent3" w:themeFillTint="34"/>
        <w:tcBorders/>
      </w:tcPr>
    </w:tblStylePr>
    <w:tblStylePr w:type="firstCol">
      <w:rPr>
        <w:sz w:val="22"/>
      </w:rPr>
      <w:pPr>
        <w:pBdr/>
        <w:spacing/>
        <w:ind/>
      </w:pPr>
      <w:tblPr>
        <w:tblBorders/>
      </w:tblPr>
      <w:tcPr>
        <w:shd w:val="clear" w:color="ffffff" w:fill="a43e03" w:themeFill="accent3" w:themeFillTint="FE"/>
        <w:tcBorders/>
      </w:tcPr>
    </w:tblStylePr>
    <w:tblStylePr w:type="firstRow">
      <w:rPr>
        <w:sz w:val="22"/>
      </w:rPr>
      <w:pPr>
        <w:pBdr/>
        <w:spacing/>
        <w:ind/>
      </w:pPr>
      <w:tblPr>
        <w:tblBorders/>
      </w:tblPr>
      <w:tcPr>
        <w:shd w:val="clear" w:color="ffffff" w:fill="a43e03" w:themeFill="accent3" w:themeFillTint="FE"/>
        <w:tcBorders/>
      </w:tcPr>
    </w:tblStylePr>
    <w:tblStylePr w:type="lastCol">
      <w:rPr>
        <w:sz w:val="22"/>
      </w:rPr>
      <w:pPr>
        <w:pBdr/>
        <w:spacing/>
        <w:ind/>
      </w:pPr>
      <w:tblPr>
        <w:tblBorders/>
      </w:tblPr>
      <w:tcPr>
        <w:shd w:val="clear" w:color="ffffff" w:fill="a43e03" w:themeFill="accent3" w:themeFillTint="FE"/>
        <w:tcBorders/>
      </w:tcPr>
    </w:tblStylePr>
    <w:tblStylePr w:type="lastRow">
      <w:rPr>
        <w:sz w:val="22"/>
      </w:rPr>
      <w:pPr>
        <w:pBdr/>
        <w:spacing/>
        <w:ind/>
      </w:pPr>
      <w:tblPr>
        <w:tblBorders/>
      </w:tblPr>
      <w:tcPr>
        <w:shd w:val="clear" w:color="ffffff" w:fill="a43e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customStyle="1">
    <w:name w:val="Bordered &amp; Lined - Accent 4"/>
    <w:basedOn w:val="1048"/>
    <w:uiPriority w:val="99"/>
    <w:pPr>
      <w:pBdr/>
      <w:spacing/>
      <w:ind/>
    </w:pPr>
    <w:tblPr>
      <w:tblStyleRowBandSize w:val="1"/>
      <w:tblStyleColBandSize w:val="1"/>
      <w:tblBorders>
        <w:top w:val="single" w:color="8e03a3" w:themeColor="accent4" w:sz="4" w:space="0"/>
        <w:left w:val="single" w:color="8e03a3" w:themeColor="accent4" w:sz="4" w:space="0"/>
        <w:bottom w:val="single" w:color="8e03a3" w:themeColor="accent4" w:sz="4" w:space="0"/>
        <w:right w:val="single" w:color="8e03a3" w:themeColor="accent4" w:sz="4" w:space="0"/>
        <w:insideH w:val="single" w:color="8e03a3" w:themeColor="accent4" w:sz="4" w:space="0"/>
        <w:insideV w:val="single" w:color="8e03a3"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4b9fd" w:themeFill="accent4" w:themeFillTint="34"/>
        <w:tcBorders/>
      </w:tcPr>
    </w:tblStylePr>
    <w:tblStylePr w:type="band2Vert">
      <w:rPr>
        <w:sz w:val="22"/>
      </w:rPr>
      <w:pPr>
        <w:pBdr/>
        <w:spacing/>
        <w:ind/>
      </w:pPr>
      <w:tblPr>
        <w:tblBorders/>
      </w:tblPr>
      <w:tcPr>
        <w:shd w:val="clear" w:color="ffffff" w:fill="f4b9fd" w:themeFill="accent4" w:themeFillTint="34"/>
        <w:tcBorders/>
      </w:tcPr>
    </w:tblStylePr>
    <w:tblStylePr w:type="firstCol">
      <w:rPr>
        <w:sz w:val="22"/>
      </w:rPr>
      <w:pPr>
        <w:pBdr/>
        <w:spacing/>
        <w:ind/>
      </w:pPr>
      <w:tblPr>
        <w:tblBorders/>
      </w:tblPr>
      <w:tcPr>
        <w:shd w:val="clear" w:color="ffffff" w:fill="e032fb" w:themeFill="accent4" w:themeFillTint="9A"/>
        <w:tcBorders/>
      </w:tcPr>
    </w:tblStylePr>
    <w:tblStylePr w:type="firstRow">
      <w:rPr>
        <w:sz w:val="22"/>
      </w:rPr>
      <w:pPr>
        <w:pBdr/>
        <w:spacing/>
        <w:ind/>
      </w:pPr>
      <w:tblPr>
        <w:tblBorders/>
      </w:tblPr>
      <w:tcPr>
        <w:shd w:val="clear" w:color="ffffff" w:fill="e032fb" w:themeFill="accent4" w:themeFillTint="9A"/>
        <w:tcBorders/>
      </w:tcPr>
    </w:tblStylePr>
    <w:tblStylePr w:type="lastCol">
      <w:rPr>
        <w:sz w:val="22"/>
      </w:rPr>
      <w:pPr>
        <w:pBdr/>
        <w:spacing/>
        <w:ind/>
      </w:pPr>
      <w:tblPr>
        <w:tblBorders/>
      </w:tblPr>
      <w:tcPr>
        <w:shd w:val="clear" w:color="ffffff" w:fill="e032fb" w:themeFill="accent4" w:themeFillTint="9A"/>
        <w:tcBorders/>
      </w:tcPr>
    </w:tblStylePr>
    <w:tblStylePr w:type="lastRow">
      <w:rPr>
        <w:sz w:val="22"/>
      </w:rPr>
      <w:pPr>
        <w:pBdr/>
        <w:spacing/>
        <w:ind/>
      </w:pPr>
      <w:tblPr>
        <w:tblBorders/>
      </w:tblPr>
      <w:tcPr>
        <w:shd w:val="clear" w:color="ffffff" w:fill="e032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customStyle="1">
    <w:name w:val="Bordered &amp; Lined - Accent 5"/>
    <w:basedOn w:val="1048"/>
    <w:uiPriority w:val="99"/>
    <w:pPr>
      <w:pBdr/>
      <w:spacing/>
      <w:ind/>
    </w:pPr>
    <w:tblPr>
      <w:tblStyleRowBandSize w:val="1"/>
      <w:tblStyleColBandSize w:val="1"/>
      <w:tblBorders>
        <w:top w:val="single" w:color="c99c00" w:themeColor="accent5" w:sz="4" w:space="0"/>
        <w:left w:val="single" w:color="c99c00" w:themeColor="accent5" w:sz="4" w:space="0"/>
        <w:bottom w:val="single" w:color="c99c00" w:themeColor="accent5" w:sz="4" w:space="0"/>
        <w:right w:val="single" w:color="c99c00" w:themeColor="accent5" w:sz="4" w:space="0"/>
        <w:insideH w:val="single" w:color="c99c00" w:themeColor="accent5" w:sz="4" w:space="0"/>
        <w:insideV w:val="single" w:color="c99c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0bf" w:themeFill="accent5" w:themeFillTint="34"/>
        <w:tcBorders/>
      </w:tcPr>
    </w:tblStylePr>
    <w:tblStylePr w:type="band2Vert">
      <w:rPr>
        <w:sz w:val="22"/>
      </w:rPr>
      <w:pPr>
        <w:pBdr/>
        <w:spacing/>
        <w:ind/>
      </w:pPr>
      <w:tblPr>
        <w:tblBorders/>
      </w:tblPr>
      <w:tcPr>
        <w:shd w:val="clear" w:color="ffffff" w:fill="fff0bf"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customStyle="1">
    <w:name w:val="Bordered &amp; Lined - Accent 6"/>
    <w:basedOn w:val="1048"/>
    <w:uiPriority w:val="99"/>
    <w:pPr>
      <w:pBdr/>
      <w:spacing/>
      <w:ind/>
    </w:pPr>
    <w:tblPr>
      <w:tblStyleRowBandSize w:val="1"/>
      <w:tblStyleColBandSize w:val="1"/>
      <w:tblBorders>
        <w:top w:val="single" w:color="c9211e" w:themeColor="accent6" w:sz="4" w:space="0"/>
        <w:left w:val="single" w:color="c9211e" w:themeColor="accent6" w:sz="4" w:space="0"/>
        <w:bottom w:val="single" w:color="c9211e" w:themeColor="accent6" w:sz="4" w:space="0"/>
        <w:right w:val="single" w:color="c9211e" w:themeColor="accent6" w:sz="4" w:space="0"/>
        <w:insideH w:val="single" w:color="c9211e" w:themeColor="accent6" w:sz="4" w:space="0"/>
        <w:insideV w:val="single" w:color="c9211e"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7cdcd" w:themeFill="accent6" w:themeFillTint="34"/>
        <w:tcBorders/>
      </w:tcPr>
    </w:tblStylePr>
    <w:tblStylePr w:type="band2Vert">
      <w:rPr>
        <w:sz w:val="22"/>
      </w:rPr>
      <w:pPr>
        <w:pBdr/>
        <w:spacing/>
        <w:ind/>
      </w:pPr>
      <w:tblPr>
        <w:tblBorders/>
      </w:tblPr>
      <w:tcPr>
        <w:shd w:val="clear" w:color="ffffff" w:fill="f7cd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customStyle="1">
    <w:name w:val="Bordered"/>
    <w:basedOn w:val="1048"/>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customStyle="1">
    <w:name w:val="Bordered - Accent 1"/>
    <w:basedOn w:val="1048"/>
    <w:uiPriority w:val="99"/>
    <w:pPr>
      <w:pBdr/>
      <w:spacing/>
      <w:ind/>
    </w:pPr>
    <w:tblPr>
      <w:tblStyleRowBandSize w:val="1"/>
      <w:tblStyleColBandSize w:val="1"/>
      <w:tblBorders>
        <w:top w:val="single" w:color="87fc76" w:themeColor="accent1" w:themeTint="67" w:sz="4" w:space="0"/>
        <w:left w:val="single" w:color="87fc76" w:themeColor="accent1" w:themeTint="67" w:sz="4" w:space="0"/>
        <w:bottom w:val="single" w:color="87fc76" w:themeColor="accent1" w:themeTint="67" w:sz="4" w:space="0"/>
        <w:right w:val="single" w:color="87fc76" w:themeColor="accent1" w:themeTint="67" w:sz="4" w:space="0"/>
        <w:insideH w:val="single" w:color="87fc76" w:themeColor="accent1" w:themeTint="67" w:sz="4" w:space="0"/>
        <w:insideV w:val="single" w:color="87fc76" w:themeColor="accent1" w:themeTint="67" w:sz="4" w:space="0"/>
      </w:tblBorders>
    </w:tblPr>
    <w:tcPr>
      <w:tcBorders/>
    </w:tcPr>
    <w:tblStylePr w:type="band1Horz">
      <w:rPr>
        <w:sz w:val="22"/>
      </w:rPr>
      <w:pPr>
        <w:pBdr/>
        <w:spacing/>
        <w:ind/>
      </w:pPr>
      <w:tblPr>
        <w:tblBorders/>
      </w:tblPr>
      <w:tcPr>
        <w:tcBorders>
          <w:top w:val="single" w:color="18a303" w:themeColor="accent1" w:sz="4" w:space="0"/>
          <w:left w:val="single" w:color="18a303" w:themeColor="accent1" w:sz="4" w:space="0"/>
          <w:bottom w:val="single" w:color="18a303" w:themeColor="accent1" w:sz="4" w:space="0"/>
          <w:right w:val="single" w:color="18a303"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18a303" w:themeColor="accent1" w:sz="12" w:space="0"/>
        </w:tcBorders>
      </w:tcPr>
    </w:tblStylePr>
    <w:tblStylePr w:type="lastCol">
      <w:rPr>
        <w:sz w:val="22"/>
      </w:rPr>
      <w:pPr>
        <w:pBdr/>
        <w:spacing/>
        <w:ind/>
      </w:pPr>
      <w:tblPr>
        <w:tblBorders/>
      </w:tblPr>
      <w:tcPr>
        <w:tcBorders>
          <w:left w:val="single" w:color="18a303" w:themeColor="accent1" w:sz="12" w:space="0"/>
        </w:tcBorders>
      </w:tcPr>
    </w:tblStylePr>
    <w:tblStylePr w:type="lastRow">
      <w:rPr>
        <w:sz w:val="22"/>
      </w:rPr>
      <w:pPr>
        <w:pBdr/>
        <w:spacing/>
        <w:ind/>
      </w:pPr>
      <w:tblPr>
        <w:tblBorders/>
      </w:tblPr>
      <w:tcPr>
        <w:tcBorders>
          <w:top w:val="single" w:color="18a303"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customStyle="1">
    <w:name w:val="Bordered - Accent 2"/>
    <w:basedOn w:val="1048"/>
    <w:uiPriority w:val="99"/>
    <w:pPr>
      <w:pBdr/>
      <w:spacing/>
      <w:ind/>
    </w:pPr>
    <w:tblPr>
      <w:tblStyleRowBandSize w:val="1"/>
      <w:tblStyleColBandSize w:val="1"/>
      <w:tbl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insideH w:val="single" w:color="76cbfc" w:themeColor="accent2" w:themeTint="67" w:sz="4" w:space="0"/>
        <w:insideV w:val="single" w:color="76cbfc" w:themeColor="accent2" w:themeTint="67" w:sz="4" w:space="0"/>
      </w:tblBorders>
    </w:tblPr>
    <w:tcPr>
      <w:tcBorders/>
    </w:tcPr>
    <w:tblStylePr w:type="band1Horz">
      <w:rPr>
        <w:sz w:val="22"/>
      </w:rPr>
      <w:pPr>
        <w:pBdr/>
        <w:spacing/>
        <w:ind/>
      </w:pPr>
      <w:tblPr>
        <w:tblBorders/>
      </w:tblPr>
      <w:tcPr>
        <w:tcBorders>
          <w:top w:val="single" w:color="0369a3" w:themeColor="accent2" w:sz="4" w:space="0"/>
          <w:left w:val="single" w:color="0369a3" w:themeColor="accent2" w:sz="4" w:space="0"/>
          <w:bottom w:val="single" w:color="0369a3" w:themeColor="accent2" w:sz="4" w:space="0"/>
          <w:right w:val="single" w:color="0369a3"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369a3" w:themeColor="accent2" w:sz="12" w:space="0"/>
        </w:tcBorders>
      </w:tcPr>
    </w:tblStylePr>
    <w:tblStylePr w:type="lastCol">
      <w:rPr>
        <w:sz w:val="22"/>
      </w:rPr>
      <w:pPr>
        <w:pBdr/>
        <w:spacing/>
        <w:ind/>
      </w:pPr>
      <w:tblPr>
        <w:tblBorders/>
      </w:tblPr>
      <w:tcPr>
        <w:tcBorders>
          <w:left w:val="single" w:color="0369a3" w:themeColor="accent2" w:sz="12" w:space="0"/>
        </w:tcBorders>
      </w:tcPr>
    </w:tblStylePr>
    <w:tblStylePr w:type="lastRow">
      <w:rPr>
        <w:sz w:val="22"/>
      </w:rPr>
      <w:pPr>
        <w:pBdr/>
        <w:spacing/>
        <w:ind/>
      </w:pPr>
      <w:tblPr>
        <w:tblBorders/>
      </w:tblPr>
      <w:tcPr>
        <w:tcBorders>
          <w:top w:val="single" w:color="0369a3"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customStyle="1">
    <w:name w:val="Bordered - Accent 3"/>
    <w:basedOn w:val="1048"/>
    <w:uiPriority w:val="99"/>
    <w:pPr>
      <w:pBdr/>
      <w:spacing/>
      <w:ind/>
    </w:pPr>
    <w:tblPr>
      <w:tblStyleRowBandSize w:val="1"/>
      <w:tblStyleColBandSize w:val="1"/>
      <w:tbl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insideH w:val="single" w:color="fca776" w:themeColor="accent3" w:themeTint="67" w:sz="4" w:space="0"/>
        <w:insideV w:val="single" w:color="fca776" w:themeColor="accent3" w:themeTint="67" w:sz="4" w:space="0"/>
      </w:tblBorders>
    </w:tblPr>
    <w:tcPr>
      <w:tcBorders/>
    </w:tcPr>
    <w:tblStylePr w:type="band1Horz">
      <w:rPr>
        <w:sz w:val="22"/>
      </w:rPr>
      <w:pPr>
        <w:pBdr/>
        <w:spacing/>
        <w:ind/>
      </w:pPr>
      <w:tblPr>
        <w:tblBorders/>
      </w:tblPr>
      <w:tcPr>
        <w:tcBorders>
          <w:top w:val="single" w:color="a33e03" w:themeColor="accent3" w:sz="4" w:space="0"/>
          <w:left w:val="single" w:color="a33e03" w:themeColor="accent3" w:sz="4" w:space="0"/>
          <w:bottom w:val="single" w:color="a33e03" w:themeColor="accent3" w:sz="4" w:space="0"/>
          <w:right w:val="single" w:color="a33e03"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a33e03" w:themeColor="accent3" w:sz="12" w:space="0"/>
        </w:tcBorders>
      </w:tcPr>
    </w:tblStylePr>
    <w:tblStylePr w:type="lastCol">
      <w:rPr>
        <w:sz w:val="22"/>
      </w:rPr>
      <w:pPr>
        <w:pBdr/>
        <w:spacing/>
        <w:ind/>
      </w:pPr>
      <w:tblPr>
        <w:tblBorders/>
      </w:tblPr>
      <w:tcPr>
        <w:tcBorders>
          <w:left w:val="single" w:color="a33e03" w:themeColor="accent3" w:sz="12" w:space="0"/>
        </w:tcBorders>
      </w:tcPr>
    </w:tblStylePr>
    <w:tblStylePr w:type="lastRow">
      <w:rPr>
        <w:sz w:val="22"/>
      </w:rPr>
      <w:pPr>
        <w:pBdr/>
        <w:spacing/>
        <w:ind/>
      </w:pPr>
      <w:tblPr>
        <w:tblBorders/>
      </w:tblPr>
      <w:tcPr>
        <w:tcBorders>
          <w:top w:val="single" w:color="a33e03"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customStyle="1">
    <w:name w:val="Bordered - Accent 4"/>
    <w:basedOn w:val="1048"/>
    <w:uiPriority w:val="99"/>
    <w:pPr>
      <w:pBdr/>
      <w:spacing/>
      <w:ind/>
    </w:pPr>
    <w:tblPr>
      <w:tblStyleRowBandSize w:val="1"/>
      <w:tblStyleColBandSize w:val="1"/>
      <w:tbl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insideH w:val="single" w:color="ea76fc" w:themeColor="accent4" w:themeTint="67" w:sz="4" w:space="0"/>
        <w:insideV w:val="single" w:color="ea76fc" w:themeColor="accent4" w:themeTint="67" w:sz="4" w:space="0"/>
      </w:tblBorders>
    </w:tblPr>
    <w:tcPr>
      <w:tcBorders/>
    </w:tcPr>
    <w:tblStylePr w:type="band1Horz">
      <w:rPr>
        <w:sz w:val="22"/>
      </w:rPr>
      <w:pPr>
        <w:pBdr/>
        <w:spacing/>
        <w:ind/>
      </w:pPr>
      <w:tblPr>
        <w:tblBorders/>
      </w:tblPr>
      <w:tcPr>
        <w:tcBorders>
          <w:top w:val="single" w:color="8e03a3" w:themeColor="accent4" w:sz="4" w:space="0"/>
          <w:left w:val="single" w:color="8e03a3" w:themeColor="accent4" w:sz="4" w:space="0"/>
          <w:bottom w:val="single" w:color="8e03a3" w:themeColor="accent4" w:sz="4" w:space="0"/>
          <w:right w:val="single" w:color="8e03a3"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8e03a3" w:themeColor="accent4" w:sz="12" w:space="0"/>
        </w:tcBorders>
      </w:tcPr>
    </w:tblStylePr>
    <w:tblStylePr w:type="lastCol">
      <w:rPr>
        <w:sz w:val="22"/>
      </w:rPr>
      <w:pPr>
        <w:pBdr/>
        <w:spacing/>
        <w:ind/>
      </w:pPr>
      <w:tblPr>
        <w:tblBorders/>
      </w:tblPr>
      <w:tcPr>
        <w:tcBorders>
          <w:left w:val="single" w:color="8e03a3" w:themeColor="accent4" w:sz="12" w:space="0"/>
        </w:tcBorders>
      </w:tcPr>
    </w:tblStylePr>
    <w:tblStylePr w:type="lastRow">
      <w:rPr>
        <w:sz w:val="22"/>
      </w:rPr>
      <w:pPr>
        <w:pBdr/>
        <w:spacing/>
        <w:ind/>
      </w:pPr>
      <w:tblPr>
        <w:tblBorders/>
      </w:tblPr>
      <w:tcPr>
        <w:tcBorders>
          <w:top w:val="single" w:color="8e03a3"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customStyle="1">
    <w:name w:val="Bordered - Accent 5"/>
    <w:basedOn w:val="1048"/>
    <w:uiPriority w:val="99"/>
    <w:pPr>
      <w:pBdr/>
      <w:spacing/>
      <w:ind/>
    </w:pPr>
    <w:tblPr>
      <w:tblStyleRowBandSize w:val="1"/>
      <w:tblStyleColBandSize w:val="1"/>
      <w:tblBorders>
        <w:top w:val="single" w:color="ffe282" w:themeColor="accent5" w:themeTint="67" w:sz="4" w:space="0"/>
        <w:left w:val="single" w:color="ffe282" w:themeColor="accent5" w:themeTint="67" w:sz="4" w:space="0"/>
        <w:bottom w:val="single" w:color="ffe282" w:themeColor="accent5" w:themeTint="67" w:sz="4" w:space="0"/>
        <w:right w:val="single" w:color="ffe282" w:themeColor="accent5" w:themeTint="67" w:sz="4" w:space="0"/>
        <w:insideH w:val="single" w:color="ffe282" w:themeColor="accent5" w:themeTint="67" w:sz="4" w:space="0"/>
        <w:insideV w:val="single" w:color="ffe282" w:themeColor="accent5" w:themeTint="67" w:sz="4" w:space="0"/>
      </w:tblBorders>
    </w:tblPr>
    <w:tcPr>
      <w:tcBorders/>
    </w:tcPr>
    <w:tblStylePr w:type="band1Horz">
      <w:rPr>
        <w:sz w:val="22"/>
      </w:rPr>
      <w:pPr>
        <w:pBdr/>
        <w:spacing/>
        <w:ind/>
      </w:pPr>
      <w:tblPr>
        <w:tblBorders/>
      </w:tblPr>
      <w:tcPr>
        <w:tcBorders>
          <w:top w:val="single" w:color="c99c00" w:themeColor="accent5" w:sz="4" w:space="0"/>
          <w:left w:val="single" w:color="c99c00" w:themeColor="accent5" w:sz="4" w:space="0"/>
          <w:bottom w:val="single" w:color="c99c00" w:themeColor="accent5" w:sz="4" w:space="0"/>
          <w:right w:val="single" w:color="c99c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c99c00" w:themeColor="accent5" w:sz="12" w:space="0"/>
        </w:tcBorders>
      </w:tcPr>
    </w:tblStylePr>
    <w:tblStylePr w:type="lastCol">
      <w:rPr>
        <w:sz w:val="22"/>
      </w:rPr>
      <w:pPr>
        <w:pBdr/>
        <w:spacing/>
        <w:ind/>
      </w:pPr>
      <w:tblPr>
        <w:tblBorders/>
      </w:tblPr>
      <w:tcPr>
        <w:tcBorders>
          <w:left w:val="single" w:color="c99c00" w:themeColor="accent5" w:sz="12" w:space="0"/>
        </w:tcBorders>
      </w:tcPr>
    </w:tblStylePr>
    <w:tblStylePr w:type="lastRow">
      <w:rPr>
        <w:sz w:val="22"/>
      </w:rPr>
      <w:pPr>
        <w:pBdr/>
        <w:spacing/>
        <w:ind/>
      </w:pPr>
      <w:tblPr>
        <w:tblBorders/>
      </w:tblPr>
      <w:tcPr>
        <w:tcBorders>
          <w:top w:val="single" w:color="c99c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customStyle="1">
    <w:name w:val="Bordered - Accent 6"/>
    <w:basedOn w:val="1048"/>
    <w:uiPriority w:val="99"/>
    <w:pPr>
      <w:pBdr/>
      <w:spacing/>
      <w:ind/>
    </w:pPr>
    <w:tblPr>
      <w:tblStyleRowBandSize w:val="1"/>
      <w:tblStyleColBandSize w:val="1"/>
      <w:tblBorders>
        <w:top w:val="single" w:color="f09d9c" w:themeColor="accent6" w:themeTint="67" w:sz="4" w:space="0"/>
        <w:left w:val="single" w:color="f09d9c" w:themeColor="accent6" w:themeTint="67" w:sz="4" w:space="0"/>
        <w:bottom w:val="single" w:color="f09d9c" w:themeColor="accent6" w:themeTint="67" w:sz="4" w:space="0"/>
        <w:right w:val="single" w:color="f09d9c" w:themeColor="accent6" w:themeTint="67" w:sz="4" w:space="0"/>
        <w:insideH w:val="single" w:color="f09d9c" w:themeColor="accent6" w:themeTint="67" w:sz="4" w:space="0"/>
        <w:insideV w:val="single" w:color="f09d9c" w:themeColor="accent6" w:themeTint="67" w:sz="4" w:space="0"/>
      </w:tblBorders>
    </w:tblPr>
    <w:tcPr>
      <w:tcBorders/>
    </w:tcPr>
    <w:tblStylePr w:type="band1Horz">
      <w:rPr>
        <w:sz w:val="22"/>
      </w:rPr>
      <w:pPr>
        <w:pBdr/>
        <w:spacing/>
        <w:ind/>
      </w:pPr>
      <w:tblPr>
        <w:tblBorders/>
      </w:tblPr>
      <w:tcPr>
        <w:tcBorders>
          <w:top w:val="single" w:color="c9211e" w:themeColor="accent6" w:sz="4" w:space="0"/>
          <w:left w:val="single" w:color="c9211e" w:themeColor="accent6" w:sz="4" w:space="0"/>
          <w:bottom w:val="single" w:color="c9211e" w:themeColor="accent6" w:sz="4" w:space="0"/>
          <w:right w:val="single" w:color="c9211e"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c9211e" w:themeColor="accent6" w:sz="12" w:space="0"/>
        </w:tcBorders>
      </w:tcPr>
    </w:tblStylePr>
    <w:tblStylePr w:type="lastCol">
      <w:rPr>
        <w:sz w:val="22"/>
      </w:rPr>
      <w:pPr>
        <w:pBdr/>
        <w:spacing/>
        <w:ind/>
      </w:pPr>
      <w:tblPr>
        <w:tblBorders/>
      </w:tblPr>
      <w:tcPr>
        <w:tcBorders>
          <w:left w:val="single" w:color="c9211e" w:themeColor="accent6" w:sz="12" w:space="0"/>
        </w:tcBorders>
      </w:tcPr>
    </w:tblStylePr>
    <w:tblStylePr w:type="lastRow">
      <w:rPr>
        <w:sz w:val="22"/>
      </w:rPr>
      <w:pPr>
        <w:pBdr/>
        <w:spacing/>
        <w:ind/>
      </w:pPr>
      <w:tblPr>
        <w:tblBorders/>
      </w:tblPr>
      <w:tcPr>
        <w:tcBorders>
          <w:top w:val="single" w:color="c9211e"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36" w:customStyle="1">
    <w:name w:val="Heading NoNUM_character"/>
    <w:pPr>
      <w:pBdr/>
      <w:spacing/>
      <w:ind/>
    </w:pPr>
  </w:style>
  <w:style w:type="character" w:styleId="1237" w:customStyle="1">
    <w:name w:val="Heading Chương_character"/>
    <w:pPr>
      <w:pBdr/>
      <w:spacing/>
      <w:ind/>
    </w:pPr>
    <w:rPr>
      <w:rFonts w:ascii="Times New Roman" w:hAnsi="Times New Roman" w:cs="Times New Roman"/>
    </w:rPr>
  </w:style>
  <w:style w:type="character" w:styleId="1238" w:customStyle="1">
    <w:name w:val="Chuong_character"/>
    <w:link w:val="1239"/>
    <w:pPr>
      <w:pBdr/>
      <w:spacing/>
      <w:ind/>
    </w:pPr>
  </w:style>
  <w:style w:type="paragraph" w:styleId="1239" w:customStyle="1">
    <w:name w:val="Chuong"/>
    <w:basedOn w:val="1038"/>
    <w:link w:val="1238"/>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header" Target="header7.xml" /><Relationship Id="rId17" Type="http://schemas.openxmlformats.org/officeDocument/2006/relationships/header" Target="header8.xml" /><Relationship Id="rId18" Type="http://schemas.openxmlformats.org/officeDocument/2006/relationships/header" Target="header9.xml" /><Relationship Id="rId19" Type="http://schemas.openxmlformats.org/officeDocument/2006/relationships/footer" Target="footer1.xml" /><Relationship Id="rId20" Type="http://schemas.openxmlformats.org/officeDocument/2006/relationships/footer" Target="footer2.xml" /><Relationship Id="rId21" Type="http://schemas.openxmlformats.org/officeDocument/2006/relationships/footer" Target="footer3.xml" /><Relationship Id="rId22" Type="http://schemas.openxmlformats.org/officeDocument/2006/relationships/footer" Target="footer4.xml" /><Relationship Id="rId23" Type="http://schemas.openxmlformats.org/officeDocument/2006/relationships/footer" Target="footer5.xml" /><Relationship Id="rId24" Type="http://schemas.onlyoffice.com/jsaProject" Target="jsaProject.bin"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080"/>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70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Table Grid"/>
    <w:basedOn w:val="17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name w:val="Table Grid Light"/>
    <w:basedOn w:val="17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Plain Table 1"/>
    <w:basedOn w:val="17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Plain Table 2"/>
    <w:basedOn w:val="17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Plain Table 3"/>
    <w:basedOn w:val="17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Plain Table 4"/>
    <w:basedOn w:val="17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Plain Table 5"/>
    <w:basedOn w:val="17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Grid Table 1 Light"/>
    <w:basedOn w:val="17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Grid Table 1 Light - Accent 1"/>
    <w:basedOn w:val="17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Grid Table 1 Light - Accent 2"/>
    <w:basedOn w:val="17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Grid Table 1 Light - Accent 3"/>
    <w:basedOn w:val="17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Grid Table 1 Light - Accent 4"/>
    <w:basedOn w:val="17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Grid Table 1 Light - Accent 5"/>
    <w:basedOn w:val="17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Grid Table 1 Light - Accent 6"/>
    <w:basedOn w:val="17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name w:val="Grid Table 2"/>
    <w:basedOn w:val="17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Grid Table 2 - Accent 1"/>
    <w:basedOn w:val="17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Grid Table 2 - Accent 2"/>
    <w:basedOn w:val="17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Grid Table 2 - Accent 3"/>
    <w:basedOn w:val="17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Grid Table 2 - Accent 4"/>
    <w:basedOn w:val="17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Grid Table 2 - Accent 5"/>
    <w:basedOn w:val="17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Grid Table 2 - Accent 6"/>
    <w:basedOn w:val="17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Grid Table 3"/>
    <w:basedOn w:val="17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Grid Table 3 - Accent 1"/>
    <w:basedOn w:val="17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Grid Table 3 - Accent 2"/>
    <w:basedOn w:val="17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Grid Table 3 - Accent 3"/>
    <w:basedOn w:val="17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Grid Table 3 - Accent 4"/>
    <w:basedOn w:val="17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Grid Table 3 - Accent 5"/>
    <w:basedOn w:val="17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Grid Table 3 - Accent 6"/>
    <w:basedOn w:val="17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Grid Table 4"/>
    <w:basedOn w:val="17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Grid Table 4 - Accent 1"/>
    <w:basedOn w:val="17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Grid Table 4 - Accent 2"/>
    <w:basedOn w:val="17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Grid Table 4 - Accent 3"/>
    <w:basedOn w:val="17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Grid Table 4 - Accent 4"/>
    <w:basedOn w:val="17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Grid Table 4 - Accent 5"/>
    <w:basedOn w:val="17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Grid Table 4 - Accent 6"/>
    <w:basedOn w:val="17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Grid Table 5 Dark"/>
    <w:basedOn w:val="1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Grid Table 5 Dark- Accent 1"/>
    <w:basedOn w:val="1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Grid Table 5 Dark - Accent 2"/>
    <w:basedOn w:val="1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Grid Table 5 Dark - Accent 3"/>
    <w:basedOn w:val="1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Grid Table 5 Dark- Accent 4"/>
    <w:basedOn w:val="1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Grid Table 5 Dark - Accent 5"/>
    <w:basedOn w:val="1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Grid Table 5 Dark - Accent 6"/>
    <w:basedOn w:val="1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Grid Table 6 Colorful"/>
    <w:basedOn w:val="17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750">
    <w:name w:val="Grid Table 6 Colorful - Accent 1"/>
    <w:basedOn w:val="17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751">
    <w:name w:val="Grid Table 6 Colorful - Accent 2"/>
    <w:basedOn w:val="17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752">
    <w:name w:val="Grid Table 6 Colorful - Accent 3"/>
    <w:basedOn w:val="17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753">
    <w:name w:val="Grid Table 6 Colorful - Accent 4"/>
    <w:basedOn w:val="17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754">
    <w:name w:val="Grid Table 6 Colorful - Accent 5"/>
    <w:basedOn w:val="17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55">
    <w:name w:val="Grid Table 6 Colorful - Accent 6"/>
    <w:basedOn w:val="17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56">
    <w:name w:val="Grid Table 7 Colorful"/>
    <w:basedOn w:val="17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name w:val="Grid Table 7 Colorful - Accent 1"/>
    <w:basedOn w:val="17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Grid Table 7 Colorful - Accent 2"/>
    <w:basedOn w:val="17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name w:val="Grid Table 7 Colorful - Accent 3"/>
    <w:basedOn w:val="17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name w:val="Grid Table 7 Colorful - Accent 4"/>
    <w:basedOn w:val="17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name w:val="Grid Table 7 Colorful - Accent 5"/>
    <w:basedOn w:val="17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name w:val="Grid Table 7 Colorful - Accent 6"/>
    <w:basedOn w:val="17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name w:val="List Table 1 Light"/>
    <w:basedOn w:val="1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name w:val="List Table 1 Light - Accent 1"/>
    <w:basedOn w:val="1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name w:val="List Table 1 Light - Accent 2"/>
    <w:basedOn w:val="1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name w:val="List Table 1 Light - Accent 3"/>
    <w:basedOn w:val="1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name w:val="List Table 1 Light - Accent 4"/>
    <w:basedOn w:val="1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name w:val="List Table 1 Light - Accent 5"/>
    <w:basedOn w:val="1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name w:val="List Table 1 Light - Accent 6"/>
    <w:basedOn w:val="1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name w:val="List Table 2"/>
    <w:basedOn w:val="17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name w:val="List Table 2 - Accent 1"/>
    <w:basedOn w:val="17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name w:val="List Table 2 - Accent 2"/>
    <w:basedOn w:val="17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name w:val="List Table 2 - Accent 3"/>
    <w:basedOn w:val="17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name w:val="List Table 2 - Accent 4"/>
    <w:basedOn w:val="17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name w:val="List Table 2 - Accent 5"/>
    <w:basedOn w:val="17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name w:val="List Table 2 - Accent 6"/>
    <w:basedOn w:val="17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name w:val="List Table 3"/>
    <w:basedOn w:val="17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name w:val="List Table 3 - Accent 1"/>
    <w:basedOn w:val="17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name w:val="List Table 3 - Accent 2"/>
    <w:basedOn w:val="17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List Table 3 - Accent 3"/>
    <w:basedOn w:val="17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List Table 3 - Accent 4"/>
    <w:basedOn w:val="17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List Table 3 - Accent 5"/>
    <w:basedOn w:val="17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List Table 3 - Accent 6"/>
    <w:basedOn w:val="17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List Table 4"/>
    <w:basedOn w:val="17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List Table 4 - Accent 1"/>
    <w:basedOn w:val="17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List Table 4 - Accent 2"/>
    <w:basedOn w:val="17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List Table 4 - Accent 3"/>
    <w:basedOn w:val="17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List Table 4 - Accent 4"/>
    <w:basedOn w:val="17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List Table 4 - Accent 5"/>
    <w:basedOn w:val="17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List Table 4 - Accent 6"/>
    <w:basedOn w:val="17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List Table 5 Dark"/>
    <w:basedOn w:val="17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92">
    <w:name w:val="List Table 5 Dark - Accent 1"/>
    <w:basedOn w:val="17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93">
    <w:name w:val="List Table 5 Dark - Accent 2"/>
    <w:basedOn w:val="17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94">
    <w:name w:val="List Table 5 Dark - Accent 3"/>
    <w:basedOn w:val="17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95">
    <w:name w:val="List Table 5 Dark - Accent 4"/>
    <w:basedOn w:val="17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96">
    <w:name w:val="List Table 5 Dark - Accent 5"/>
    <w:basedOn w:val="17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97">
    <w:name w:val="List Table 5 Dark - Accent 6"/>
    <w:basedOn w:val="17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98">
    <w:name w:val="List Table 6 Colorful"/>
    <w:basedOn w:val="17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List Table 6 Colorful - Accent 1"/>
    <w:basedOn w:val="17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name w:val="List Table 6 Colorful - Accent 2"/>
    <w:basedOn w:val="17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List Table 6 Colorful - Accent 3"/>
    <w:basedOn w:val="17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List Table 6 Colorful - Accent 4"/>
    <w:basedOn w:val="17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List Table 6 Colorful - Accent 5"/>
    <w:basedOn w:val="17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name w:val="List Table 6 Colorful - Accent 6"/>
    <w:basedOn w:val="17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name w:val="List Table 7 Colorful"/>
    <w:basedOn w:val="17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806">
    <w:name w:val="List Table 7 Colorful - Accent 1"/>
    <w:basedOn w:val="17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807">
    <w:name w:val="List Table 7 Colorful - Accent 2"/>
    <w:basedOn w:val="17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808">
    <w:name w:val="List Table 7 Colorful - Accent 3"/>
    <w:basedOn w:val="17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809">
    <w:name w:val="List Table 7 Colorful - Accent 4"/>
    <w:basedOn w:val="17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810">
    <w:name w:val="List Table 7 Colorful - Accent 5"/>
    <w:basedOn w:val="17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811">
    <w:name w:val="List Table 7 Colorful - Accent 6"/>
    <w:basedOn w:val="17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812">
    <w:name w:val="Lined - Accent"/>
    <w:basedOn w:val="1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3">
    <w:name w:val="Lined - Accent 1"/>
    <w:basedOn w:val="1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4">
    <w:name w:val="Lined - Accent 2"/>
    <w:basedOn w:val="1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5">
    <w:name w:val="Lined - Accent 3"/>
    <w:basedOn w:val="1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6">
    <w:name w:val="Lined - Accent 4"/>
    <w:basedOn w:val="1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7">
    <w:name w:val="Lined - Accent 5"/>
    <w:basedOn w:val="1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8">
    <w:name w:val="Lined - Accent 6"/>
    <w:basedOn w:val="1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9">
    <w:name w:val="Bordered &amp; Lined - Accent"/>
    <w:basedOn w:val="17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0">
    <w:name w:val="Bordered &amp; Lined - Accent 1"/>
    <w:basedOn w:val="17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1">
    <w:name w:val="Bordered &amp; Lined - Accent 2"/>
    <w:basedOn w:val="17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2">
    <w:name w:val="Bordered &amp; Lined - Accent 3"/>
    <w:basedOn w:val="17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3">
    <w:name w:val="Bordered &amp; Lined - Accent 4"/>
    <w:basedOn w:val="17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4">
    <w:name w:val="Bordered &amp; Lined - Accent 5"/>
    <w:basedOn w:val="17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5">
    <w:name w:val="Bordered &amp; Lined - Accent 6"/>
    <w:basedOn w:val="17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6">
    <w:name w:val="Bordered"/>
    <w:basedOn w:val="17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7">
    <w:name w:val="Bordered - Accent 1"/>
    <w:basedOn w:val="17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8">
    <w:name w:val="Bordered - Accent 2"/>
    <w:basedOn w:val="17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9">
    <w:name w:val="Bordered - Accent 3"/>
    <w:basedOn w:val="17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0">
    <w:name w:val="Bordered - Accent 4"/>
    <w:basedOn w:val="17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1">
    <w:name w:val="Bordered - Accent 5"/>
    <w:basedOn w:val="17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2">
    <w:name w:val="Bordered - Accent 6"/>
    <w:basedOn w:val="17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33" w:default="1">
    <w:name w:val="Normal"/>
    <w:qFormat/>
    <w:pPr>
      <w:pBdr/>
      <w:spacing/>
      <w:ind/>
    </w:pPr>
  </w:style>
  <w:style w:type="paragraph" w:styleId="1834">
    <w:name w:val="Heading 1"/>
    <w:basedOn w:val="1833"/>
    <w:next w:val="1833"/>
    <w:link w:val="1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835">
    <w:name w:val="Heading 2"/>
    <w:basedOn w:val="1833"/>
    <w:next w:val="1833"/>
    <w:link w:val="1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836">
    <w:name w:val="Heading 3"/>
    <w:basedOn w:val="1833"/>
    <w:next w:val="1833"/>
    <w:link w:val="1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837">
    <w:name w:val="Heading 4"/>
    <w:basedOn w:val="1833"/>
    <w:next w:val="1833"/>
    <w:link w:val="1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838">
    <w:name w:val="Heading 5"/>
    <w:basedOn w:val="1833"/>
    <w:next w:val="1833"/>
    <w:link w:val="1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839">
    <w:name w:val="Heading 6"/>
    <w:basedOn w:val="1833"/>
    <w:next w:val="1833"/>
    <w:link w:val="1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840">
    <w:name w:val="Heading 7"/>
    <w:basedOn w:val="1833"/>
    <w:next w:val="1833"/>
    <w:link w:val="1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841">
    <w:name w:val="Heading 8"/>
    <w:basedOn w:val="1833"/>
    <w:next w:val="1833"/>
    <w:link w:val="1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842">
    <w:name w:val="Heading 9"/>
    <w:basedOn w:val="1833"/>
    <w:next w:val="1833"/>
    <w:link w:val="1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843" w:default="1">
    <w:name w:val="Default Paragraph Font"/>
    <w:uiPriority w:val="1"/>
    <w:semiHidden/>
    <w:unhideWhenUsed/>
    <w:pPr>
      <w:pBdr/>
      <w:spacing/>
      <w:ind/>
    </w:pPr>
  </w:style>
  <w:style w:type="numbering" w:styleId="1844" w:default="1">
    <w:name w:val="No List"/>
    <w:uiPriority w:val="99"/>
    <w:semiHidden/>
    <w:unhideWhenUsed/>
    <w:pPr>
      <w:pBdr/>
      <w:spacing/>
      <w:ind/>
    </w:pPr>
  </w:style>
  <w:style w:type="character" w:styleId="1845">
    <w:name w:val="Heading 1 Char"/>
    <w:basedOn w:val="1843"/>
    <w:link w:val="1834"/>
    <w:uiPriority w:val="9"/>
    <w:pPr>
      <w:pBdr/>
      <w:spacing/>
      <w:ind/>
    </w:pPr>
    <w:rPr>
      <w:rFonts w:ascii="Arial" w:hAnsi="Arial" w:eastAsia="Arial" w:cs="Arial"/>
      <w:color w:val="0f4761" w:themeColor="accent1" w:themeShade="BF"/>
      <w:sz w:val="40"/>
      <w:szCs w:val="40"/>
    </w:rPr>
  </w:style>
  <w:style w:type="character" w:styleId="1846">
    <w:name w:val="Heading 2 Char"/>
    <w:basedOn w:val="1843"/>
    <w:link w:val="1835"/>
    <w:uiPriority w:val="9"/>
    <w:pPr>
      <w:pBdr/>
      <w:spacing/>
      <w:ind/>
    </w:pPr>
    <w:rPr>
      <w:rFonts w:ascii="Arial" w:hAnsi="Arial" w:eastAsia="Arial" w:cs="Arial"/>
      <w:color w:val="0f4761" w:themeColor="accent1" w:themeShade="BF"/>
      <w:sz w:val="32"/>
      <w:szCs w:val="32"/>
    </w:rPr>
  </w:style>
  <w:style w:type="character" w:styleId="1847">
    <w:name w:val="Heading 3 Char"/>
    <w:basedOn w:val="1843"/>
    <w:link w:val="1836"/>
    <w:uiPriority w:val="9"/>
    <w:pPr>
      <w:pBdr/>
      <w:spacing/>
      <w:ind/>
    </w:pPr>
    <w:rPr>
      <w:rFonts w:ascii="Arial" w:hAnsi="Arial" w:eastAsia="Arial" w:cs="Arial"/>
      <w:color w:val="0f4761" w:themeColor="accent1" w:themeShade="BF"/>
      <w:sz w:val="28"/>
      <w:szCs w:val="28"/>
    </w:rPr>
  </w:style>
  <w:style w:type="character" w:styleId="1848">
    <w:name w:val="Heading 4 Char"/>
    <w:basedOn w:val="1843"/>
    <w:link w:val="1837"/>
    <w:uiPriority w:val="9"/>
    <w:pPr>
      <w:pBdr/>
      <w:spacing/>
      <w:ind/>
    </w:pPr>
    <w:rPr>
      <w:rFonts w:ascii="Arial" w:hAnsi="Arial" w:eastAsia="Arial" w:cs="Arial"/>
      <w:i/>
      <w:iCs/>
      <w:color w:val="0f4761" w:themeColor="accent1" w:themeShade="BF"/>
    </w:rPr>
  </w:style>
  <w:style w:type="character" w:styleId="1849">
    <w:name w:val="Heading 5 Char"/>
    <w:basedOn w:val="1843"/>
    <w:link w:val="1838"/>
    <w:uiPriority w:val="9"/>
    <w:pPr>
      <w:pBdr/>
      <w:spacing/>
      <w:ind/>
    </w:pPr>
    <w:rPr>
      <w:rFonts w:ascii="Arial" w:hAnsi="Arial" w:eastAsia="Arial" w:cs="Arial"/>
      <w:color w:val="0f4761" w:themeColor="accent1" w:themeShade="BF"/>
    </w:rPr>
  </w:style>
  <w:style w:type="character" w:styleId="1850">
    <w:name w:val="Heading 6 Char"/>
    <w:basedOn w:val="1843"/>
    <w:link w:val="1839"/>
    <w:uiPriority w:val="9"/>
    <w:pPr>
      <w:pBdr/>
      <w:spacing/>
      <w:ind/>
    </w:pPr>
    <w:rPr>
      <w:rFonts w:ascii="Arial" w:hAnsi="Arial" w:eastAsia="Arial" w:cs="Arial"/>
      <w:i/>
      <w:iCs/>
      <w:color w:val="595959" w:themeColor="text1" w:themeTint="A6"/>
    </w:rPr>
  </w:style>
  <w:style w:type="character" w:styleId="1851">
    <w:name w:val="Heading 7 Char"/>
    <w:basedOn w:val="1843"/>
    <w:link w:val="1840"/>
    <w:uiPriority w:val="9"/>
    <w:pPr>
      <w:pBdr/>
      <w:spacing/>
      <w:ind/>
    </w:pPr>
    <w:rPr>
      <w:rFonts w:ascii="Arial" w:hAnsi="Arial" w:eastAsia="Arial" w:cs="Arial"/>
      <w:color w:val="595959" w:themeColor="text1" w:themeTint="A6"/>
    </w:rPr>
  </w:style>
  <w:style w:type="character" w:styleId="1852">
    <w:name w:val="Heading 8 Char"/>
    <w:basedOn w:val="1843"/>
    <w:link w:val="1841"/>
    <w:uiPriority w:val="9"/>
    <w:pPr>
      <w:pBdr/>
      <w:spacing/>
      <w:ind/>
    </w:pPr>
    <w:rPr>
      <w:rFonts w:ascii="Arial" w:hAnsi="Arial" w:eastAsia="Arial" w:cs="Arial"/>
      <w:i/>
      <w:iCs/>
      <w:color w:val="272727" w:themeColor="text1" w:themeTint="D8"/>
    </w:rPr>
  </w:style>
  <w:style w:type="character" w:styleId="1853">
    <w:name w:val="Heading 9 Char"/>
    <w:basedOn w:val="1843"/>
    <w:link w:val="1842"/>
    <w:uiPriority w:val="9"/>
    <w:pPr>
      <w:pBdr/>
      <w:spacing/>
      <w:ind/>
    </w:pPr>
    <w:rPr>
      <w:rFonts w:ascii="Arial" w:hAnsi="Arial" w:eastAsia="Arial" w:cs="Arial"/>
      <w:i/>
      <w:iCs/>
      <w:color w:val="272727" w:themeColor="text1" w:themeTint="D8"/>
    </w:rPr>
  </w:style>
  <w:style w:type="paragraph" w:styleId="1854">
    <w:name w:val="Title"/>
    <w:basedOn w:val="1833"/>
    <w:next w:val="1833"/>
    <w:link w:val="1855"/>
    <w:uiPriority w:val="10"/>
    <w:qFormat/>
    <w:pPr>
      <w:pBdr/>
      <w:spacing w:after="80" w:line="240" w:lineRule="auto"/>
      <w:ind/>
      <w:contextualSpacing w:val="true"/>
    </w:pPr>
    <w:rPr>
      <w:rFonts w:ascii="Arial" w:hAnsi="Arial" w:eastAsia="Arial" w:cs="Arial"/>
      <w:spacing w:val="-10"/>
      <w:sz w:val="56"/>
      <w:szCs w:val="56"/>
    </w:rPr>
  </w:style>
  <w:style w:type="character" w:styleId="1855">
    <w:name w:val="Title Char"/>
    <w:basedOn w:val="1843"/>
    <w:link w:val="1854"/>
    <w:uiPriority w:val="10"/>
    <w:pPr>
      <w:pBdr/>
      <w:spacing/>
      <w:ind/>
    </w:pPr>
    <w:rPr>
      <w:rFonts w:ascii="Arial" w:hAnsi="Arial" w:eastAsia="Arial" w:cs="Arial"/>
      <w:spacing w:val="-10"/>
      <w:sz w:val="56"/>
      <w:szCs w:val="56"/>
    </w:rPr>
  </w:style>
  <w:style w:type="paragraph" w:styleId="1856">
    <w:name w:val="Subtitle"/>
    <w:basedOn w:val="1833"/>
    <w:next w:val="1833"/>
    <w:link w:val="1857"/>
    <w:uiPriority w:val="11"/>
    <w:qFormat/>
    <w:pPr>
      <w:numPr>
        <w:ilvl w:val="1"/>
      </w:numPr>
      <w:pBdr/>
      <w:spacing/>
      <w:ind/>
    </w:pPr>
    <w:rPr>
      <w:color w:val="595959" w:themeColor="text1" w:themeTint="A6"/>
      <w:spacing w:val="15"/>
      <w:sz w:val="28"/>
      <w:szCs w:val="28"/>
    </w:rPr>
  </w:style>
  <w:style w:type="character" w:styleId="1857">
    <w:name w:val="Subtitle Char"/>
    <w:basedOn w:val="1843"/>
    <w:link w:val="1856"/>
    <w:uiPriority w:val="11"/>
    <w:pPr>
      <w:pBdr/>
      <w:spacing/>
      <w:ind/>
    </w:pPr>
    <w:rPr>
      <w:color w:val="595959" w:themeColor="text1" w:themeTint="A6"/>
      <w:spacing w:val="15"/>
      <w:sz w:val="28"/>
      <w:szCs w:val="28"/>
    </w:rPr>
  </w:style>
  <w:style w:type="paragraph" w:styleId="1858">
    <w:name w:val="Quote"/>
    <w:basedOn w:val="1833"/>
    <w:next w:val="1833"/>
    <w:link w:val="1859"/>
    <w:uiPriority w:val="29"/>
    <w:qFormat/>
    <w:pPr>
      <w:pBdr/>
      <w:spacing w:before="160"/>
      <w:ind/>
      <w:jc w:val="center"/>
    </w:pPr>
    <w:rPr>
      <w:i/>
      <w:iCs/>
      <w:color w:val="404040" w:themeColor="text1" w:themeTint="BF"/>
    </w:rPr>
  </w:style>
  <w:style w:type="character" w:styleId="1859">
    <w:name w:val="Quote Char"/>
    <w:basedOn w:val="1843"/>
    <w:link w:val="1858"/>
    <w:uiPriority w:val="29"/>
    <w:pPr>
      <w:pBdr/>
      <w:spacing/>
      <w:ind/>
    </w:pPr>
    <w:rPr>
      <w:i/>
      <w:iCs/>
      <w:color w:val="404040" w:themeColor="text1" w:themeTint="BF"/>
    </w:rPr>
  </w:style>
  <w:style w:type="paragraph" w:styleId="1860">
    <w:name w:val="List Paragraph"/>
    <w:basedOn w:val="1833"/>
    <w:uiPriority w:val="34"/>
    <w:qFormat/>
    <w:pPr>
      <w:pBdr/>
      <w:spacing/>
      <w:ind w:left="720"/>
      <w:contextualSpacing w:val="true"/>
    </w:pPr>
  </w:style>
  <w:style w:type="character" w:styleId="1861">
    <w:name w:val="Intense Emphasis"/>
    <w:basedOn w:val="1843"/>
    <w:uiPriority w:val="21"/>
    <w:qFormat/>
    <w:pPr>
      <w:pBdr/>
      <w:spacing/>
      <w:ind/>
    </w:pPr>
    <w:rPr>
      <w:i/>
      <w:iCs/>
      <w:color w:val="0f4761" w:themeColor="accent1" w:themeShade="BF"/>
    </w:rPr>
  </w:style>
  <w:style w:type="paragraph" w:styleId="1862">
    <w:name w:val="Intense Quote"/>
    <w:basedOn w:val="1833"/>
    <w:next w:val="1833"/>
    <w:link w:val="186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863">
    <w:name w:val="Intense Quote Char"/>
    <w:basedOn w:val="1843"/>
    <w:link w:val="1862"/>
    <w:uiPriority w:val="30"/>
    <w:pPr>
      <w:pBdr/>
      <w:spacing/>
      <w:ind/>
    </w:pPr>
    <w:rPr>
      <w:i/>
      <w:iCs/>
      <w:color w:val="0f4761" w:themeColor="accent1" w:themeShade="BF"/>
    </w:rPr>
  </w:style>
  <w:style w:type="character" w:styleId="1864">
    <w:name w:val="Intense Reference"/>
    <w:basedOn w:val="1843"/>
    <w:uiPriority w:val="32"/>
    <w:qFormat/>
    <w:pPr>
      <w:pBdr/>
      <w:spacing/>
      <w:ind/>
    </w:pPr>
    <w:rPr>
      <w:b/>
      <w:bCs/>
      <w:smallCaps/>
      <w:color w:val="0f4761" w:themeColor="accent1" w:themeShade="BF"/>
      <w:spacing w:val="5"/>
    </w:rPr>
  </w:style>
  <w:style w:type="paragraph" w:styleId="1865">
    <w:name w:val="No Spacing"/>
    <w:basedOn w:val="1833"/>
    <w:uiPriority w:val="1"/>
    <w:qFormat/>
    <w:pPr>
      <w:pBdr/>
      <w:spacing w:after="0" w:line="240" w:lineRule="auto"/>
      <w:ind/>
    </w:pPr>
  </w:style>
  <w:style w:type="character" w:styleId="1866">
    <w:name w:val="Subtle Emphasis"/>
    <w:basedOn w:val="1843"/>
    <w:uiPriority w:val="19"/>
    <w:qFormat/>
    <w:pPr>
      <w:pBdr/>
      <w:spacing/>
      <w:ind/>
    </w:pPr>
    <w:rPr>
      <w:i/>
      <w:iCs/>
      <w:color w:val="404040" w:themeColor="text1" w:themeTint="BF"/>
    </w:rPr>
  </w:style>
  <w:style w:type="character" w:styleId="1867">
    <w:name w:val="Emphasis"/>
    <w:basedOn w:val="1843"/>
    <w:uiPriority w:val="20"/>
    <w:qFormat/>
    <w:pPr>
      <w:pBdr/>
      <w:spacing/>
      <w:ind/>
    </w:pPr>
    <w:rPr>
      <w:i/>
      <w:iCs/>
    </w:rPr>
  </w:style>
  <w:style w:type="character" w:styleId="1868">
    <w:name w:val="Strong"/>
    <w:basedOn w:val="1843"/>
    <w:uiPriority w:val="22"/>
    <w:qFormat/>
    <w:pPr>
      <w:pBdr/>
      <w:spacing/>
      <w:ind/>
    </w:pPr>
    <w:rPr>
      <w:b/>
      <w:bCs/>
    </w:rPr>
  </w:style>
  <w:style w:type="character" w:styleId="1869">
    <w:name w:val="Subtle Reference"/>
    <w:basedOn w:val="1843"/>
    <w:uiPriority w:val="31"/>
    <w:qFormat/>
    <w:pPr>
      <w:pBdr/>
      <w:spacing/>
      <w:ind/>
    </w:pPr>
    <w:rPr>
      <w:smallCaps/>
      <w:color w:val="5a5a5a" w:themeColor="text1" w:themeTint="A5"/>
    </w:rPr>
  </w:style>
  <w:style w:type="character" w:styleId="1870">
    <w:name w:val="Book Title"/>
    <w:basedOn w:val="1843"/>
    <w:uiPriority w:val="33"/>
    <w:qFormat/>
    <w:pPr>
      <w:pBdr/>
      <w:spacing/>
      <w:ind/>
    </w:pPr>
    <w:rPr>
      <w:b/>
      <w:bCs/>
      <w:i/>
      <w:iCs/>
      <w:spacing w:val="5"/>
    </w:rPr>
  </w:style>
  <w:style w:type="paragraph" w:styleId="1871">
    <w:name w:val="Header"/>
    <w:basedOn w:val="1833"/>
    <w:link w:val="1872"/>
    <w:uiPriority w:val="99"/>
    <w:unhideWhenUsed/>
    <w:pPr>
      <w:pBdr/>
      <w:tabs>
        <w:tab w:val="center" w:leader="none" w:pos="4844"/>
        <w:tab w:val="right" w:leader="none" w:pos="9689"/>
      </w:tabs>
      <w:spacing w:after="0" w:line="240" w:lineRule="auto"/>
      <w:ind/>
    </w:pPr>
  </w:style>
  <w:style w:type="character" w:styleId="1872">
    <w:name w:val="Header Char"/>
    <w:basedOn w:val="1843"/>
    <w:link w:val="1871"/>
    <w:uiPriority w:val="99"/>
    <w:pPr>
      <w:pBdr/>
      <w:spacing/>
      <w:ind/>
    </w:pPr>
  </w:style>
  <w:style w:type="paragraph" w:styleId="1873">
    <w:name w:val="Footer"/>
    <w:basedOn w:val="1833"/>
    <w:link w:val="1874"/>
    <w:uiPriority w:val="99"/>
    <w:unhideWhenUsed/>
    <w:pPr>
      <w:pBdr/>
      <w:tabs>
        <w:tab w:val="center" w:leader="none" w:pos="4844"/>
        <w:tab w:val="right" w:leader="none" w:pos="9689"/>
      </w:tabs>
      <w:spacing w:after="0" w:line="240" w:lineRule="auto"/>
      <w:ind/>
    </w:pPr>
  </w:style>
  <w:style w:type="character" w:styleId="1874">
    <w:name w:val="Footer Char"/>
    <w:basedOn w:val="1843"/>
    <w:link w:val="1873"/>
    <w:uiPriority w:val="99"/>
    <w:pPr>
      <w:pBdr/>
      <w:spacing/>
      <w:ind/>
    </w:pPr>
  </w:style>
  <w:style w:type="paragraph" w:styleId="1875">
    <w:name w:val="Caption"/>
    <w:basedOn w:val="1833"/>
    <w:next w:val="1833"/>
    <w:uiPriority w:val="35"/>
    <w:unhideWhenUsed/>
    <w:qFormat/>
    <w:pPr>
      <w:pBdr/>
      <w:spacing w:after="200" w:line="240" w:lineRule="auto"/>
      <w:ind/>
    </w:pPr>
    <w:rPr>
      <w:i/>
      <w:iCs/>
      <w:color w:val="0e2841" w:themeColor="text2"/>
      <w:sz w:val="18"/>
      <w:szCs w:val="18"/>
    </w:rPr>
  </w:style>
  <w:style w:type="paragraph" w:styleId="1876">
    <w:name w:val="footnote text"/>
    <w:basedOn w:val="1833"/>
    <w:link w:val="1877"/>
    <w:uiPriority w:val="99"/>
    <w:semiHidden/>
    <w:unhideWhenUsed/>
    <w:pPr>
      <w:pBdr/>
      <w:spacing w:after="0" w:line="240" w:lineRule="auto"/>
      <w:ind/>
    </w:pPr>
    <w:rPr>
      <w:sz w:val="20"/>
      <w:szCs w:val="20"/>
    </w:rPr>
  </w:style>
  <w:style w:type="character" w:styleId="1877">
    <w:name w:val="Footnote Text Char"/>
    <w:basedOn w:val="1843"/>
    <w:link w:val="1876"/>
    <w:uiPriority w:val="99"/>
    <w:semiHidden/>
    <w:pPr>
      <w:pBdr/>
      <w:spacing/>
      <w:ind/>
    </w:pPr>
    <w:rPr>
      <w:sz w:val="20"/>
      <w:szCs w:val="20"/>
    </w:rPr>
  </w:style>
  <w:style w:type="character" w:styleId="1878">
    <w:name w:val="footnote reference"/>
    <w:basedOn w:val="1843"/>
    <w:uiPriority w:val="99"/>
    <w:semiHidden/>
    <w:unhideWhenUsed/>
    <w:pPr>
      <w:pBdr/>
      <w:spacing/>
      <w:ind/>
    </w:pPr>
    <w:rPr>
      <w:vertAlign w:val="superscript"/>
    </w:rPr>
  </w:style>
  <w:style w:type="paragraph" w:styleId="1879">
    <w:name w:val="endnote text"/>
    <w:basedOn w:val="1833"/>
    <w:link w:val="1880"/>
    <w:uiPriority w:val="99"/>
    <w:semiHidden/>
    <w:unhideWhenUsed/>
    <w:pPr>
      <w:pBdr/>
      <w:spacing w:after="0" w:line="240" w:lineRule="auto"/>
      <w:ind/>
    </w:pPr>
    <w:rPr>
      <w:sz w:val="20"/>
      <w:szCs w:val="20"/>
    </w:rPr>
  </w:style>
  <w:style w:type="character" w:styleId="1880">
    <w:name w:val="Endnote Text Char"/>
    <w:basedOn w:val="1843"/>
    <w:link w:val="1879"/>
    <w:uiPriority w:val="99"/>
    <w:semiHidden/>
    <w:pPr>
      <w:pBdr/>
      <w:spacing/>
      <w:ind/>
    </w:pPr>
    <w:rPr>
      <w:sz w:val="20"/>
      <w:szCs w:val="20"/>
    </w:rPr>
  </w:style>
  <w:style w:type="character" w:styleId="1881">
    <w:name w:val="endnote reference"/>
    <w:basedOn w:val="1843"/>
    <w:uiPriority w:val="99"/>
    <w:semiHidden/>
    <w:unhideWhenUsed/>
    <w:pPr>
      <w:pBdr/>
      <w:spacing/>
      <w:ind/>
    </w:pPr>
    <w:rPr>
      <w:vertAlign w:val="superscript"/>
    </w:rPr>
  </w:style>
  <w:style w:type="character" w:styleId="1882">
    <w:name w:val="Hyperlink"/>
    <w:basedOn w:val="1843"/>
    <w:uiPriority w:val="99"/>
    <w:unhideWhenUsed/>
    <w:pPr>
      <w:pBdr/>
      <w:spacing/>
      <w:ind/>
    </w:pPr>
    <w:rPr>
      <w:color w:val="0563c1" w:themeColor="hyperlink"/>
      <w:u w:val="single"/>
    </w:rPr>
  </w:style>
  <w:style w:type="character" w:styleId="1883">
    <w:name w:val="FollowedHyperlink"/>
    <w:basedOn w:val="1843"/>
    <w:uiPriority w:val="99"/>
    <w:semiHidden/>
    <w:unhideWhenUsed/>
    <w:pPr>
      <w:pBdr/>
      <w:spacing/>
      <w:ind/>
    </w:pPr>
    <w:rPr>
      <w:color w:val="954f72" w:themeColor="followedHyperlink"/>
      <w:u w:val="single"/>
    </w:rPr>
  </w:style>
  <w:style w:type="paragraph" w:styleId="1884">
    <w:name w:val="toc 1"/>
    <w:basedOn w:val="1833"/>
    <w:next w:val="1833"/>
    <w:uiPriority w:val="39"/>
    <w:unhideWhenUsed/>
    <w:pPr>
      <w:pBdr/>
      <w:spacing w:after="100"/>
      <w:ind/>
    </w:pPr>
  </w:style>
  <w:style w:type="paragraph" w:styleId="1885">
    <w:name w:val="toc 2"/>
    <w:basedOn w:val="1833"/>
    <w:next w:val="1833"/>
    <w:uiPriority w:val="39"/>
    <w:unhideWhenUsed/>
    <w:pPr>
      <w:pBdr/>
      <w:spacing w:after="100"/>
      <w:ind w:left="220"/>
    </w:pPr>
  </w:style>
  <w:style w:type="paragraph" w:styleId="1886">
    <w:name w:val="toc 3"/>
    <w:basedOn w:val="1833"/>
    <w:next w:val="1833"/>
    <w:uiPriority w:val="39"/>
    <w:unhideWhenUsed/>
    <w:pPr>
      <w:pBdr/>
      <w:spacing w:after="100"/>
      <w:ind w:left="440"/>
    </w:pPr>
  </w:style>
  <w:style w:type="paragraph" w:styleId="1887">
    <w:name w:val="toc 4"/>
    <w:basedOn w:val="1833"/>
    <w:next w:val="1833"/>
    <w:uiPriority w:val="39"/>
    <w:unhideWhenUsed/>
    <w:pPr>
      <w:pBdr/>
      <w:spacing w:after="100"/>
      <w:ind w:left="660"/>
    </w:pPr>
  </w:style>
  <w:style w:type="paragraph" w:styleId="1888">
    <w:name w:val="toc 5"/>
    <w:basedOn w:val="1833"/>
    <w:next w:val="1833"/>
    <w:uiPriority w:val="39"/>
    <w:unhideWhenUsed/>
    <w:pPr>
      <w:pBdr/>
      <w:spacing w:after="100"/>
      <w:ind w:left="880"/>
    </w:pPr>
  </w:style>
  <w:style w:type="paragraph" w:styleId="1889">
    <w:name w:val="toc 6"/>
    <w:basedOn w:val="1833"/>
    <w:next w:val="1833"/>
    <w:uiPriority w:val="39"/>
    <w:unhideWhenUsed/>
    <w:pPr>
      <w:pBdr/>
      <w:spacing w:after="100"/>
      <w:ind w:left="1100"/>
    </w:pPr>
  </w:style>
  <w:style w:type="paragraph" w:styleId="1890">
    <w:name w:val="toc 7"/>
    <w:basedOn w:val="1833"/>
    <w:next w:val="1833"/>
    <w:uiPriority w:val="39"/>
    <w:unhideWhenUsed/>
    <w:pPr>
      <w:pBdr/>
      <w:spacing w:after="100"/>
      <w:ind w:left="1320"/>
    </w:pPr>
  </w:style>
  <w:style w:type="paragraph" w:styleId="1891">
    <w:name w:val="toc 8"/>
    <w:basedOn w:val="1833"/>
    <w:next w:val="1833"/>
    <w:uiPriority w:val="39"/>
    <w:unhideWhenUsed/>
    <w:pPr>
      <w:pBdr/>
      <w:spacing w:after="100"/>
      <w:ind w:left="1540"/>
    </w:pPr>
  </w:style>
  <w:style w:type="paragraph" w:styleId="1892">
    <w:name w:val="toc 9"/>
    <w:basedOn w:val="1833"/>
    <w:next w:val="1833"/>
    <w:uiPriority w:val="39"/>
    <w:unhideWhenUsed/>
    <w:pPr>
      <w:pBdr/>
      <w:spacing w:after="100"/>
      <w:ind w:left="1760"/>
    </w:pPr>
  </w:style>
  <w:style w:type="character" w:styleId="1893">
    <w:name w:val="Placeholder Text"/>
    <w:basedOn w:val="1843"/>
    <w:uiPriority w:val="99"/>
    <w:semiHidden/>
    <w:pPr>
      <w:pBdr/>
      <w:spacing/>
      <w:ind/>
    </w:pPr>
    <w:rPr>
      <w:color w:val="666666"/>
    </w:rPr>
  </w:style>
  <w:style w:type="paragraph" w:styleId="1894">
    <w:name w:val="TOC Heading"/>
    <w:uiPriority w:val="39"/>
    <w:unhideWhenUsed/>
    <w:pPr>
      <w:pBdr/>
      <w:spacing/>
      <w:ind/>
    </w:pPr>
  </w:style>
  <w:style w:type="paragraph" w:styleId="1895">
    <w:name w:val="table of figures"/>
    <w:basedOn w:val="1833"/>
    <w:next w:val="1833"/>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HP</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Triết học</dc:title>
  <dc:subject/>
  <dc:creator>Huỳnh Phúc Thịnh</dc:creator>
  <dc:description/>
  <dc:language>en-US</dc:language>
  <cp:revision>9</cp:revision>
  <dcterms:created xsi:type="dcterms:W3CDTF">2025-12-30T22:44:00Z</dcterms:created>
  <dcterms:modified xsi:type="dcterms:W3CDTF">2026-01-06T19:18:20Z</dcterms:modified>
</cp:coreProperties>
</file>